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March 31, 2026</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(State or Other</w:t>
      </w:r>
    </w:p>
    <w:p>
      <w:pPr>
        <w:spacing w:after="0" w:line="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Jurisdiction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1-8551</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22-1851059</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 w:lineRule="exact"/>
        <w:rPr>
          <w:sz w:val="24"/>
          <w:szCs w:val="24"/>
          <w:color w:val="auto"/>
        </w:rPr>
      </w:pPr>
    </w:p>
    <w:p>
      <w:pPr>
        <w:sectPr>
          <w:pgSz w:w="11900" w:h="16838" w:orient="portrait"/>
          <w:cols w:equalWidth="0" w:num="3">
            <w:col w:w="3920" w:space="720"/>
            <w:col w:w="3360" w:space="720"/>
            <w:col w:w="2520"/>
          </w:cols>
          <w:pgMar w:left="320" w:top="225" w:right="3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 Matawan Road, Fifth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Matawan, New Jersey 07747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747-7800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Last Report)</w:t>
      </w:r>
    </w:p>
    <w:p>
      <w:pPr>
        <w:spacing w:after="0" w:line="207" w:lineRule="exact"/>
        <w:rPr>
          <w:sz w:val="24"/>
          <w:szCs w:val="24"/>
          <w:color w:val="auto"/>
        </w:rPr>
      </w:pPr>
    </w:p>
    <w:p>
      <w:pPr>
        <w:ind w:left="140" w:right="5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0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0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340" w:hanging="20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80" w:right="2860" w:hanging="142"/>
        <w:spacing w:after="0" w:line="508" w:lineRule="auto"/>
        <w:tabs>
          <w:tab w:leader="none" w:pos="3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1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Class A Common Stock, $0.01 par value per share</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HOV</w:t>
            </w:r>
          </w:p>
        </w:tc>
        <w:tc>
          <w:tcPr>
            <w:tcW w:w="41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Preferred Stock Purchase Rights (1)</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1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191"/>
        </w:trPr>
        <w:tc>
          <w:tcPr>
            <w:tcW w:w="4400" w:type="dxa"/>
            <w:vAlign w:val="bottom"/>
          </w:tcPr>
          <w:p>
            <w:pPr>
              <w:jc w:val="center"/>
              <w:ind w:right="450"/>
              <w:spacing w:after="0" w:line="191" w:lineRule="exact"/>
              <w:rPr>
                <w:sz w:val="20"/>
                <w:szCs w:val="20"/>
                <w:color w:val="auto"/>
              </w:rPr>
            </w:pPr>
            <w:r>
              <w:rPr>
                <w:rFonts w:ascii="Times New Roman" w:cs="Times New Roman" w:eastAsia="Times New Roman" w:hAnsi="Times New Roman"/>
                <w:sz w:val="18"/>
                <w:szCs w:val="18"/>
                <w:color w:val="auto"/>
                <w:w w:val="99"/>
              </w:rPr>
              <w:t>Depositary Shares each representing 1/1,000th of a</w:t>
            </w:r>
          </w:p>
        </w:tc>
        <w:tc>
          <w:tcPr>
            <w:tcW w:w="2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HOVNP</w:t>
            </w:r>
          </w:p>
        </w:tc>
        <w:tc>
          <w:tcPr>
            <w:tcW w:w="4160" w:type="dxa"/>
            <w:vAlign w:val="bottom"/>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126"/>
        </w:trPr>
        <w:tc>
          <w:tcPr>
            <w:tcW w:w="440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 of 7.625% Series A Preferred Stock</w:t>
            </w:r>
          </w:p>
        </w:tc>
        <w:tc>
          <w:tcPr>
            <w:tcW w:w="2680" w:type="dxa"/>
            <w:vAlign w:val="bottom"/>
            <w:vMerge w:val="continue"/>
          </w:tcPr>
          <w:p>
            <w:pPr>
              <w:spacing w:after="0"/>
              <w:rPr>
                <w:sz w:val="10"/>
                <w:szCs w:val="10"/>
                <w:color w:val="auto"/>
              </w:rPr>
            </w:pPr>
          </w:p>
        </w:tc>
        <w:tc>
          <w:tcPr>
            <w:tcW w:w="4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0" w:type="dxa"/>
            <w:vAlign w:val="bottom"/>
            <w:tcBorders>
              <w:bottom w:val="single" w:sz="8" w:color="auto"/>
            </w:tcBorders>
            <w:vMerge w:val="continue"/>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left="140" w:right="140" w:hanging="2"/>
        <w:spacing w:after="0" w:line="261" w:lineRule="auto"/>
        <w:tabs>
          <w:tab w:leader="none" w:pos="4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includes an associated Preferred Stock Purchase Right. Each Preferred Stock Purchase Right initially represents the right, if such Preferred Stock Purchase Right becomes exercisable, to purchase from the Company one ten-thousandth of a share of its Series B Junior Preferred Stock for each share of Common Stock. The Preferred Stock Purchase Rights currently cannot trade separately from the underlying Common Stock.</w:t>
      </w:r>
    </w:p>
    <w:p>
      <w:pPr>
        <w:spacing w:after="0" w:line="180" w:lineRule="exact"/>
        <w:rPr>
          <w:sz w:val="24"/>
          <w:szCs w:val="24"/>
          <w:color w:val="auto"/>
        </w:rPr>
      </w:pPr>
    </w:p>
    <w:p>
      <w:pPr>
        <w:ind w:left="140"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140" w:right="3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ind w:left="140"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0" w:hanging="46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Amended and Restated 2020 Hovnanian Enterprises, Inc. Stock Incentive Plan</w:t>
      </w:r>
    </w:p>
    <w:p>
      <w:pPr>
        <w:spacing w:after="0" w:line="225"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On March 31, 2026, Hovnanian Enterprises, Inc. (the “Company”) held its 2026 Annual Meeting of Stockholders (the “2026 Annual Meeting”) at which the Company’s stockholders approved the Fourth Amended and Restated 2020 Hovnanian Enterprises, Inc. Stock Incentive Plan (the “Amended Plan”), which had been previously recommended for approval by the Company’s Compensation Committee of the Board of Directors and previously approved by the Company’s Board of Directors, in each case, subject to stockholder approval. The Amended Plan became effective as of the date of such stockholder approval.</w:t>
      </w:r>
    </w:p>
    <w:p>
      <w:pPr>
        <w:spacing w:after="0" w:line="183"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Prior to adoption of the Amended Plan, the Company had been granting equity-based incentive awards under the Third Amended and Restated 2020 Hovnanian Enterprises, Inc. Stock Incentive Plan (the “Existing Plan”). The Amended Plan is substantially identical to the Existing Plan, except it increases the reserve of Class A common stock and Class B common stock for future grants by an aggregate of 100,000 shares.</w:t>
      </w:r>
    </w:p>
    <w:p>
      <w:pPr>
        <w:spacing w:after="0" w:line="176" w:lineRule="exact"/>
        <w:rPr>
          <w:sz w:val="20"/>
          <w:szCs w:val="20"/>
          <w:color w:val="auto"/>
        </w:rPr>
      </w:pPr>
    </w:p>
    <w:p>
      <w:pPr>
        <w:ind w:right="200" w:firstLine="51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features of the Amended Plan are described in the Company’s </w:t>
      </w:r>
      <w:hyperlink r:id="rId9">
        <w:r>
          <w:rPr>
            <w:rFonts w:ascii="Times New Roman" w:cs="Times New Roman" w:eastAsia="Times New Roman" w:hAnsi="Times New Roman"/>
            <w:sz w:val="18"/>
            <w:szCs w:val="18"/>
            <w:u w:val="single" w:color="auto"/>
            <w:color w:val="0000EE"/>
          </w:rPr>
          <w:t>Definitive Proxy Statement filed on February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connection with the 2026 Annual Meeting, which description is filed herewith as Exhibit 99.1, and incorporated herein by reference. The above and the incorporated description of the Amended Plan are qualified in their entirety by reference to the Amended Plan, which is filed as Exhibit 10.1 to this report and incorporated herein by reference.</w:t>
      </w:r>
    </w:p>
    <w:p>
      <w:pPr>
        <w:spacing w:after="0" w:line="176" w:lineRule="exact"/>
        <w:rPr>
          <w:sz w:val="20"/>
          <w:szCs w:val="20"/>
          <w:color w:val="auto"/>
        </w:rPr>
      </w:pPr>
    </w:p>
    <w:p>
      <w:pPr>
        <w:ind w:left="1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229" w:lineRule="exact"/>
        <w:rPr>
          <w:sz w:val="20"/>
          <w:szCs w:val="20"/>
          <w:color w:val="auto"/>
        </w:rPr>
      </w:pPr>
    </w:p>
    <w:p>
      <w:pPr>
        <w:ind w:left="140"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held its 2026 Annual Meeting on March 31, 2026. The matters voted upon at the 2026 Annual Meeting and the final results of the votes were as follows:</w:t>
      </w:r>
    </w:p>
    <w:p>
      <w:pPr>
        <w:spacing w:after="0" w:line="160" w:lineRule="exact"/>
        <w:rPr>
          <w:sz w:val="20"/>
          <w:szCs w:val="20"/>
          <w:color w:val="auto"/>
        </w:rPr>
      </w:pPr>
    </w:p>
    <w:p>
      <w:pPr>
        <w:jc w:val="both"/>
        <w:ind w:left="140" w:right="360" w:firstLine="646"/>
        <w:spacing w:after="0" w:line="267" w:lineRule="auto"/>
        <w:tabs>
          <w:tab w:leader="none" w:pos="10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all directors of the Company to hold office until the next annual meeting of shareholders and until their respective successors have been duly elected and qualified. </w:t>
      </w:r>
      <w:r>
        <w:rPr>
          <w:rFonts w:ascii="Times New Roman" w:cs="Times New Roman" w:eastAsia="Times New Roman" w:hAnsi="Times New Roman"/>
          <w:sz w:val="18"/>
          <w:szCs w:val="18"/>
          <w:color w:val="auto"/>
        </w:rPr>
        <w:t>Abstentions and broker non-votes had no effect on the outcome because such shares were not considered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cast. The elected directors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Hovnanian</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9,853,568</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939,895</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1,086</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Coutts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10,128,727</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629,903</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35,919</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 Hernandez-Kakol</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10,392,118</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399,994</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2,437</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22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Kangas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9,635,760</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1,157,515</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1,274</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Marengi</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9,626,038</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1,167,213</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1,298</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 Pagano Jr.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9,354,765</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1,438,486</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1,298</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Sellers</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9,966,267</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825,940</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2,342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Sorsby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10,562,136</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231,175</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1,238</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850,360</w:t>
            </w:r>
          </w:p>
        </w:tc>
      </w:tr>
      <w:tr>
        <w:trPr>
          <w:trHeight w:val="569"/>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left="140" w:right="300" w:firstLine="646"/>
        <w:spacing w:after="0" w:line="267" w:lineRule="auto"/>
        <w:tabs>
          <w:tab w:leader="none" w:pos="10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Ratification of the selection of Deloitte &amp; Touche LLP as the Company’s independent registered public accounting firm for the fiscal year ending October 31, 2026. </w:t>
      </w:r>
      <w:r>
        <w:rPr>
          <w:rFonts w:ascii="Times New Roman" w:cs="Times New Roman" w:eastAsia="Times New Roman" w:hAnsi="Times New Roman"/>
          <w:sz w:val="18"/>
          <w:szCs w:val="18"/>
          <w:color w:val="auto"/>
        </w:rPr>
        <w:t>Abstentions had no effect on the outcome because such shares were not considered votes cast. There were no broker non-votes.</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16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11,603,036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41,110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ind w:left="140" w:right="320" w:firstLine="646"/>
        <w:spacing w:after="0" w:line="284" w:lineRule="auto"/>
        <w:tabs>
          <w:tab w:leader="none" w:pos="10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of the Fourth Amended and Restated 2020 Hovnanian Enterprises, Inc. Stock Incentive Plan. </w:t>
      </w:r>
      <w:r>
        <w:rPr>
          <w:rFonts w:ascii="Times New Roman" w:cs="Times New Roman" w:eastAsia="Times New Roman" w:hAnsi="Times New Roman"/>
          <w:sz w:val="18"/>
          <w:szCs w:val="18"/>
          <w:color w:val="auto"/>
        </w:rPr>
        <w:t>Abstentions and broker non-votes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 no effect on the outcome because such shares were not considered votes cast.</w:t>
      </w:r>
    </w:p>
    <w:p>
      <w:pPr>
        <w:spacing w:after="0" w:line="15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1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9,919,750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869,569</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850,360</w:t>
            </w:r>
          </w:p>
        </w:tc>
      </w:tr>
    </w:tbl>
    <w:p>
      <w:pPr>
        <w:spacing w:after="0" w:line="196" w:lineRule="exact"/>
        <w:rPr>
          <w:sz w:val="20"/>
          <w:szCs w:val="20"/>
          <w:color w:val="auto"/>
        </w:rPr>
      </w:pPr>
    </w:p>
    <w:p>
      <w:pPr>
        <w:ind w:left="140" w:right="920" w:firstLine="646"/>
        <w:spacing w:after="0" w:line="284" w:lineRule="auto"/>
        <w:tabs>
          <w:tab w:leader="none" w:pos="10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Non-binding advisory vote on approval of the compensation of the Company’s named executive officers as disclosed in the Proxy Statement. </w:t>
      </w:r>
      <w:r>
        <w:rPr>
          <w:rFonts w:ascii="Times New Roman" w:cs="Times New Roman" w:eastAsia="Times New Roman" w:hAnsi="Times New Roman"/>
          <w:sz w:val="18"/>
          <w:szCs w:val="18"/>
          <w:color w:val="auto"/>
        </w:rPr>
        <w:t>Abstentions and broker non-votes had no effect on the outcome because such shares were not considered votes cast.</w:t>
      </w:r>
    </w:p>
    <w:p>
      <w:pPr>
        <w:spacing w:after="0" w:line="15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168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9,928,102</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822,158</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44,289</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850,360</w:t>
            </w:r>
          </w:p>
        </w:tc>
      </w:tr>
    </w:tbl>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r>
        <w:rPr>
          <w:rFonts w:ascii="Times New Roman" w:cs="Times New Roman" w:eastAsia="Times New Roman" w:hAnsi="Times New Roman"/>
          <w:sz w:val="17"/>
          <w:szCs w:val="17"/>
          <w:b w:val="1"/>
          <w:bCs w:val="1"/>
          <w:color w:val="auto"/>
        </w:rPr>
        <w:t>.</w:t>
      </w:r>
    </w:p>
    <w:p>
      <w:pPr>
        <w:spacing w:after="0" w:line="227"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940" w:type="dxa"/>
            <w:vAlign w:val="bottom"/>
          </w:tcPr>
          <w:p>
            <w:pPr>
              <w:spacing w:after="0"/>
              <w:rPr>
                <w:sz w:val="21"/>
                <w:szCs w:val="21"/>
                <w:color w:val="auto"/>
              </w:rPr>
            </w:pPr>
          </w:p>
        </w:tc>
        <w:tc>
          <w:tcPr>
            <w:tcW w:w="8160" w:type="dxa"/>
            <w:vAlign w:val="bottom"/>
            <w:gridSpan w:val="4"/>
          </w:tcPr>
          <w:p>
            <w:pPr>
              <w:ind w:left="2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Fourth Amended and Restated 2020 Hovnanian Enterprises, Inc. Stock Incentive Plan.</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00" w:type="dxa"/>
            <w:vAlign w:val="bottom"/>
            <w:gridSpan w:val="5"/>
          </w:tcPr>
          <w:p>
            <w:pPr>
              <w:spacing w:after="0"/>
              <w:rPr>
                <w:rFonts w:ascii="Times New Roman" w:cs="Times New Roman" w:eastAsia="Times New Roman" w:hAnsi="Times New Roman"/>
                <w:sz w:val="18"/>
                <w:szCs w:val="18"/>
                <w:color w:val="0000EE"/>
              </w:rPr>
            </w:pPr>
            <w:hyperlink r:id="rId9">
              <w:r>
                <w:rPr>
                  <w:rFonts w:ascii="Times New Roman" w:cs="Times New Roman" w:eastAsia="Times New Roman" w:hAnsi="Times New Roman"/>
                  <w:sz w:val="18"/>
                  <w:szCs w:val="18"/>
                  <w:color w:val="0000EE"/>
                </w:rPr>
                <w:t>The section entitled “Proposal III - Approval of the Fourth Amended and Restated 2020 Hovnanian Enterprises, Inc. Stock Incentive Plan”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9">
              <w:r>
                <w:rPr>
                  <w:rFonts w:ascii="Times New Roman" w:cs="Times New Roman" w:eastAsia="Times New Roman" w:hAnsi="Times New Roman"/>
                  <w:sz w:val="18"/>
                  <w:szCs w:val="18"/>
                  <w:color w:val="0000EE"/>
                </w:rPr>
                <w:t>of the Company’s Definitive Proxy Statement (incorporated by reference to the Company’s Definitive Proxy Statement on Schedule 14A</w:t>
              </w:r>
            </w:hyperlink>
          </w:p>
        </w:tc>
        <w:tc>
          <w:tcPr>
            <w:tcW w:w="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9">
              <w:r>
                <w:rPr>
                  <w:rFonts w:ascii="Times New Roman" w:cs="Times New Roman" w:eastAsia="Times New Roman" w:hAnsi="Times New Roman"/>
                  <w:sz w:val="18"/>
                  <w:szCs w:val="18"/>
                  <w:color w:val="0000EE"/>
                </w:rPr>
                <w:t>filed on February 9, 2026).</w:t>
              </w:r>
            </w:hyperlink>
          </w:p>
        </w:tc>
        <w:tc>
          <w:tcPr>
            <w:tcW w:w="2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88"/>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HOVNANIAN ENTERPRISES, INC.</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6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By:  /s/ Elizabeth 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26035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Elizabeth Tice</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201930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549" w:right="519" w:bottom="1440" w:gutter="0" w:footer="0" w:header="0"/>
        </w:sectPr>
      </w:pPr>
    </w:p>
    <w:bookmarkStart w:id="4" w:name="page5"/>
    <w:bookmarkEnd w:id="4"/>
    <w:p>
      <w:pPr>
        <w:ind w:left="102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FOURTH AMENDED AND RESTATED 2020 HOVNANIAN ENTERPRISES,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03" w:lineRule="exact"/>
        <w:rPr>
          <w:sz w:val="20"/>
          <w:szCs w:val="20"/>
          <w:color w:val="auto"/>
        </w:rPr>
      </w:pPr>
    </w:p>
    <w:p>
      <w:pPr>
        <w:ind w:left="620" w:hanging="612"/>
        <w:spacing w:after="0"/>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Plan is to aid the Company and its Affiliates in recruiting and retaining key employees, directors and consultants of outstanding ability and to motivate such employees, directors and consultants to exert their best efforts on behalf of the Company and its Affiliates by providing incentives through the granting of Awards. The Company expects that it will benefit from the added interest which such key employees, directors or consultants will have in the welfare of the Company as a result of their proprietary interest in the Company’s success.</w:t>
      </w:r>
    </w:p>
    <w:p>
      <w:pPr>
        <w:spacing w:after="0" w:line="176" w:lineRule="exact"/>
        <w:rPr>
          <w:sz w:val="20"/>
          <w:szCs w:val="20"/>
          <w:color w:val="auto"/>
        </w:rPr>
      </w:pPr>
    </w:p>
    <w:p>
      <w:pPr>
        <w:ind w:left="620" w:hanging="612"/>
        <w:spacing w:after="0"/>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capitalized terms used in the Plan have the respective meanings set forth in this Section:</w:t>
      </w:r>
    </w:p>
    <w:p>
      <w:pPr>
        <w:spacing w:after="0" w:line="225" w:lineRule="exact"/>
        <w:rPr>
          <w:sz w:val="20"/>
          <w:szCs w:val="20"/>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Securities Exchange Act of 1934, as amended, or any successor thereto.</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the Company, any entity directly or indirectly controlling, controlled by, or under common control with, the Company or any other entity designated by the Board in which the Company or an Affiliate has an interest.</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 Option, Stock Appreciation Right or Other Stock-Based Award granted pursuant to the Plan.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A “beneficial owner”, as such term is defined in Rule 13d-3 under the Act (or any successor rule thereto).</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The occurrence of any of the following with respect to a Participant: (a) the willful and continued failure of the Participant to perform substantially all of his or her duties with the Company (other than any such failure resulting from incapacity due to physical or mental illness) for a period of 10 days following a written demand for substantial performance that is delivered to such Participant by the Company, which specifically identifies the manner in which the Company believes the Participant has not substantially performed his or her duties; (b) dishonesty in the performance of the Participant’s duties with the Company; (c) the Participant’s conviction of, or plea of guilty or nolo contendere to, a crime under the laws of the United States or any state thereof constituting a felony or a misdemeanor involving moral turpitude; (d) the Participant’s willful malfeasance or willful misconduct in connection with the Participant’s duties with the Company or any act or omission which is injurious to the financial condition or business reputation of the Company or its affiliates; or (e) the Participant’s breach of any restrictive covenant provisions set forth in the Participant’s Award agreement.</w:t>
      </w:r>
    </w:p>
    <w:p>
      <w:pPr>
        <w:spacing w:after="0" w:line="17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 following events:</w:t>
      </w:r>
    </w:p>
    <w:p>
      <w:pPr>
        <w:spacing w:after="0" w:line="225" w:lineRule="exact"/>
        <w:rPr>
          <w:sz w:val="20"/>
          <w:szCs w:val="20"/>
          <w:color w:val="auto"/>
        </w:rPr>
      </w:pPr>
    </w:p>
    <w:p>
      <w:pPr>
        <w:jc w:val="both"/>
        <w:ind w:left="800" w:firstLine="639"/>
        <w:spacing w:after="0" w:line="258" w:lineRule="auto"/>
        <w:tabs>
          <w:tab w:leader="none" w:pos="191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Person holding securities representing 10% or more of the combined voting power of the Company’s outstanding securities as of the Effective Date, or any Family Member of such a Person, the Company, any trustee or other fiduciary holding securities under an employee benefit plan of the Company, or any company owned, directly or indirectly, by the shareholders of the Company in substantially the same proportions as their ownership of stock of the Company), becomes the Beneficial Owner, directly or indirectly, of securities of the Company, representing 50% or more of the combined voting power of the Company’s then-outstanding securities;</w:t>
      </w:r>
    </w:p>
    <w:p>
      <w:pPr>
        <w:spacing w:after="0" w:line="183" w:lineRule="exact"/>
        <w:rPr>
          <w:rFonts w:ascii="Times New Roman" w:cs="Times New Roman" w:eastAsia="Times New Roman" w:hAnsi="Times New Roman"/>
          <w:sz w:val="18"/>
          <w:szCs w:val="18"/>
          <w:color w:val="auto"/>
        </w:rPr>
      </w:pPr>
    </w:p>
    <w:p>
      <w:pPr>
        <w:jc w:val="both"/>
        <w:ind w:left="800" w:firstLine="639"/>
        <w:spacing w:after="0" w:line="254" w:lineRule="auto"/>
        <w:tabs>
          <w:tab w:leader="none" w:pos="19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twenty-four consecutive months (not including any period prior to the Effective Date), individuals who at the beginning of such period constitute the Board, and any new director (other than (A) a director nominated by a Person who has entered into an agreement with the Company to effect a transaction described in clauses (i), (iii) or (iv) of this definition or (B) a director nominated by any Person (including the Company) who publicly announces an intention to take or to consider taking actions (including, but not limited to, an actual or threatened proxy contest) which if consummated would constitute a Change in Control) whose election by the Board or nomination for election by the Company’s shareholders was approved in advance by a vote of at least two-thirds (2/3) of the directors then still in office who either were directors at the beginning of the period or whose election or nomination for election was previously so approved, cease for any reason to constitute at least a majority thereof;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800" w:right="40" w:firstLine="639"/>
        <w:spacing w:after="0" w:line="261" w:lineRule="auto"/>
        <w:tabs>
          <w:tab w:leader="none" w:pos="2019"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or series of transactions under which the Company is merged or consolidated with any other company, other than a merger or consolidation which results in the shareholders of the Company immediately prior thereto continuing to own (either by remaining outstanding or by being converted into voting securities of the surviving entity) more than 65% of the combined voting power of the voting securities of the Company or such surviving entity outstanding immediately after such merger or consolidation; or</w:t>
      </w:r>
    </w:p>
    <w:p>
      <w:pPr>
        <w:spacing w:after="0" w:line="179" w:lineRule="exact"/>
        <w:rPr>
          <w:rFonts w:ascii="Times New Roman" w:cs="Times New Roman" w:eastAsia="Times New Roman" w:hAnsi="Times New Roman"/>
          <w:sz w:val="18"/>
          <w:szCs w:val="18"/>
          <w:color w:val="auto"/>
        </w:rPr>
      </w:pPr>
    </w:p>
    <w:p>
      <w:pPr>
        <w:ind w:left="800" w:right="40" w:firstLine="639"/>
        <w:spacing w:after="0" w:line="282" w:lineRule="auto"/>
        <w:tabs>
          <w:tab w:leader="none" w:pos="194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complete liquidation of the Company or the sale or disposition by the Company of all or substantially all of the Company’s assets, other than a liquidation of the Company into a wholly-owned subsidiary.</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or any successor thereto.</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Compensation Committee of the Board (or a subcommittee thereof as provided under Section 4), or such other committee of the Board to which the Board has delegated power to act under or pursuant to the provisions of the Plan, or the full Board.</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Hovnanian Enterprises, Inc., a Delaware corporation, and any successors thereto.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Inability of a Participant to perform in all material respects his duties and responsibilities to the Company, or any Subsidiary of the Company, by reason of a physical or mental disability or infirmity which inability is reasonably expected to be permanent and has continued (i) for a period of six consecutive months or (ii) such shorter period as the Committee may reasonably determine in good faith. The Disability determination shall be in the sole discretion of the Committee and a Participant (or his representative) shall furnish the Committee with medical evidence documenting the Participant’s disability or infirmity which is satisfactory to the Committee.</w:t>
      </w:r>
    </w:p>
    <w:p>
      <w:pPr>
        <w:spacing w:after="0" w:line="183"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January 24, 2020, the date the Plan was initially adopted by the Board, prior to the amendment and restatement thereof.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On a given date, the closing price of the Shares as reported on such date on the Composite Tape of the principal national securities exchange on which such Shares are listed or admitted to trading, or, if no Composite Tape exists for such national securities exchange on such date, then on the principal national securities exchange on which such Shares are listed or admitted to trading, or, if the Shares are not listed or admitted on a national securities exchange, the arithmetic mean of the per Share closing bid price and per Share closing asked price on such date as quoted on the National Association of Securities Dealers Automated Quotation System (or such market in which such prices are regularly quoted), or, if there is no market on which the Shares are regularly quoted, the Fair Market Value shall be the value established by the Committee in good faith. If no sale of Shares shall have been reported on such Composite Tape or such national securities exchange on such date or quoted on the National Association of Securities Dealer Automated Quotation System on such date, then the immediately preceding date on which sales of the Shares have been so reported or quoted shall be used.</w:t>
      </w:r>
    </w:p>
    <w:p>
      <w:pPr>
        <w:spacing w:after="0" w:line="17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0" w:right="40" w:firstLine="639"/>
        <w:spacing w:after="0" w:line="282" w:lineRule="auto"/>
        <w:tabs>
          <w:tab w:leader="none" w:pos="19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holding securities representing 10% or more of the combined voting power of the Company’s outstanding securities as of the Effective Date;</w:t>
      </w:r>
    </w:p>
    <w:p>
      <w:pPr>
        <w:spacing w:after="0" w:line="161" w:lineRule="exact"/>
        <w:rPr>
          <w:rFonts w:ascii="Times New Roman" w:cs="Times New Roman" w:eastAsia="Times New Roman" w:hAnsi="Times New Roman"/>
          <w:sz w:val="18"/>
          <w:szCs w:val="18"/>
          <w:color w:val="auto"/>
        </w:rPr>
      </w:pPr>
    </w:p>
    <w:p>
      <w:pPr>
        <w:ind w:left="1920" w:hanging="481"/>
        <w:spacing w:after="0"/>
        <w:tabs>
          <w:tab w:leader="none" w:pos="19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spouse of such a person;</w:t>
      </w:r>
    </w:p>
    <w:p>
      <w:pPr>
        <w:spacing w:after="0" w:line="225" w:lineRule="exact"/>
        <w:rPr>
          <w:rFonts w:ascii="Times New Roman" w:cs="Times New Roman" w:eastAsia="Times New Roman" w:hAnsi="Times New Roman"/>
          <w:sz w:val="18"/>
          <w:szCs w:val="18"/>
          <w:color w:val="auto"/>
        </w:rPr>
      </w:pPr>
    </w:p>
    <w:p>
      <w:pPr>
        <w:ind w:left="1940" w:hanging="501"/>
        <w:spacing w:after="0"/>
        <w:tabs>
          <w:tab w:leader="none" w:pos="19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descendant of such a person;</w:t>
      </w:r>
    </w:p>
    <w:p>
      <w:pPr>
        <w:spacing w:after="0" w:line="225" w:lineRule="exact"/>
        <w:rPr>
          <w:rFonts w:ascii="Times New Roman" w:cs="Times New Roman" w:eastAsia="Times New Roman" w:hAnsi="Times New Roman"/>
          <w:sz w:val="18"/>
          <w:szCs w:val="18"/>
          <w:color w:val="auto"/>
        </w:rPr>
      </w:pPr>
    </w:p>
    <w:p>
      <w:pPr>
        <w:ind w:left="1920" w:hanging="481"/>
        <w:spacing w:after="0"/>
        <w:tabs>
          <w:tab w:leader="none" w:pos="19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spouse of any descendant of such a person; or</w:t>
      </w:r>
    </w:p>
    <w:p>
      <w:pPr>
        <w:spacing w:after="0" w:line="225" w:lineRule="exact"/>
        <w:rPr>
          <w:rFonts w:ascii="Times New Roman" w:cs="Times New Roman" w:eastAsia="Times New Roman" w:hAnsi="Times New Roman"/>
          <w:sz w:val="18"/>
          <w:szCs w:val="18"/>
          <w:color w:val="auto"/>
        </w:rPr>
      </w:pPr>
    </w:p>
    <w:p>
      <w:pPr>
        <w:ind w:left="1920" w:hanging="481"/>
        <w:spacing w:after="0"/>
        <w:tabs>
          <w:tab w:leader="none" w:pos="19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for the benefit of any of the aforementioned persons.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The occurrence of any of the following with respect to a Participant, without the Participant’s express written consent: (a) any material diminution in the Participant’s duties, titles or responsibilities with the Company from those in effect immediately prior to a Change in Control or</w:t>
      </w:r>
    </w:p>
    <w:p>
      <w:pPr>
        <w:jc w:val="both"/>
        <w:ind w:firstLine="8"/>
        <w:spacing w:after="0" w:line="253" w:lineRule="auto"/>
        <w:tabs>
          <w:tab w:leader="none" w:pos="2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Participant’s annual base salary or any material reduction in the Participant’s annual bonus opportunity, annual equity awards or long-term incentive program awards from the Participant’s annual base salary or annual bonus opportunity, annual equity awards or long-term incentive program awards in effect immediately prior to a Change in Control. Notwithstanding the foregoing, no event shall constitute Good Reason unless the Participant provides the Company with written notice of such event within 60 days after the occurrence thereof and the Company fails to cure or resolve the behavior otherwise constituting Good Reason within 30 days of its receipt of such notice.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An Option that is also an incentive stock option granted pursuant to Section 6(d) of the Plan.</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 Condition</w:t>
      </w:r>
      <w:r>
        <w:rPr>
          <w:rFonts w:ascii="Times New Roman" w:cs="Times New Roman" w:eastAsia="Times New Roman" w:hAnsi="Times New Roman"/>
          <w:sz w:val="18"/>
          <w:szCs w:val="18"/>
          <w:color w:val="auto"/>
        </w:rPr>
        <w:t>: The requirement, with respect to any Award, that vesting of (or lapsing of restrictions on) such Award does not occur any more rapidly than on the first anniversary of the grant date for such Award (or the date of commencement of employment or service, in the case of a grant made in connection with a Participant’s commencement of employment or service), other than (i) in connection with a Change in Control or (ii) as a result of a Participant’s death, retirement, Disability or involuntary termination of employment without cause; provided, that such Minimum Vesting Condition will not be required on Awards covering, in the aggregate, a number of Shares not to exceed 5% of the Absolute Share Limit, as defined in Section 3.</w:t>
      </w:r>
    </w:p>
    <w:p>
      <w:pPr>
        <w:spacing w:after="0" w:line="18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Awards granted pursuant to Section 8 of the Plan.</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 stock option granted pursuant to Section 6 of the Plan.</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purchase price per Share of an Option, as determined pursuant to Section 6(a) of the Plan.</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employee, director or consultant of the Company or any of its Affiliates who is selected by the Committee to participate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0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Awards</w:t>
      </w:r>
      <w:r>
        <w:rPr>
          <w:rFonts w:ascii="Times New Roman" w:cs="Times New Roman" w:eastAsia="Times New Roman" w:hAnsi="Times New Roman"/>
          <w:sz w:val="18"/>
          <w:szCs w:val="18"/>
          <w:color w:val="auto"/>
        </w:rPr>
        <w:t>: Certain Other Stock-Based Awards granted pursuant to Section 8(b) of the Plan.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 “person”, as such term is used for purposes of Section 13(d) or 14(d) of the Act (or any successor section thereto).</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Amended and Restated 2020 Hovnanian Enterprises, Inc. Stock Incentive Plan.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The 2012 Hovnanian Enterprises, Inc. Amended and Restated Stock Incentive Plan.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Plan Award</w:t>
      </w:r>
      <w:r>
        <w:rPr>
          <w:rFonts w:ascii="Times New Roman" w:cs="Times New Roman" w:eastAsia="Times New Roman" w:hAnsi="Times New Roman"/>
          <w:sz w:val="18"/>
          <w:szCs w:val="18"/>
          <w:color w:val="auto"/>
        </w:rPr>
        <w:t>: An equity award granted under the Prior Plan which remained outstanding as of March 24, 2020 (the date this Plan was initially approved by the Company’s shareholders prior to the amendment and restatement thereof).</w:t>
      </w:r>
    </w:p>
    <w:p>
      <w:pPr>
        <w:spacing w:after="0" w:line="162"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Shares of common stock of the Company.</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A stock appreciation right granted pursuant to Section 7 of the Plan.</w:t>
      </w:r>
    </w:p>
    <w:p>
      <w:pPr>
        <w:spacing w:after="0" w:line="21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 subsidiary corporation, as defined in Section 424(f) of the Code (or any successor section thereto).</w:t>
      </w:r>
    </w:p>
    <w:p>
      <w:pPr>
        <w:spacing w:after="0" w:line="221" w:lineRule="exact"/>
        <w:rPr>
          <w:sz w:val="20"/>
          <w:szCs w:val="20"/>
          <w:color w:val="auto"/>
        </w:rPr>
      </w:pPr>
    </w:p>
    <w:p>
      <w:pPr>
        <w:ind w:left="620" w:hanging="612"/>
        <w:spacing w:after="0"/>
        <w:tabs>
          <w:tab w:leader="none" w:pos="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Sections 4, 6(f) and 9 of the Plan, the total number of Shares which may be issued under the Plan pursuant to grants of ISOs or other Awards is 1,815,000 (the “</w:t>
      </w:r>
      <w:r>
        <w:rPr>
          <w:rFonts w:ascii="Times New Roman" w:cs="Times New Roman" w:eastAsia="Times New Roman" w:hAnsi="Times New Roman"/>
          <w:sz w:val="18"/>
          <w:szCs w:val="18"/>
          <w:u w:val="single" w:color="auto"/>
          <w:color w:val="auto"/>
        </w:rPr>
        <w:t>Absolute Share Limit</w:t>
      </w:r>
      <w:r>
        <w:rPr>
          <w:rFonts w:ascii="Times New Roman" w:cs="Times New Roman" w:eastAsia="Times New Roman" w:hAnsi="Times New Roman"/>
          <w:sz w:val="18"/>
          <w:szCs w:val="18"/>
          <w:color w:val="auto"/>
        </w:rPr>
        <w:t>”). The Shares may consist, in whole or in part, of unissued Shares or treasury Shares. The issuance of Shares or payment of cash upon the exercise of an Award or in consideration of the cancellation or termination of an Award shall reduce the total number of Shares available under the Plan, as applicable. If Shares are not issued or are withheld from payment of an Award to satisfy tax obligations with respect to the Award, such Shares will not be added back to the aggregate number of Shares with respect to which Awards may be granted under the Plan, but rather will count against the aggregate number of Shares with respect to which Awards may be granted under the Plan. When an Option or Stock Appreciation Right is granted under the Plan, the number of Shares subject to the Option or Stock Appreciation Right will be counted against the aggregate number of Shares with respect to which Awards may be granted under the Plan as one Share for every Share subject to such Option or Stock Appreciation Right. No Shares will be added back to the Share reserve under the Plan with respect to exercised Stock Appreciation Rights granted under the Plan (regardless of whether the Stock Appreciation Rights are cash settled or stock settled). Additionally, no Shares will be added back to the Share reserve under the Plan in the event that (i) a portion of the Shares covered by an Option are tendered to the Company or “net settled” to cover payment of the Option exercise price or (ii) the Company utilizes the proceeds received upon Option exercise to repurchase Shares on the open market or otherwise. For the avoidance of doubt, any cash-based or other incentive awards granted outside of the Plan shall not count against the Absolute Share Limit, regardless of whether any such incentive awards may be denominated in or otherwise linked to the Company’s Shares. In the event that any Awards under the Plan or any Prior Plan Awards terminate or lapse for any reason without payment of consideration, the number of Shares subject to such terminated or lapsed Awards or Prior Plan Awards shall be available for future Award grants under the Plan. The maximum number of Shares subject to Awards granted during a calendar year to any non-employee director serving on the Board, taken together with any cash fees paid to such non-employee director during such calendar year, shall not exceed $600,000 in total value (calculating the value of any such Awards based on the grant date fair value of such Awards for financial reporting purposes).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left="620" w:hanging="612"/>
        <w:spacing w:after="0"/>
        <w:tabs>
          <w:tab w:leader="none" w:pos="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Plan shall be administered by the Committee, which may delegate its duties and powers in whole or in part to any subcommittee thereof consisting solely of at least two individuals who are each intended to qualify as “non-employee directors” within the meaning of Rule 16b-3 under the Act (or any successor rule thereto) and “independent directors” within the meaning of the applicable rules, if any, of any national securities exchange on which Shares are listed or admitted to trading; provided, however, that any action permitted to be taken by the Committee may be taken by the Board, in its discretion. The Committee shall have the full power and authority to establish the terms and conditions of any Award consistent with the provisions of the Plan and subject to the Minimum Vesting Condition. Following the grant of any Award, the Committee shall be authorized to waive any such terms and conditions associated with the Award at any time (including, without limitation, accelerating or waiving any vesting conditions) in connection with a Participant’s death or Disability. The Committee is authorized to interpret the Plan, to establish, amend and rescind any rules and regulations relating to the Plan, and to make any other determinations that it deems necessary or desirable for the administration of the Plan. The Committee may correct any defect or omission or reconcile any inconsistency in the Plan in the manner and to the extent the Committee deems necessary or desirable. Any decision of the Committee in the interpretation and administrations of the Plan, as described herein, shall lie within its sole and absolute discretion and shall be final, conclusive and binding on all parties concerned (including, but not limited to Participants and their beneficiaries or successors). Determinations made by the Committee under the Plan need not be uniform and may be made selectively among Participants, whether or not such Participants are similarly situated. Awards may, in the discretion of the Committee, be made under the Plan in assumption of, or in substitution for, outstanding awards previously granted by the Company or its Affiliates or a company acquired by the Company or with which the Company combines. The number of Shares underlying such substitute awards shall be counted against the aggregate number of Shares available for Awards under the Plan. The Committee shall require payment of any minimum amount it may determine to be necessary to withhold for federal, state, local or other, taxes as a result of the exercise or vesting of an Award. Unless the Committee specifies otherwise, the Participant may elect to pay a portion or all of such minimum withholding taxes by (a) delivery in Shares or</w:t>
      </w:r>
    </w:p>
    <w:p>
      <w:pPr>
        <w:spacing w:after="0" w:line="10" w:lineRule="exact"/>
        <w:rPr>
          <w:sz w:val="20"/>
          <w:szCs w:val="20"/>
          <w:color w:val="auto"/>
        </w:rPr>
      </w:pPr>
    </w:p>
    <w:p>
      <w:pPr>
        <w:jc w:val="both"/>
        <w:ind w:firstLine="8"/>
        <w:spacing w:after="0" w:line="252" w:lineRule="auto"/>
        <w:tabs>
          <w:tab w:leader="none" w:pos="2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Shares withheld by the Company from any Shares that would have otherwise been received by the Participant. The number of Shares so delivered or withheld shall have an aggregate Fair Market Value sufficient to satisfy the applicable minimum withholding taxes. If the chief executive officer of the Company is a member of the Board, the Board by specific resolution may constitute such chief executive officer as a committee of one which shall have the authority to grant Awards of up to an aggregate of 40,000 Shares in each fiscal year to Participants who are not subject to the rules promulgated under Section 16 of the Act (or any successor section thereto); provided, however, that such chief executive officer shall notify the Committee of any such grants made pursuant to this Section 4.</w:t>
      </w:r>
    </w:p>
    <w:p>
      <w:pPr>
        <w:spacing w:after="0" w:line="186" w:lineRule="exact"/>
        <w:rPr>
          <w:sz w:val="20"/>
          <w:szCs w:val="20"/>
          <w:color w:val="auto"/>
        </w:rPr>
      </w:pPr>
    </w:p>
    <w:p>
      <w:pPr>
        <w:ind w:left="620" w:hanging="612"/>
        <w:spacing w:after="0"/>
        <w:tabs>
          <w:tab w:leader="none" w:pos="6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Award may be granted under the Plan after the tenth anniversary of the Effective Date, but Awards theretofore granted may extend beyond that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620" w:hanging="612"/>
        <w:spacing w:after="0"/>
        <w:tabs>
          <w:tab w:leader="none" w:pos="6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OPTIONS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183" w:lineRule="exact"/>
        <w:rPr>
          <w:sz w:val="20"/>
          <w:szCs w:val="20"/>
          <w:color w:val="auto"/>
        </w:rPr>
      </w:pPr>
    </w:p>
    <w:p>
      <w:pPr>
        <w:jc w:val="both"/>
        <w:ind w:left="140" w:firstLine="651"/>
        <w:spacing w:after="0" w:line="266"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Option Price per Share shall be determined by the Committee, but shall not be less than 100% of the Fair Market Value of a Share on the date an Option is granted (other than in the case of Options granted in substitution of previously granted awards, as described in Section 4).</w:t>
      </w:r>
    </w:p>
    <w:p>
      <w:pPr>
        <w:spacing w:after="0" w:line="175" w:lineRule="exact"/>
        <w:rPr>
          <w:rFonts w:ascii="Times New Roman" w:cs="Times New Roman" w:eastAsia="Times New Roman" w:hAnsi="Times New Roman"/>
          <w:sz w:val="18"/>
          <w:szCs w:val="18"/>
          <w:color w:val="auto"/>
        </w:rPr>
      </w:pPr>
    </w:p>
    <w:p>
      <w:pPr>
        <w:ind w:left="140" w:firstLine="651"/>
        <w:spacing w:after="0" w:line="282" w:lineRule="auto"/>
        <w:tabs>
          <w:tab w:leader="none" w:pos="11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Options granted under the Plan shall be exercisable at such time and upon such terms and conditions as may be determined by the Committee, but in no event shall an Option be exercisable more than ten years after the date it is granted.</w:t>
      </w:r>
    </w:p>
    <w:p>
      <w:pPr>
        <w:spacing w:after="0" w:line="161" w:lineRule="exact"/>
        <w:rPr>
          <w:rFonts w:ascii="Times New Roman" w:cs="Times New Roman" w:eastAsia="Times New Roman" w:hAnsi="Times New Roman"/>
          <w:sz w:val="18"/>
          <w:szCs w:val="18"/>
          <w:color w:val="auto"/>
        </w:rPr>
      </w:pPr>
    </w:p>
    <w:p>
      <w:pPr>
        <w:jc w:val="both"/>
        <w:ind w:left="140" w:firstLine="651"/>
        <w:spacing w:after="0" w:line="253"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Except as otherwise provided in the Plan or in an Award agreement, an Option may be exercised for all, or from time to time any part, of the Shares for which it is then exercisable. For purposes of Section 6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in full not later than at the time that the Shares being purchased are delivered to or at the direction of the Participant, in each case at the election of the Participant to the extent permitted by law and as designated by the Committee, (i) in cash, (ii) 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partly in such Shares, (iv) through the delivery of irrevocable instruments to a broker to deliver promptly to the Company an amount equal to the aggregate Option Price for the Shares being purchased or (v) through net settlement in Shares. No Participant shall have any rights to dividends, dividend equivalents or other rights of a shareholder with respect to Shares subject to an Option until the Participant has given written notice of exercise of the Option, paid in full for such Shares and, if applicable, has satisfied any other conditions imposed by the Committee pursuant to the Plan.</w:t>
      </w:r>
    </w:p>
    <w:p>
      <w:pPr>
        <w:sectPr>
          <w:pgSz w:w="11900" w:h="16838" w:orient="portrait"/>
          <w:cols w:equalWidth="0" w:num="1">
            <w:col w:w="11240"/>
          </w:cols>
          <w:pgMar w:left="320" w:top="549"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8" w:name="page9"/>
    <w:bookmarkEnd w:id="8"/>
    <w:p>
      <w:pPr>
        <w:jc w:val="both"/>
        <w:ind w:left="140" w:firstLine="651"/>
        <w:spacing w:after="0" w:line="253" w:lineRule="auto"/>
        <w:tabs>
          <w:tab w:leader="none" w:pos="126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ISOs</w:t>
      </w:r>
      <w:r>
        <w:rPr>
          <w:rFonts w:ascii="Times New Roman" w:cs="Times New Roman" w:eastAsia="Times New Roman" w:hAnsi="Times New Roman"/>
          <w:sz w:val="18"/>
          <w:szCs w:val="18"/>
          <w:color w:val="auto"/>
        </w:rPr>
        <w:t>. The Committee may grant Options under the Plan that are intended to be ISOs. Such ISOs shall comply with the requirements of Section 422 of the Code (or any successor section thereto). No ISO may be granted to any Participant who at the time of such grant, owns more than 10%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provided that such Option (or portion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187" w:lineRule="exact"/>
        <w:rPr>
          <w:rFonts w:ascii="Times New Roman" w:cs="Times New Roman" w:eastAsia="Times New Roman" w:hAnsi="Times New Roman"/>
          <w:sz w:val="18"/>
          <w:szCs w:val="18"/>
          <w:color w:val="auto"/>
        </w:rPr>
      </w:pPr>
    </w:p>
    <w:p>
      <w:pPr>
        <w:jc w:val="both"/>
        <w:ind w:left="140" w:firstLine="651"/>
        <w:spacing w:after="0" w:line="261" w:lineRule="auto"/>
        <w:tabs>
          <w:tab w:leader="none" w:pos="122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Attestation</w:t>
      </w:r>
      <w:r>
        <w:rPr>
          <w:rFonts w:ascii="Times New Roman" w:cs="Times New Roman" w:eastAsia="Times New Roman" w:hAnsi="Times New Roman"/>
          <w:sz w:val="18"/>
          <w:szCs w:val="18"/>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and/or shall withhold such number of Shares from the Shares acquired by the exercise of the Option, as appropriate.</w:t>
      </w:r>
    </w:p>
    <w:p>
      <w:pPr>
        <w:spacing w:after="0" w:line="179" w:lineRule="exact"/>
        <w:rPr>
          <w:rFonts w:ascii="Times New Roman" w:cs="Times New Roman" w:eastAsia="Times New Roman" w:hAnsi="Times New Roman"/>
          <w:sz w:val="18"/>
          <w:szCs w:val="18"/>
          <w:color w:val="auto"/>
        </w:rPr>
      </w:pPr>
    </w:p>
    <w:p>
      <w:pPr>
        <w:jc w:val="both"/>
        <w:ind w:left="140" w:firstLine="651"/>
        <w:spacing w:after="0" w:line="258" w:lineRule="auto"/>
        <w:tabs>
          <w:tab w:leader="none" w:pos="119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Repricing of Options</w:t>
      </w:r>
      <w:r>
        <w:rPr>
          <w:rFonts w:ascii="Times New Roman" w:cs="Times New Roman" w:eastAsia="Times New Roman" w:hAnsi="Times New Roman"/>
          <w:sz w:val="18"/>
          <w:szCs w:val="18"/>
          <w:color w:val="auto"/>
        </w:rPr>
        <w:t>. Notwithstanding any other provisions under the Plan, no action shall be taken under the Plan to (i) lower the exercise prices of any Company stock options after they are granted, (ii) exchange stock options for stock options with lower exercise prices or cancel an Option when the Option Price exceeds the Fair Market Value in exchange for cash or other Awards (other than pursuant to Section 9 hereof) or (iii) take any other action that is treated as a “repricing” of stock options under generally accepted accounting principles. Any such approved action shall be treated as a grant of a new Award to the extent required under Sections 422 or 424 of the Code (for stock options that are intended to retain their status as ISOs).</w:t>
      </w:r>
    </w:p>
    <w:p>
      <w:pPr>
        <w:spacing w:after="0" w:line="179"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STOCK APPRECIATION RIGHTS</w:t>
      </w:r>
    </w:p>
    <w:p>
      <w:pPr>
        <w:spacing w:after="0" w:line="229" w:lineRule="exact"/>
        <w:rPr>
          <w:rFonts w:ascii="Times New Roman" w:cs="Times New Roman" w:eastAsia="Times New Roman" w:hAnsi="Times New Roman"/>
          <w:sz w:val="18"/>
          <w:szCs w:val="18"/>
          <w:b w:val="1"/>
          <w:bCs w:val="1"/>
          <w:color w:val="auto"/>
        </w:rPr>
      </w:pPr>
    </w:p>
    <w:p>
      <w:pPr>
        <w:jc w:val="both"/>
        <w:ind w:left="140" w:firstLine="651"/>
        <w:spacing w:after="0" w:line="256" w:lineRule="auto"/>
        <w:tabs>
          <w:tab w:leader="none" w:pos="1293"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The Committee also may grant (i) a Stock Appreciation Right independent of an Option or (ii) a Stock Appreciation Right in connection with an Option, or a portion thereof. A Stock Appreciation Right granted pursuant to clause (ii) of the preceding sentence (A) may be granted at the time the related Option is granted or at any time prior to the exercise or cancellation of the related Option, (B) shall cover the same number of Shares covered by an Option (or such lesser number of Shares as the Committee may determine) and (C) shall be subject to the same terms and conditions as such Option except for such additional limitations as are contemplated by this Section 7 (or such additional limitations as may be included in an Award agreement).</w:t>
      </w:r>
    </w:p>
    <w:p>
      <w:pPr>
        <w:spacing w:after="0" w:line="173" w:lineRule="exact"/>
        <w:rPr>
          <w:rFonts w:ascii="Times New Roman" w:cs="Times New Roman" w:eastAsia="Times New Roman" w:hAnsi="Times New Roman"/>
          <w:sz w:val="18"/>
          <w:szCs w:val="18"/>
          <w:color w:val="auto"/>
        </w:rPr>
      </w:pPr>
    </w:p>
    <w:p>
      <w:pPr>
        <w:jc w:val="both"/>
        <w:ind w:left="140" w:firstLine="651"/>
        <w:spacing w:after="0" w:line="269" w:lineRule="auto"/>
        <w:tabs>
          <w:tab w:leader="none" w:pos="1236"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The exercise price per Share of a Stock Appreciation Right shall be an amount determined by the Committee but in no event shall such amount be less than the greater of (i) the Fair Market Value of a Share on the date the Stock Appreciation Right is granted or, in the case of a Stock Appreciation Right granted in conjunction with an Option, or a portion thereof, the Option Price of the related Option and (ii) an amount permitted by applicable laws, rules, restated By-laws or policies of regulatory authorities or stock exchanges. Each Stock Appreciation Right granted independent of an Option shall entitle a Participant upon exercise to an amount equal to (i) the excess of (A) the Fair Market Value on the exercise date of one Share over</w:t>
      </w:r>
    </w:p>
    <w:p>
      <w:pPr>
        <w:spacing w:after="0" w:line="2" w:lineRule="exact"/>
        <w:rPr>
          <w:rFonts w:ascii="Times New Roman" w:cs="Times New Roman" w:eastAsia="Times New Roman" w:hAnsi="Times New Roman"/>
          <w:sz w:val="17"/>
          <w:szCs w:val="17"/>
          <w:color w:val="auto"/>
        </w:rPr>
      </w:pPr>
    </w:p>
    <w:p>
      <w:pPr>
        <w:jc w:val="both"/>
        <w:ind w:left="140" w:firstLine="3"/>
        <w:spacing w:after="0" w:line="251" w:lineRule="auto"/>
        <w:tabs>
          <w:tab w:leader="none" w:pos="44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times (ii) the number of Shares covered by the Stock Appreciation Right. Each Stock Appreciation Right granted in conjunction with an Option, or a portion thereof, shall entitle a Participant to surrender to the Company the unexercised Option, or any portion thereof, and to receive from the Company in exchange therefor an amount equal to (i) the excess of (A) the Fair Market Value on the exercise date of one Share over (B) the Option Price per Share, times (ii) the number of Shares covered by the Option, or portion thereof, which is surrendered. The date a notice of exercise is received by the Company shall be the exercise date. Payment shall be made in Shares or in cash, or partly in Shares and partly in cash (any such Shares valued at such Fair Market Value), all as shall be determined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 in payment for Stock Appreciation Rights, but instead cash will be paid for a fraction or, if the Committee should so determine, the number of Shares will be rounded downward to the next whole Share. No Participant shall have any rights to dividends, dividend equivalents or other rights of a shareholder with respect to Shares subject to a Stock Appreciation Right unless and until the Participant has received such Shares in satisfaction of the Stock Appreciation Right and, if applicable, has satisfied any other conditions imposed by the Committee pursuant to the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ind w:left="140" w:right="20" w:firstLine="651"/>
        <w:spacing w:after="0" w:line="282" w:lineRule="auto"/>
        <w:tabs>
          <w:tab w:leader="none" w:pos="122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The Committee may impose, in its discretion, such conditions upon the exercisability or transferability of Stock Appreciation Rights as it may deem fit.</w:t>
      </w:r>
    </w:p>
    <w:p>
      <w:pPr>
        <w:spacing w:after="0" w:line="161" w:lineRule="exact"/>
        <w:rPr>
          <w:rFonts w:ascii="Times New Roman" w:cs="Times New Roman" w:eastAsia="Times New Roman" w:hAnsi="Times New Roman"/>
          <w:sz w:val="18"/>
          <w:szCs w:val="18"/>
          <w:color w:val="auto"/>
        </w:rPr>
      </w:pPr>
    </w:p>
    <w:p>
      <w:pPr>
        <w:ind w:left="1260" w:hanging="469"/>
        <w:spacing w:after="0"/>
        <w:tabs>
          <w:tab w:leader="none" w:pos="12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Repricing of Stock Appreciation Rights</w:t>
      </w:r>
      <w:r>
        <w:rPr>
          <w:rFonts w:ascii="Times New Roman" w:cs="Times New Roman" w:eastAsia="Times New Roman" w:hAnsi="Times New Roman"/>
          <w:sz w:val="18"/>
          <w:szCs w:val="18"/>
          <w:color w:val="auto"/>
        </w:rPr>
        <w:t>. Notwithstanding any other provisions under the Plan, no action shall be taken under the Plan to</w:t>
      </w:r>
    </w:p>
    <w:p>
      <w:pPr>
        <w:spacing w:after="0" w:line="27" w:lineRule="exact"/>
        <w:rPr>
          <w:rFonts w:ascii="Times New Roman" w:cs="Times New Roman" w:eastAsia="Times New Roman" w:hAnsi="Times New Roman"/>
          <w:sz w:val="18"/>
          <w:szCs w:val="18"/>
          <w:color w:val="auto"/>
        </w:rPr>
      </w:pPr>
    </w:p>
    <w:p>
      <w:pPr>
        <w:jc w:val="both"/>
        <w:ind w:left="140" w:firstLine="3"/>
        <w:spacing w:after="0" w:line="253" w:lineRule="auto"/>
        <w:tabs>
          <w:tab w:leader="none" w:pos="35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the exercise prices of any Company stock appreciation right after they are granted, (ii) exchange stock appreciation rights for stock appreciation rights with lower exercise prices or cancel a stock appreciation right when the exercise price exceeds the Fair Market Value in exchange for cash or other Awards (other than pursuant to Section 9 hereof) or (iii) take any other action that is treated as a “repricing” of stock appreciation rights under generally accepted accounting principles.</w:t>
      </w:r>
    </w:p>
    <w:p>
      <w:pPr>
        <w:spacing w:after="0" w:line="184"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STOCK-BASED AWARDS</w:t>
      </w:r>
    </w:p>
    <w:p>
      <w:pPr>
        <w:spacing w:after="0" w:line="229" w:lineRule="exact"/>
        <w:rPr>
          <w:rFonts w:ascii="Times New Roman" w:cs="Times New Roman" w:eastAsia="Times New Roman" w:hAnsi="Times New Roman"/>
          <w:sz w:val="18"/>
          <w:szCs w:val="18"/>
          <w:b w:val="1"/>
          <w:bCs w:val="1"/>
          <w:color w:val="auto"/>
        </w:rPr>
      </w:pPr>
    </w:p>
    <w:p>
      <w:pPr>
        <w:jc w:val="both"/>
        <w:ind w:left="140" w:firstLine="651"/>
        <w:spacing w:after="0" w:line="254" w:lineRule="auto"/>
        <w:tabs>
          <w:tab w:leader="none" w:pos="12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Committee, in its sole discretion, may grant or sell Awards of Shares, Awards of restricted Shares and Awards that are valued in whole or in part by reference to, or are otherwise based on the Fair Market Value of, Shares (“</w:t>
      </w: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Such Other Stock-Based Awards shall be in such form, and dependent on such conditions, as the Committee shall determine, including, without limitation, the right to receive one or more Shares (or the equivalent cash value of such Shares or a combination thereof)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subject to Section 4 and provisions ensuring that all Shares so awarded and issued shall be fully paid and non-assessable).</w:t>
      </w:r>
    </w:p>
    <w:p>
      <w:pPr>
        <w:spacing w:after="0" w:line="188" w:lineRule="exact"/>
        <w:rPr>
          <w:rFonts w:ascii="Times New Roman" w:cs="Times New Roman" w:eastAsia="Times New Roman" w:hAnsi="Times New Roman"/>
          <w:sz w:val="18"/>
          <w:szCs w:val="18"/>
          <w:color w:val="auto"/>
        </w:rPr>
      </w:pPr>
    </w:p>
    <w:p>
      <w:pPr>
        <w:jc w:val="both"/>
        <w:ind w:left="140" w:firstLine="651"/>
        <w:spacing w:after="0" w:line="251" w:lineRule="auto"/>
        <w:tabs>
          <w:tab w:leader="none" w:pos="135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Awards</w:t>
      </w:r>
      <w:r>
        <w:rPr>
          <w:rFonts w:ascii="Times New Roman" w:cs="Times New Roman" w:eastAsia="Times New Roman" w:hAnsi="Times New Roman"/>
          <w:sz w:val="18"/>
          <w:szCs w:val="18"/>
          <w:color w:val="auto"/>
        </w:rPr>
        <w:t>. Notwithstanding anything to the contrary herein, certain Other Stock-Based Awards granted under this Section 8 may be granted subject to performance-vesting conditions (“</w:t>
      </w:r>
      <w:r>
        <w:rPr>
          <w:rFonts w:ascii="Times New Roman" w:cs="Times New Roman" w:eastAsia="Times New Roman" w:hAnsi="Times New Roman"/>
          <w:sz w:val="18"/>
          <w:szCs w:val="18"/>
          <w:u w:val="single" w:color="auto"/>
          <w:color w:val="auto"/>
        </w:rPr>
        <w:t>Performance-Based Awards</w:t>
      </w:r>
      <w:r>
        <w:rPr>
          <w:rFonts w:ascii="Times New Roman" w:cs="Times New Roman" w:eastAsia="Times New Roman" w:hAnsi="Times New Roman"/>
          <w:sz w:val="18"/>
          <w:szCs w:val="18"/>
          <w:color w:val="auto"/>
        </w:rPr>
        <w:t>”). The performance goals, which must be objective, shall be based upon one or more of the following criteria: (i) earnings before or after taxes (including earnings before interest, taxes, depreciation and amortization); (ii) net income; (iii) operating income; (iv) earnings per Share; (v) book value per Share; (vi) return on shareholders’ equity; (vii) total shareholder return; (viii) expense management; (ix) return on investment before or after the cost of capital; (x) improvements in capital structure; (xi) profitability of an identifiable business unit or product; (xii) maintenance or improvement of profit margins; (xiii) stock price; (xiv) market share; (xv) revenues or sales; (xvi) costs; (xvii) cash flow; (xviii) working capital; (xix) changes in net assets (whether or not multiplied by a constant percentage intended to represent the cost of capital); and (xx) return on assets. The foregoing criteria may relate to the Company, one or more of its Affiliates or one or more of its divisions or units, or any combination of the foregoing, and may be applied on an absolute basis and/or be relative to one or more peer group companies or indices, or any combination thereof, all as the Committee shall determine. In addition, the performance goals may be calculated without regard to extraordinary items. In any event, the performance goals shall be based on an objective formula or standard. The Committee shall determine whether, with respect to a performance period, the applicable performance goals have been met with respect to a given Participant. The amount of the Performance-Based Award actually paid to a given Participant may be less than the amount determined by the applicable performance goal formula, at the discretion of the Committee. The amount of the Performance-Based Award determined by the Committee for a performance period shall be paid to the Participant at such time as determined by the Committee in its sole discretion after the end of such performance period; provided, however, that a Participant may, if and to the extent permitted by the Committee, elect to defer payment of a Performance-Based Award.</w:t>
      </w:r>
    </w:p>
    <w:p>
      <w:pPr>
        <w:spacing w:after="0" w:line="194" w:lineRule="exact"/>
        <w:rPr>
          <w:rFonts w:ascii="Times New Roman" w:cs="Times New Roman" w:eastAsia="Times New Roman" w:hAnsi="Times New Roman"/>
          <w:sz w:val="18"/>
          <w:szCs w:val="18"/>
          <w:color w:val="auto"/>
        </w:rPr>
      </w:pPr>
    </w:p>
    <w:p>
      <w:pPr>
        <w:jc w:val="both"/>
        <w:ind w:left="140" w:firstLine="651"/>
        <w:spacing w:after="0" w:line="266" w:lineRule="auto"/>
        <w:tabs>
          <w:tab w:leader="none" w:pos="129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dividends or dividend equivalent payments may be paid with respect to any Other Stock-Based Award, no such dividend or dividend equivalent payments will be made unless and until the corresponding portion of the underlying Other Stock-Based Award becomes earned and vested in accordance with its terms.</w:t>
      </w:r>
    </w:p>
    <w:p>
      <w:pPr>
        <w:spacing w:after="0" w:line="17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UPON CERTAIN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 other provisions in the Plan to the contrary, the following provisions shall apply to all Awards granted under the Plan:</w:t>
      </w:r>
    </w:p>
    <w:p>
      <w:pPr>
        <w:spacing w:after="0" w:line="225" w:lineRule="exact"/>
        <w:rPr>
          <w:sz w:val="20"/>
          <w:szCs w:val="20"/>
          <w:color w:val="auto"/>
        </w:rPr>
      </w:pPr>
    </w:p>
    <w:p>
      <w:pPr>
        <w:jc w:val="both"/>
        <w:ind w:left="140" w:firstLine="651"/>
        <w:spacing w:after="0" w:line="253" w:lineRule="auto"/>
        <w:tabs>
          <w:tab w:leader="none" w:pos="134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In the event of any change in the outstanding Shares after the Effective Date by reason of any Share dividend or split, reorganization, recapitalization, merger, consolidation, spin-off, combination or exchange of Shares or other corporate exchange or change in capital structure, any distribution to shareholders other than regular cash dividends or any similar event, the Committee in its sole discretion and without liability to any person shall make such substitution or adjustment, if any, as it deems to be equitable, as to (i) the number or kind of Shares or other securities issued or reserved for issuance as set forth in Section 3 of the Plan or pursuant to outstanding Awards, (ii) the exercise price relating to outstanding Options or Stock Appreciation Rights, (iii) the maximum number or amount of Awards that may be granted to any Participant during a fiscal year and/or</w:t>
      </w:r>
    </w:p>
    <w:p>
      <w:pPr>
        <w:spacing w:after="0" w:line="5" w:lineRule="exact"/>
        <w:rPr>
          <w:rFonts w:ascii="Times New Roman" w:cs="Times New Roman" w:eastAsia="Times New Roman" w:hAnsi="Times New Roman"/>
          <w:sz w:val="18"/>
          <w:szCs w:val="18"/>
          <w:color w:val="auto"/>
        </w:rPr>
      </w:pPr>
    </w:p>
    <w:p>
      <w:pPr>
        <w:ind w:left="440" w:hanging="297"/>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affected terms of such Awards.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140" w:firstLine="651"/>
        <w:spacing w:after="0" w:line="282" w:lineRule="auto"/>
        <w:tabs>
          <w:tab w:leader="none" w:pos="133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Treatment of Awards Following Change in Control</w:t>
      </w:r>
      <w:r>
        <w:rPr>
          <w:rFonts w:ascii="Times New Roman" w:cs="Times New Roman" w:eastAsia="Times New Roman" w:hAnsi="Times New Roman"/>
          <w:sz w:val="18"/>
          <w:szCs w:val="18"/>
          <w:color w:val="auto"/>
        </w:rPr>
        <w:t>. Without limiting the generality of Sections 9(a) and 9(c) and except as otherwise provided in an Award agreement, the following provisions shall apply to any outstanding Awards following a Change in Control:</w:t>
      </w:r>
    </w:p>
    <w:p>
      <w:pPr>
        <w:spacing w:after="0" w:line="161" w:lineRule="exact"/>
        <w:rPr>
          <w:rFonts w:ascii="Times New Roman" w:cs="Times New Roman" w:eastAsia="Times New Roman" w:hAnsi="Times New Roman"/>
          <w:sz w:val="18"/>
          <w:szCs w:val="18"/>
          <w:color w:val="auto"/>
        </w:rPr>
      </w:pPr>
    </w:p>
    <w:p>
      <w:pPr>
        <w:jc w:val="both"/>
        <w:ind w:left="800" w:firstLine="639"/>
        <w:spacing w:after="0" w:line="266" w:lineRule="auto"/>
        <w:tabs>
          <w:tab w:leader="none" w:pos="1908"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Participant’s involuntary termination of employment with the Company or a subsidiary thereof without “Cause” or for “Good Reason” within two years following a Change in Control, any service-based vesting conditions applicable to Awards held by such Participant shall be deemed fully satisfied and any outstanding Options held by such Participant shall become immediately exercisable.</w:t>
      </w:r>
    </w:p>
    <w:p>
      <w:pPr>
        <w:spacing w:after="0" w:line="175" w:lineRule="exact"/>
        <w:rPr>
          <w:rFonts w:ascii="Times New Roman" w:cs="Times New Roman" w:eastAsia="Times New Roman" w:hAnsi="Times New Roman"/>
          <w:sz w:val="18"/>
          <w:szCs w:val="18"/>
          <w:color w:val="auto"/>
        </w:rPr>
      </w:pPr>
    </w:p>
    <w:p>
      <w:pPr>
        <w:jc w:val="both"/>
        <w:ind w:left="800" w:firstLine="639"/>
        <w:spacing w:after="0" w:line="266" w:lineRule="auto"/>
        <w:tabs>
          <w:tab w:leader="none" w:pos="191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in Control that results in the Company’s Shares ceasing to be publicly traded on a national securities exchange, any service-based vesting conditions applicable to outstanding Awards shall be deemed fully satisfied and any outstanding Options shall become immediately exercisable.</w:t>
      </w:r>
    </w:p>
    <w:p>
      <w:pPr>
        <w:spacing w:after="0" w:line="175" w:lineRule="exact"/>
        <w:rPr>
          <w:rFonts w:ascii="Times New Roman" w:cs="Times New Roman" w:eastAsia="Times New Roman" w:hAnsi="Times New Roman"/>
          <w:sz w:val="18"/>
          <w:szCs w:val="18"/>
          <w:color w:val="auto"/>
        </w:rPr>
      </w:pPr>
    </w:p>
    <w:p>
      <w:pPr>
        <w:jc w:val="both"/>
        <w:ind w:left="800" w:firstLine="639"/>
        <w:spacing w:after="0" w:line="256" w:lineRule="auto"/>
        <w:tabs>
          <w:tab w:leader="none" w:pos="191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outstanding Performance-Based Awards with uncompleted performance periods as of the Change in Control date, (A) any performance-based vesting conditions that are linked to the Company’s Share price shall be deemed to have been achieved at the Share price set forth in the definitive agreement governing the transaction constituting the Change in Control (or, in the absence of such agreement, the closing price per Share for the last trading day prior to the consummation of the Change in Control) and (B) any performance-based vesting conditions that are linked to performance criteria other than the Company’s Share price shall be deemed to have been achieved at “target” or “100% multiplier” level, as applicable.</w:t>
      </w:r>
    </w:p>
    <w:p>
      <w:pPr>
        <w:spacing w:after="0" w:line="187" w:lineRule="exact"/>
        <w:rPr>
          <w:rFonts w:ascii="Times New Roman" w:cs="Times New Roman" w:eastAsia="Times New Roman" w:hAnsi="Times New Roman"/>
          <w:sz w:val="18"/>
          <w:szCs w:val="18"/>
          <w:color w:val="auto"/>
        </w:rPr>
      </w:pPr>
    </w:p>
    <w:p>
      <w:pPr>
        <w:jc w:val="both"/>
        <w:ind w:left="140" w:firstLine="651"/>
        <w:spacing w:after="0" w:line="255" w:lineRule="auto"/>
        <w:tabs>
          <w:tab w:leader="none" w:pos="12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Awards Following Change in Control if Awards are Not Assumed</w:t>
      </w:r>
      <w:r>
        <w:rPr>
          <w:rFonts w:ascii="Times New Roman" w:cs="Times New Roman" w:eastAsia="Times New Roman" w:hAnsi="Times New Roman"/>
          <w:sz w:val="18"/>
          <w:szCs w:val="18"/>
          <w:color w:val="auto"/>
        </w:rPr>
        <w:t>. In the event that the Company or other surviving entity following a Change in Control will not be assuming outstanding Awards following the Change in Control, the vesting of outstanding Awards will be automatically accelerated and such Awards will then be canceled in exchange for a payment in cash or other property equal to the value thereof as determined by the Committee which, in the case of Options and Stock Appreciation Rights, shall equal the excess, if any, of value of the consideration to be paid in the Change in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w:t>
      </w:r>
    </w:p>
    <w:p>
      <w:pPr>
        <w:spacing w:after="0" w:line="184"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granting of an Award under the Plan shall impose no obligation on the Company or any Subsidiary to continue the employment of a Participant and shall not lessen or affect the Company’s or Subsidiary’s right to terminate the employment of such Participant.</w:t>
      </w:r>
    </w:p>
    <w:p>
      <w:pPr>
        <w:spacing w:after="0" w:line="158" w:lineRule="exact"/>
        <w:rPr>
          <w:sz w:val="20"/>
          <w:szCs w:val="20"/>
          <w:color w:val="auto"/>
        </w:rPr>
      </w:pPr>
    </w:p>
    <w:p>
      <w:pPr>
        <w:ind w:left="620" w:hanging="612"/>
        <w:spacing w:after="0"/>
        <w:tabs>
          <w:tab w:leader="none" w:pos="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AND ASSIGNS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72" w:lineRule="exact"/>
        <w:rPr>
          <w:sz w:val="20"/>
          <w:szCs w:val="20"/>
          <w:color w:val="auto"/>
        </w:rPr>
      </w:pPr>
    </w:p>
    <w:p>
      <w:pPr>
        <w:ind w:left="620" w:hanging="612"/>
        <w:spacing w:after="0"/>
        <w:tabs>
          <w:tab w:leader="none" w:pos="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AWARDS</w:t>
      </w: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determined by the Committee, an Award shall not be transferable or assignable by the Participant otherwise than by will or by the laws of descent and distribution, and any Award transfers authorized by the Committee shall not be transferred for value. Notwithstanding the foregoing, a Participant may transfer an Option (other than an ISO) or a stock appreciation right in whole or in part by gift or domestic relations order to a family member of the Participant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and, following any such transfer such Option or stock appreciation right or portion thereof shall be exercisable only by the Permitted Transferee, provided that no such Option or stock appreciation right or portion thereof is transferred for value, and provided further that, following any such transfer, neither such Option or stock appreciation right or any portion thereof nor any right hereunder shall be transferable other than to the Participant or otherwise than by will or the laws of descent and distribution or be subject to attachment, execution or other similar process. For purposes of this Section 12, “family member” includes any child, stepchild, grandchild, parent, stepparent, grandparent, spouse, former spouse, sibling, niece, nephew, mother-in-law, father-in-law, son-in-law, daughter-in-law, brother-in-law or sister-in-law, including adoptive relationships, any person sharing the Participant’s household (other than a tenant or employee), trust in which these persons have more than 50% of the beneficial interest, a foundation in which these persons (or the Participant) control the management of assets and any other entity in which these persons (or the Participant) own more than 50% of the voting interests. An Award exercisable after the death of a Participant may be exercised by the legatees, personal representatives or distributees of the Participant.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left="620" w:hanging="612"/>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OR TERMINATION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Committee may amend, alter or discontinue the Plan, but no amendment, alteration or discontinuation shall be made which, (a) without the approval of the shareholders of the Company, would (except as is provided in the Plan for adjustments in certain events), increase the total number of Shares reserved for the purposes of the Plan or change the maximum number of Shares for which Awards may be granted to any Participant or amend the repricing prohibitions under Sections 6(f) and 7(d) or (b) without the consent of a Participant, would materially impair any of the rights or obligations under any Award theretofore granted to such Participant under the Plan; provided, however, that the Committee may amend the Plan in such manner as it deems necessary to permit the granting of Awards meeting the requirements of the Code or other applicable laws. Notwithstanding anything to the contrary herein, the Committee may not amend, alter or discontinue the provisions relating to Section 9(b) or Section 9(c) of the Plan after the occurrence of a Change in Control.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Without limiting the generality of the foregoing, to the extent applicable, notwithstanding anything herein to the contrary, this Plan and Awards issued hereunder shall be interpreted in accordance with Section 409A of the Code and Department of Treasury regulations and other interpretative guidance issued thereunder, including without limitation any such regulations or other guidance that may be issued after the Effective Date. Notwithstanding any provision of the Plan to the contrary, in the event that the Committee determines that any amounts payable hereunder will be taxable to a Participant under Section 409A of the Code and related Department of Treasury guidance prior to payment to such Participant of such amount, the Company may (a) adopt such amendments to the Plan and Awards and appropriate policies and procedures, including amendments and policies with retroactive effect, that the Committee determines necessary or appropriate to preserve the intended tax treatment of the benefits provided by the Plan and Awards hereunder and/or (b) take such other actions as the Committee determines necessary or appropriate to avoid the imposition of an additional tax under Section 409A of the Code.</w:t>
      </w:r>
    </w:p>
    <w:p>
      <w:pPr>
        <w:spacing w:after="0" w:line="184" w:lineRule="exact"/>
        <w:rPr>
          <w:sz w:val="20"/>
          <w:szCs w:val="20"/>
          <w:color w:val="auto"/>
        </w:rPr>
      </w:pPr>
    </w:p>
    <w:p>
      <w:pPr>
        <w:ind w:left="620" w:hanging="612"/>
        <w:spacing w:after="0"/>
        <w:tabs>
          <w:tab w:leader="none" w:pos="6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INTERNATIONAL PARTICIPANTS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Participants who reside or work outside the United States of America, the Committee may, in its sole discretion, amend the terms of the Plan or Awards with respect to such Participants in order to conform such terms with the requirements of local law or to obtain more favorable tax or other treatment for a Participant, the Company or an Affiliate.</w:t>
      </w:r>
    </w:p>
    <w:p>
      <w:pPr>
        <w:spacing w:after="0" w:line="172" w:lineRule="exact"/>
        <w:rPr>
          <w:sz w:val="20"/>
          <w:szCs w:val="20"/>
          <w:color w:val="auto"/>
        </w:rPr>
      </w:pPr>
    </w:p>
    <w:p>
      <w:pPr>
        <w:ind w:left="620" w:hanging="612"/>
        <w:spacing w:after="0"/>
        <w:tabs>
          <w:tab w:leader="none" w:pos="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shall be governed by and construed in accordance with the laws of the State of Delaware.</w:t>
      </w:r>
    </w:p>
    <w:p>
      <w:pPr>
        <w:spacing w:after="0" w:line="221" w:lineRule="exact"/>
        <w:rPr>
          <w:sz w:val="20"/>
          <w:szCs w:val="20"/>
          <w:color w:val="auto"/>
        </w:rPr>
      </w:pPr>
    </w:p>
    <w:p>
      <w:pPr>
        <w:ind w:left="620" w:hanging="612"/>
        <w:spacing w:after="0"/>
        <w:tabs>
          <w:tab w:leader="none" w:pos="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OF THE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was initially effective as of the Effective Date, subject to the approval of the Company’s shareholders.</w:t>
      </w:r>
    </w:p>
    <w:p>
      <w:pPr>
        <w:spacing w:after="0" w:line="221" w:lineRule="exact"/>
        <w:rPr>
          <w:sz w:val="20"/>
          <w:szCs w:val="20"/>
          <w:color w:val="auto"/>
        </w:rPr>
      </w:pPr>
    </w:p>
    <w:p>
      <w:pPr>
        <w:ind w:left="620" w:hanging="612"/>
        <w:spacing w:after="0"/>
        <w:tabs>
          <w:tab w:leader="none" w:pos="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other provisions of the Plan or any Award agreements thereunder, no Award shall be granted, deferred, accelerated, extended, paid out or modified under this Plan in a manner that would result in the imposition of an additional tax under Section 409A of the Code upon a Participant. In the event that it is reasonably determined by the Committee that, as a result of Section 409A of the Code, payments or deliveries of shares in respect of any Award under the Plan may not be made at the time contemplated by the terms of the Plan or the relevant Award agreement, as the case may be, without causing the Participant holding such Award to be subject to taxation under Section 409A of the Code, the Company will make such payment or delivery of shares on the first day that would not result in the Participant incurring any tax liability under Section 409A of the Code. In the case of a Participant who is a “specified employee” (within the meaning of Section 409A(a)(2)(B)(i) of the Code), payments and/or deliveries of shares in respect of any Award subject to Section 409A of the Code that are linked to the date of the Participant’s separation from service shall not be made prior to the date which is six (6) months after the date of such Participant’s separation from service from the Company and its affiliates, determined in accordance with Section 409A of the Code and the regulations promulgated thereunder. The Company shall use commercially reasonable efforts to implement the provisions of this Section 17 in good faith; provided that neither the Company, the Committee nor any of the Company’s employees, directors or representatives shall have any liability to Participants with respect to this Section 17.</w:t>
      </w:r>
    </w:p>
    <w:p>
      <w:pPr>
        <w:spacing w:after="0" w:line="186" w:lineRule="exact"/>
        <w:rPr>
          <w:sz w:val="20"/>
          <w:szCs w:val="20"/>
          <w:color w:val="auto"/>
        </w:rPr>
      </w:pPr>
    </w:p>
    <w:p>
      <w:pPr>
        <w:ind w:left="620" w:hanging="612"/>
        <w:spacing w:after="0"/>
        <w:tabs>
          <w:tab w:leader="none" w:pos="6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FORFEITURE/CLAWBACK</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Any Awards granted under the Plan may be subject to reduction, cancellation, forfeiture or recoupment to the extent required by applicable law or listed company rules or to the extent otherwise provided in an Award agreement at the time of grant.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lowerLetter"/>
      <w:start w:val="5"/>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1)"/>
      <w:numFmt w:val="decimal"/>
      <w:start w:val="3"/>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lowerLetter"/>
      <w:start w:val="4"/>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Roman"/>
      <w:start w:val="1"/>
    </w:lvl>
  </w:abstractNum>
  <w:abstractNum w:abstractNumId="12">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3">
    <w:nsid w:val="54E49EB4"/>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4">
    <w:nsid w:val="71F3245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5">
    <w:nsid w:val="2CA88611"/>
    <w:multiLevelType w:val="hybridMultilevel"/>
    <w:lvl w:ilvl="0">
      <w:lvlJc w:val="left"/>
      <w:lvlText w:val="(%1)"/>
      <w:numFmt w:val="lowerLetter"/>
      <w:start w:val="16"/>
    </w:lvl>
  </w:abstractNum>
  <w:abstractNum w:abstractNumId="16">
    <w:nsid w:val="836C40E"/>
    <w:multiLevelType w:val="hybridMultilevel"/>
    <w:lvl w:ilvl="0">
      <w:lvlJc w:val="left"/>
      <w:lvlText w:val="(%1)"/>
      <w:numFmt w:val="lowerLetter"/>
      <w:start w:val="27"/>
    </w:lvl>
  </w:abstractNum>
  <w:abstractNum w:abstractNumId="17">
    <w:nsid w:val="2901D82"/>
    <w:multiLevelType w:val="hybridMultilevel"/>
    <w:lvl w:ilvl="0">
      <w:lvlJc w:val="left"/>
      <w:lvlText w:val="%1."/>
      <w:numFmt w:val="decimal"/>
      <w:start w:val="3"/>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1."/>
      <w:numFmt w:val="decimal"/>
      <w:start w:val="5"/>
    </w:lvl>
  </w:abstractNum>
  <w:abstractNum w:abstractNumId="21">
    <w:nsid w:val="7C3DBD3D"/>
    <w:multiLevelType w:val="hybridMultilevel"/>
    <w:lvl w:ilvl="0">
      <w:lvlJc w:val="left"/>
      <w:lvlText w:val="%1."/>
      <w:numFmt w:val="decimal"/>
      <w:start w:val="6"/>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4"/>
    </w:lvl>
  </w:abstractNum>
  <w:abstractNum w:abstractNumId="24">
    <w:nsid w:val="22221A70"/>
    <w:multiLevelType w:val="hybridMultilevel"/>
    <w:lvl w:ilvl="0">
      <w:lvlJc w:val="left"/>
      <w:lvlText w:val="%1."/>
      <w:numFmt w:val="decimal"/>
      <w:start w:val="7"/>
    </w:lvl>
    <w:lvl w:ilvl="1">
      <w:lvlJc w:val="left"/>
      <w:lvlText w:val="(%2)"/>
      <w:numFmt w:val="upperLetter"/>
      <w:start w:val="1"/>
    </w:lvl>
    <w:lvl w:ilvl="2">
      <w:lvlJc w:val="left"/>
      <w:lvlText w:val="(%3)"/>
      <w:numFmt w:val="lowerLetter"/>
      <w:start w:val="1"/>
    </w:lvl>
  </w:abstractNum>
  <w:abstractNum w:abstractNumId="25">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6">
    <w:nsid w:val="3006C83E"/>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7">
    <w:nsid w:val="614FD4A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8">
    <w:nsid w:val="419AC241"/>
    <w:multiLevelType w:val="hybridMultilevel"/>
    <w:lvl w:ilvl="0">
      <w:lvlJc w:val="left"/>
      <w:lvlText w:val="%1"/>
      <w:numFmt w:val="lowerRoman"/>
      <w:start w:val="1"/>
    </w:lvl>
    <w:lvl w:ilvl="1">
      <w:lvlJc w:val="left"/>
      <w:lvlText w:val="(%2)"/>
      <w:numFmt w:val="lowerLetter"/>
      <w:start w:val="1"/>
    </w:lvl>
  </w:abstractNum>
  <w:abstractNum w:abstractNumId="29">
    <w:nsid w:val="5577F8E1"/>
    <w:multiLevelType w:val="hybridMultilevel"/>
    <w:lvl w:ilvl="0">
      <w:lvlJc w:val="left"/>
      <w:lvlText w:val="(%1)"/>
      <w:numFmt w:val="lowerRoman"/>
      <w:start w:val="4"/>
    </w:lvl>
    <w:lvl w:ilvl="1">
      <w:lvlJc w:val="left"/>
      <w:lvlText w:val="%2"/>
      <w:numFmt w:val="lowerLetter"/>
      <w:start w:val="1"/>
    </w:lvl>
  </w:abstractNum>
  <w:abstractNum w:abstractNumId="30">
    <w:nsid w:val="440BADF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
    <w:nsid w:val="507236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2">
    <w:nsid w:val="3804823E"/>
    <w:multiLevelType w:val="hybridMultilevel"/>
    <w:lvl w:ilvl="0">
      <w:lvlJc w:val="left"/>
      <w:lvlText w:val="%1."/>
      <w:numFmt w:val="decimal"/>
      <w:start w:val="11"/>
    </w:lvl>
  </w:abstractNum>
  <w:abstractNum w:abstractNumId="33">
    <w:nsid w:val="77465F01"/>
    <w:multiLevelType w:val="hybridMultilevel"/>
    <w:lvl w:ilvl="0">
      <w:lvlJc w:val="left"/>
      <w:lvlText w:val="%1."/>
      <w:numFmt w:val="decimal"/>
      <w:start w:val="12"/>
    </w:lvl>
  </w:abstractNum>
  <w:abstractNum w:abstractNumId="34">
    <w:nsid w:val="7724C67E"/>
    <w:multiLevelType w:val="hybridMultilevel"/>
    <w:lvl w:ilvl="0">
      <w:lvlJc w:val="left"/>
      <w:lvlText w:val="%1."/>
      <w:numFmt w:val="decimal"/>
      <w:start w:val="13"/>
    </w:lvl>
  </w:abstractNum>
  <w:abstractNum w:abstractNumId="35">
    <w:nsid w:val="5C482A97"/>
    <w:multiLevelType w:val="hybridMultilevel"/>
    <w:lvl w:ilvl="0">
      <w:lvlJc w:val="left"/>
      <w:lvlText w:val="%1."/>
      <w:numFmt w:val="decimal"/>
      <w:start w:val="14"/>
    </w:lvl>
  </w:abstractNum>
  <w:abstractNum w:abstractNumId="36">
    <w:nsid w:val="2463B9EA"/>
    <w:multiLevelType w:val="hybridMultilevel"/>
    <w:lvl w:ilvl="0">
      <w:lvlJc w:val="left"/>
      <w:lvlText w:val="%1."/>
      <w:numFmt w:val="decimal"/>
      <w:start w:val="15"/>
    </w:lvl>
  </w:abstractNum>
  <w:abstractNum w:abstractNumId="37">
    <w:nsid w:val="5E884ADC"/>
    <w:multiLevelType w:val="hybridMultilevel"/>
    <w:lvl w:ilvl="0">
      <w:lvlJc w:val="left"/>
      <w:lvlText w:val="%1."/>
      <w:numFmt w:val="decimal"/>
      <w:start w:val="16"/>
    </w:lvl>
  </w:abstractNum>
  <w:abstractNum w:abstractNumId="38">
    <w:nsid w:val="51EAD36B"/>
    <w:multiLevelType w:val="hybridMultilevel"/>
    <w:lvl w:ilvl="0">
      <w:lvlJc w:val="left"/>
      <w:lvlText w:val="%1."/>
      <w:numFmt w:val="decimal"/>
      <w:start w:val="17"/>
    </w:lvl>
  </w:abstractNum>
  <w:abstractNum w:abstractNumId="39">
    <w:nsid w:val="2D517796"/>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9" Type="http://schemas.openxmlformats.org/officeDocument/2006/relationships/hyperlink" Target="http://www.sec.gov/ix?doc=/Archives/edgar/data/357294/000114036126004409/ny20061300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2026-04-01T15:35:12Z</dcterms:created>
  <dcterms:modified xsi:type="dcterms:W3CDTF">2026-04-01T15:35:12Z</dcterms:modified>
</cp:coreProperties>
</file>