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hyperlink w:anchor="TOC">
        <w:bookmarkStart w:id="0" w:name="EXH_6a2f6d83470aa14688e956b2"/>
        <w:bookmarkStart w:id="1" w:name="hov-20260731.htm"/>
        <w:bookmarkStart w:id="2" w:name="kshov20260731"/>
        <w:bookmarkEnd w:id="0"/>
        <w:bookmarkEnd w:id="1"/>
        <w:bookmarkEnd w:id="2"/>
        <w:r>
          <w:rPr>
            <w:rStyle w:val="InternetLink"/>
            <w:strike w:val="false"/>
            <w:dstrike w:val="false"/>
            <w:sz w:val="20"/>
            <w:u w:val="single"/>
            <w:effect w:val="none"/>
          </w:rPr>
          <w:t>Table of Contents</w:t>
        </w:r>
      </w:hyperlink>
    </w:p>
    <w:p>
      <w:pPr>
        <w:pStyle w:val="TextBody"/>
        <w:bidi w:val="0"/>
        <w:spacing w:lineRule="atLeast" w:line="240" w:before="0" w:after="160"/>
        <w:jc w:val="center"/>
        <w:rPr>
          <w:sz w:val="20"/>
        </w:rPr>
      </w:pPr>
      <w:r>
        <w:rPr>
          <w:sz w:val="20"/>
        </w:rPr>
        <w:t>UNITED STATES</w:t>
      </w:r>
    </w:p>
    <w:p>
      <w:pPr>
        <w:pStyle w:val="TextBody"/>
        <w:bidi w:val="0"/>
        <w:spacing w:lineRule="atLeast" w:line="240" w:before="0" w:after="160"/>
        <w:jc w:val="center"/>
        <w:rPr>
          <w:sz w:val="20"/>
        </w:rPr>
      </w:pPr>
      <w:r>
        <w:rPr>
          <w:sz w:val="20"/>
        </w:rPr>
        <w:t>SECURITIES AND EXCHANGE COMMISSION</w:t>
      </w:r>
    </w:p>
    <w:p>
      <w:pPr>
        <w:pStyle w:val="TextBody"/>
        <w:bidi w:val="0"/>
        <w:spacing w:lineRule="atLeast" w:line="240" w:before="0" w:after="160"/>
        <w:jc w:val="center"/>
        <w:rPr>
          <w:sz w:val="20"/>
        </w:rPr>
      </w:pPr>
      <w:r>
        <w:rPr>
          <w:sz w:val="20"/>
        </w:rPr>
        <w:t>WASHINGTON, D.C. 20549</w:t>
      </w:r>
    </w:p>
    <w:p>
      <w:pPr>
        <w:pStyle w:val="TextBody"/>
        <w:bidi w:val="0"/>
        <w:spacing w:lineRule="atLeast" w:line="240" w:before="0" w:after="200"/>
        <w:jc w:val="center"/>
        <w:rPr/>
      </w:pPr>
      <w:r>
        <w:rPr>
          <w:sz w:val="20"/>
        </w:rPr>
        <w:t xml:space="preserve">FORM </w:t>
      </w:r>
      <w:r>
        <w:rPr>
          <w:rFonts w:ascii="Times New Roman" w:hAnsi="Times New Roman"/>
          <w:sz w:val="20"/>
        </w:rPr>
        <w:t>10-Q</w:t>
      </w:r>
    </w:p>
    <w:p>
      <w:pPr>
        <w:pStyle w:val="TextBody"/>
        <w:bidi w:val="0"/>
        <w:spacing w:lineRule="atLeast" w:line="240" w:before="0" w:after="0"/>
        <w:jc w:val="left"/>
        <w:rPr>
          <w:sz w:val="20"/>
        </w:rPr>
      </w:pPr>
      <w:r>
        <w:rPr>
          <w:sz w:val="20"/>
        </w:rPr>
        <w:t>(Mark One)</w:t>
      </w:r>
    </w:p>
    <w:tbl>
      <w:tblPr>
        <w:tblW w:w="7345" w:type="dxa"/>
        <w:jc w:val="left"/>
        <w:tblInd w:w="0" w:type="dxa"/>
        <w:tblLayout w:type="fixed"/>
        <w:tblCellMar>
          <w:top w:w="0" w:type="dxa"/>
          <w:left w:w="0" w:type="dxa"/>
          <w:bottom w:w="0" w:type="dxa"/>
          <w:right w:w="0" w:type="dxa"/>
        </w:tblCellMar>
      </w:tblPr>
      <w:tblGrid>
        <w:gridCol w:w="245"/>
        <w:gridCol w:w="7100"/>
      </w:tblGrid>
      <w:tr>
        <w:trPr/>
        <w:tc>
          <w:tcPr>
            <w:tcW w:w="245" w:type="dxa"/>
            <w:tcBorders/>
            <w:vAlign w:val="center"/>
          </w:tcPr>
          <w:p>
            <w:pPr>
              <w:pStyle w:val="TableContents"/>
              <w:bidi w:val="0"/>
              <w:spacing w:before="0" w:after="0"/>
              <w:jc w:val="left"/>
              <w:rPr/>
            </w:pPr>
            <w:r>
              <w:rPr/>
              <w:t>☒</w:t>
            </w:r>
          </w:p>
        </w:tc>
        <w:tc>
          <w:tcPr>
            <w:tcW w:w="7100" w:type="dxa"/>
            <w:tcBorders/>
            <w:vAlign w:val="center"/>
          </w:tcPr>
          <w:p>
            <w:pPr>
              <w:pStyle w:val="TableContents"/>
              <w:bidi w:val="0"/>
              <w:spacing w:before="0" w:after="0"/>
              <w:jc w:val="left"/>
              <w:rPr>
                <w:sz w:val="20"/>
              </w:rPr>
            </w:pPr>
            <w:r>
              <w:rPr>
                <w:sz w:val="20"/>
              </w:rPr>
              <w:t>Quarterly report pursuant to Section 13 or 15(d) of the Securities Exchange Act of 1934</w:t>
            </w:r>
          </w:p>
        </w:tc>
      </w:tr>
    </w:tbl>
    <w:p>
      <w:pPr>
        <w:pStyle w:val="TextBody"/>
        <w:bidi w:val="0"/>
        <w:spacing w:lineRule="atLeast" w:line="240" w:before="160" w:after="0"/>
        <w:jc w:val="left"/>
        <w:rPr/>
      </w:pPr>
      <w:r>
        <w:rPr>
          <w:sz w:val="20"/>
        </w:rPr>
        <w:t xml:space="preserve">For the quarterly period ended </w:t>
      </w:r>
      <w:r>
        <w:rPr>
          <w:rFonts w:ascii="Times New Roman" w:hAnsi="Times New Roman"/>
          <w:sz w:val="20"/>
        </w:rPr>
        <w:t>July 31, 2026</w:t>
      </w:r>
    </w:p>
    <w:p>
      <w:pPr>
        <w:pStyle w:val="TextBody"/>
        <w:bidi w:val="0"/>
        <w:spacing w:lineRule="atLeast" w:line="240" w:before="0" w:after="160"/>
        <w:jc w:val="left"/>
        <w:rPr>
          <w:sz w:val="20"/>
        </w:rPr>
      </w:pPr>
      <w:r>
        <w:rPr>
          <w:sz w:val="20"/>
        </w:rPr>
        <w:t>OR</w:t>
      </w:r>
    </w:p>
    <w:tbl>
      <w:tblPr>
        <w:tblW w:w="7420" w:type="dxa"/>
        <w:jc w:val="left"/>
        <w:tblInd w:w="0" w:type="dxa"/>
        <w:tblLayout w:type="fixed"/>
        <w:tblCellMar>
          <w:top w:w="0" w:type="dxa"/>
          <w:left w:w="0" w:type="dxa"/>
          <w:bottom w:w="0" w:type="dxa"/>
          <w:right w:w="0" w:type="dxa"/>
        </w:tblCellMar>
      </w:tblPr>
      <w:tblGrid>
        <w:gridCol w:w="245"/>
        <w:gridCol w:w="7175"/>
      </w:tblGrid>
      <w:tr>
        <w:trPr/>
        <w:tc>
          <w:tcPr>
            <w:tcW w:w="245" w:type="dxa"/>
            <w:tcBorders/>
            <w:vAlign w:val="center"/>
          </w:tcPr>
          <w:p>
            <w:pPr>
              <w:pStyle w:val="TableContents"/>
              <w:bidi w:val="0"/>
              <w:spacing w:before="0" w:after="0"/>
              <w:jc w:val="left"/>
              <w:rPr/>
            </w:pPr>
            <w:r>
              <w:rPr/>
              <w:t>☐</w:t>
            </w:r>
          </w:p>
        </w:tc>
        <w:tc>
          <w:tcPr>
            <w:tcW w:w="7175" w:type="dxa"/>
            <w:tcBorders/>
            <w:vAlign w:val="center"/>
          </w:tcPr>
          <w:p>
            <w:pPr>
              <w:pStyle w:val="TableContents"/>
              <w:bidi w:val="0"/>
              <w:spacing w:before="0" w:after="0"/>
              <w:jc w:val="left"/>
              <w:rPr>
                <w:sz w:val="20"/>
              </w:rPr>
            </w:pPr>
            <w:r>
              <w:rPr>
                <w:sz w:val="20"/>
              </w:rPr>
              <w:t>Transition report pursuant to Section 13 or 15(d) of the Securities Exchange Act of 1934</w:t>
            </w:r>
          </w:p>
        </w:tc>
      </w:tr>
    </w:tbl>
    <w:p>
      <w:pPr>
        <w:pStyle w:val="TextBody"/>
        <w:bidi w:val="0"/>
        <w:spacing w:lineRule="atLeast" w:line="240" w:before="160" w:after="160"/>
        <w:jc w:val="left"/>
        <w:rPr/>
      </w:pPr>
      <w:r>
        <w:rPr>
          <w:sz w:val="20"/>
        </w:rPr>
        <w:t xml:space="preserve">Commission file number </w:t>
      </w:r>
      <w:r>
        <w:rPr>
          <w:rFonts w:ascii="Times New Roman" w:hAnsi="Times New Roman"/>
          <w:sz w:val="20"/>
        </w:rPr>
        <w:t>1-8551</w:t>
      </w:r>
    </w:p>
    <w:p>
      <w:pPr>
        <w:pStyle w:val="TextBody"/>
        <w:bidi w:val="0"/>
        <w:spacing w:lineRule="atLeast" w:line="240" w:before="0" w:after="160"/>
        <w:jc w:val="left"/>
        <w:rPr>
          <w:sz w:val="20"/>
        </w:rPr>
      </w:pPr>
      <w:r>
        <w:rPr>
          <w:sz w:val="20"/>
        </w:rPr>
        <w:t>Hovnanian Enterprises, Inc. (Exact Name of Registrant as Specified in Its Charter)</w:t>
      </w:r>
    </w:p>
    <w:p>
      <w:pPr>
        <w:pStyle w:val="TextBody"/>
        <w:bidi w:val="0"/>
        <w:spacing w:lineRule="atLeast" w:line="240" w:before="0" w:after="160"/>
        <w:jc w:val="left"/>
        <w:rPr/>
      </w:pPr>
      <w:r>
        <w:rPr>
          <w:rFonts w:ascii="Times New Roman" w:hAnsi="Times New Roman"/>
          <w:sz w:val="20"/>
        </w:rPr>
        <w:t>Delaware</w:t>
      </w:r>
      <w:r>
        <w:rPr/>
        <w:t xml:space="preserve"> </w:t>
      </w:r>
      <w:r>
        <w:rPr>
          <w:sz w:val="20"/>
        </w:rPr>
        <w:t>(State or Other Jurisdiction of Incorporation or Organization)</w:t>
      </w:r>
    </w:p>
    <w:p>
      <w:pPr>
        <w:pStyle w:val="TextBody"/>
        <w:bidi w:val="0"/>
        <w:spacing w:lineRule="atLeast" w:line="240" w:before="0" w:after="160"/>
        <w:jc w:val="left"/>
        <w:rPr/>
      </w:pPr>
      <w:r>
        <w:rPr>
          <w:rFonts w:ascii="Times New Roman" w:hAnsi="Times New Roman"/>
          <w:sz w:val="20"/>
        </w:rPr>
        <w:t>22-1851059</w:t>
      </w:r>
      <w:r>
        <w:rPr/>
        <w:t xml:space="preserve"> </w:t>
      </w:r>
      <w:r>
        <w:rPr>
          <w:sz w:val="20"/>
        </w:rPr>
        <w:t>(I.R.S. Employer Identification No.)</w:t>
      </w:r>
    </w:p>
    <w:p>
      <w:pPr>
        <w:pStyle w:val="TextBody"/>
        <w:bidi w:val="0"/>
        <w:spacing w:lineRule="atLeast" w:line="240" w:before="0" w:after="200"/>
        <w:jc w:val="left"/>
        <w:rPr/>
      </w:pPr>
      <w:r>
        <w:rPr>
          <w:rFonts w:ascii="Times New Roman" w:hAnsi="Times New Roman"/>
          <w:sz w:val="20"/>
        </w:rPr>
        <w:t>90 Matawan Road, 5th Floor</w:t>
      </w:r>
      <w:r>
        <w:rPr>
          <w:sz w:val="20"/>
        </w:rPr>
        <w:t xml:space="preserve">, </w:t>
      </w:r>
      <w:r>
        <w:rPr>
          <w:rFonts w:ascii="Times New Roman" w:hAnsi="Times New Roman"/>
          <w:sz w:val="20"/>
        </w:rPr>
        <w:t>Matawan</w:t>
      </w:r>
      <w:r>
        <w:rPr>
          <w:sz w:val="20"/>
        </w:rPr>
        <w:t xml:space="preserve">, </w:t>
      </w:r>
      <w:r>
        <w:rPr>
          <w:rFonts w:ascii="Times New Roman" w:hAnsi="Times New Roman"/>
          <w:sz w:val="20"/>
        </w:rPr>
        <w:t>NJ</w:t>
      </w:r>
      <w:r>
        <w:rPr/>
        <w:t xml:space="preserve"> </w:t>
      </w:r>
      <w:r>
        <w:rPr>
          <w:rFonts w:ascii="Times New Roman" w:hAnsi="Times New Roman"/>
          <w:sz w:val="20"/>
        </w:rPr>
        <w:t>07747</w:t>
      </w:r>
      <w:r>
        <w:rPr/>
        <w:t xml:space="preserve"> </w:t>
      </w:r>
      <w:r>
        <w:rPr>
          <w:sz w:val="20"/>
        </w:rPr>
        <w:t>(Address of Principal Executive Offices)</w:t>
      </w:r>
    </w:p>
    <w:p>
      <w:pPr>
        <w:pStyle w:val="TextBody"/>
        <w:bidi w:val="0"/>
        <w:spacing w:lineRule="atLeast" w:line="240" w:before="0" w:after="200"/>
        <w:jc w:val="left"/>
        <w:rPr/>
      </w:pPr>
      <w:r>
        <w:rPr>
          <w:rFonts w:ascii="Times New Roman" w:hAnsi="Times New Roman"/>
          <w:sz w:val="20"/>
        </w:rPr>
        <w:t>732</w:t>
      </w:r>
      <w:r>
        <w:rPr>
          <w:sz w:val="20"/>
        </w:rPr>
        <w:t>-</w:t>
      </w:r>
      <w:r>
        <w:rPr>
          <w:rFonts w:ascii="Times New Roman" w:hAnsi="Times New Roman"/>
          <w:sz w:val="20"/>
        </w:rPr>
        <w:t>747-7800</w:t>
      </w:r>
      <w:r>
        <w:rPr/>
        <w:t xml:space="preserve"> </w:t>
      </w:r>
      <w:r>
        <w:rPr>
          <w:sz w:val="20"/>
        </w:rPr>
        <w:t>(Registrant’s Telephone Number, Including Area Code)</w:t>
      </w:r>
    </w:p>
    <w:p>
      <w:pPr>
        <w:pStyle w:val="TextBody"/>
        <w:bidi w:val="0"/>
        <w:spacing w:lineRule="atLeast" w:line="240" w:before="0" w:after="200"/>
        <w:jc w:val="left"/>
        <w:rPr>
          <w:sz w:val="20"/>
        </w:rPr>
      </w:pPr>
      <w:r>
        <w:rPr>
          <w:sz w:val="20"/>
        </w:rPr>
        <w:t>N/A (Former Name, Former Address and Former Fiscal Year, if Changed Since Last Report)</w:t>
      </w:r>
    </w:p>
    <w:tbl>
      <w:tblPr>
        <w:tblW w:w="4685" w:type="dxa"/>
        <w:jc w:val="left"/>
        <w:tblInd w:w="0" w:type="dxa"/>
        <w:tblLayout w:type="fixed"/>
        <w:tblCellMar>
          <w:top w:w="0" w:type="dxa"/>
          <w:left w:w="0" w:type="dxa"/>
          <w:bottom w:w="0" w:type="dxa"/>
          <w:right w:w="0" w:type="dxa"/>
        </w:tblCellMar>
      </w:tblPr>
      <w:tblGrid>
        <w:gridCol w:w="4685"/>
      </w:tblGrid>
      <w:tr>
        <w:trPr/>
        <w:tc>
          <w:tcPr>
            <w:tcW w:w="4685" w:type="dxa"/>
            <w:tcBorders/>
            <w:vAlign w:val="center"/>
          </w:tcPr>
          <w:p>
            <w:pPr>
              <w:pStyle w:val="TableContents"/>
              <w:bidi w:val="0"/>
              <w:spacing w:before="0" w:after="0"/>
              <w:jc w:val="left"/>
              <w:rPr>
                <w:sz w:val="20"/>
              </w:rPr>
            </w:pPr>
            <w:r>
              <w:rPr>
                <w:sz w:val="20"/>
              </w:rPr>
              <w:t>Securities registered pursuant to Section 12(b) of the Act: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28" w:type="dxa"/>
          <w:right w:w="28" w:type="dxa"/>
        </w:tblCellMar>
      </w:tblPr>
      <w:tblGrid>
        <w:gridCol w:w="6023"/>
        <w:gridCol w:w="1293"/>
        <w:gridCol w:w="2889"/>
      </w:tblGrid>
      <w:tr>
        <w:trPr/>
        <w:tc>
          <w:tcPr>
            <w:tcW w:w="6023" w:type="dxa"/>
            <w:tcBorders>
              <w:bottom w:val="single" w:sz="6" w:space="0" w:color="000000"/>
              <w:right w:val="single" w:sz="6" w:space="0" w:color="000000"/>
            </w:tcBorders>
            <w:vAlign w:val="center"/>
          </w:tcPr>
          <w:p>
            <w:pPr>
              <w:pStyle w:val="TableContents"/>
              <w:bidi w:val="0"/>
              <w:spacing w:before="0" w:after="0"/>
              <w:jc w:val="center"/>
              <w:rPr>
                <w:sz w:val="20"/>
              </w:rPr>
            </w:pPr>
            <w:r>
              <w:rPr>
                <w:sz w:val="20"/>
              </w:rPr>
              <w:t>Title of each class</w:t>
            </w:r>
          </w:p>
        </w:tc>
        <w:tc>
          <w:tcPr>
            <w:tcW w:w="1293" w:type="dxa"/>
            <w:tcBorders>
              <w:bottom w:val="single" w:sz="6" w:space="0" w:color="000000"/>
              <w:right w:val="single" w:sz="6" w:space="0" w:color="000000"/>
            </w:tcBorders>
            <w:vAlign w:val="center"/>
          </w:tcPr>
          <w:p>
            <w:pPr>
              <w:pStyle w:val="TableContents"/>
              <w:bidi w:val="0"/>
              <w:spacing w:before="0" w:after="0"/>
              <w:jc w:val="center"/>
              <w:rPr>
                <w:sz w:val="20"/>
              </w:rPr>
            </w:pPr>
            <w:r>
              <w:rPr>
                <w:sz w:val="20"/>
              </w:rPr>
              <w:t>Trading symbol(s)</w:t>
            </w:r>
          </w:p>
        </w:tc>
        <w:tc>
          <w:tcPr>
            <w:tcW w:w="2889" w:type="dxa"/>
            <w:tcBorders>
              <w:bottom w:val="single" w:sz="6" w:space="0" w:color="000000"/>
            </w:tcBorders>
            <w:tcMar>
              <w:right w:w="0" w:type="dxa"/>
            </w:tcMar>
            <w:vAlign w:val="center"/>
          </w:tcPr>
          <w:p>
            <w:pPr>
              <w:pStyle w:val="TableContents"/>
              <w:bidi w:val="0"/>
              <w:spacing w:before="0" w:after="0"/>
              <w:jc w:val="center"/>
              <w:rPr>
                <w:sz w:val="20"/>
              </w:rPr>
            </w:pPr>
            <w:r>
              <w:rPr>
                <w:sz w:val="20"/>
              </w:rPr>
              <w:t>Name of each exchange on which registered</w:t>
            </w:r>
          </w:p>
        </w:tc>
      </w:tr>
      <w:tr>
        <w:trPr/>
        <w:tc>
          <w:tcPr>
            <w:tcW w:w="6023" w:type="dxa"/>
            <w:tcBorders>
              <w:bottom w:val="single" w:sz="6" w:space="0" w:color="000000"/>
              <w:right w:val="single" w:sz="6"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Class A Common Stock, $0.01 par value per share</w:t>
            </w:r>
          </w:p>
        </w:tc>
        <w:tc>
          <w:tcPr>
            <w:tcW w:w="1293" w:type="dxa"/>
            <w:tcBorders>
              <w:bottom w:val="single" w:sz="6" w:space="0" w:color="000000"/>
              <w:right w:val="single" w:sz="6"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HOV</w:t>
            </w:r>
          </w:p>
        </w:tc>
        <w:tc>
          <w:tcPr>
            <w:tcW w:w="2889" w:type="dxa"/>
            <w:tcBorders>
              <w:bottom w:val="single" w:sz="6" w:space="0" w:color="000000"/>
            </w:tcBorders>
            <w:tcMar>
              <w:right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New York Stock Exchange</w:t>
            </w:r>
          </w:p>
        </w:tc>
      </w:tr>
      <w:tr>
        <w:trPr/>
        <w:tc>
          <w:tcPr>
            <w:tcW w:w="6023" w:type="dxa"/>
            <w:tcBorders>
              <w:bottom w:val="single" w:sz="6" w:space="0" w:color="000000"/>
              <w:right w:val="single" w:sz="6" w:space="0" w:color="000000"/>
            </w:tcBorders>
            <w:vAlign w:val="center"/>
          </w:tcPr>
          <w:p>
            <w:pPr>
              <w:pStyle w:val="TableContents"/>
              <w:bidi w:val="0"/>
              <w:spacing w:before="0" w:after="0"/>
              <w:jc w:val="center"/>
              <w:rPr>
                <w:sz w:val="20"/>
              </w:rPr>
            </w:pPr>
            <w:r>
              <w:rPr>
                <w:rFonts w:ascii="Times New Roman" w:hAnsi="Times New Roman"/>
                <w:sz w:val="20"/>
              </w:rPr>
              <w:t>Preferred Stock Purchase Rights</w:t>
            </w:r>
            <w:r>
              <w:rPr>
                <w:sz w:val="20"/>
              </w:rPr>
              <w:t>(1)</w:t>
            </w:r>
          </w:p>
        </w:tc>
        <w:tc>
          <w:tcPr>
            <w:tcW w:w="1293" w:type="dxa"/>
            <w:tcBorders>
              <w:bottom w:val="single" w:sz="6" w:space="0" w:color="000000"/>
              <w:right w:val="single" w:sz="6" w:space="0" w:color="000000"/>
            </w:tcBorders>
            <w:vAlign w:val="center"/>
          </w:tcPr>
          <w:p>
            <w:pPr>
              <w:pStyle w:val="TableContents"/>
              <w:bidi w:val="0"/>
              <w:spacing w:before="0" w:after="0"/>
              <w:jc w:val="center"/>
              <w:rPr>
                <w:sz w:val="20"/>
              </w:rPr>
            </w:pPr>
            <w:r>
              <w:rPr>
                <w:sz w:val="20"/>
              </w:rPr>
              <w:t>N/A</w:t>
            </w:r>
          </w:p>
        </w:tc>
        <w:tc>
          <w:tcPr>
            <w:tcW w:w="2889" w:type="dxa"/>
            <w:tcBorders>
              <w:bottom w:val="single" w:sz="6" w:space="0" w:color="000000"/>
            </w:tcBorders>
            <w:tcMar>
              <w:right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New York Stock Exchange</w:t>
            </w:r>
          </w:p>
        </w:tc>
      </w:tr>
      <w:tr>
        <w:trPr/>
        <w:tc>
          <w:tcPr>
            <w:tcW w:w="6023" w:type="dxa"/>
            <w:tcBorders>
              <w:right w:val="single" w:sz="6" w:space="0" w:color="000000"/>
            </w:tcBorders>
            <w:tcMar>
              <w:bottom w:w="0" w:type="dxa"/>
            </w:tcMar>
            <w:vAlign w:val="center"/>
          </w:tcPr>
          <w:p>
            <w:pPr>
              <w:pStyle w:val="TableContents"/>
              <w:bidi w:val="0"/>
              <w:spacing w:before="0" w:after="0"/>
              <w:jc w:val="center"/>
              <w:rPr>
                <w:sz w:val="20"/>
              </w:rPr>
            </w:pPr>
            <w:r>
              <w:rPr>
                <w:rFonts w:ascii="Times New Roman" w:hAnsi="Times New Roman"/>
                <w:sz w:val="20"/>
              </w:rPr>
              <w:t>Depositary Shares each representing 1/1,000th of a share of 7.625% Series A Preferred Stock</w:t>
            </w:r>
            <w:r>
              <w:rPr>
                <w:sz w:val="20"/>
              </w:rPr>
              <w:t xml:space="preserve"> </w:t>
            </w:r>
          </w:p>
        </w:tc>
        <w:tc>
          <w:tcPr>
            <w:tcW w:w="1293" w:type="dxa"/>
            <w:tcBorders>
              <w:right w:val="single" w:sz="6" w:space="0" w:color="000000"/>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HOVNP</w:t>
            </w:r>
          </w:p>
        </w:tc>
        <w:tc>
          <w:tcPr>
            <w:tcW w:w="2889" w:type="dxa"/>
            <w:tcBorders/>
            <w:tcMar>
              <w:bottom w:w="0" w:type="dxa"/>
              <w:right w:w="0" w:type="dxa"/>
            </w:tcMar>
            <w:vAlign w:val="center"/>
          </w:tcPr>
          <w:p>
            <w:pPr>
              <w:pStyle w:val="TableContents"/>
              <w:bidi w:val="0"/>
              <w:spacing w:before="0" w:after="0"/>
              <w:jc w:val="center"/>
              <w:rPr>
                <w:sz w:val="20"/>
              </w:rPr>
            </w:pPr>
            <w:r>
              <w:rPr>
                <w:sz w:val="20"/>
              </w:rPr>
              <w:t xml:space="preserve">The </w:t>
            </w:r>
            <w:r>
              <w:rPr>
                <w:rFonts w:ascii="Times New Roman" w:hAnsi="Times New Roman"/>
                <w:sz w:val="20"/>
              </w:rPr>
              <w:t>Nasdaq</w:t>
            </w:r>
            <w:r>
              <w:rPr>
                <w:sz w:val="20"/>
              </w:rPr>
              <w:t xml:space="preserve"> Stock Market LLC</w:t>
            </w:r>
          </w:p>
        </w:tc>
      </w:tr>
    </w:tbl>
    <w:p>
      <w:pPr>
        <w:pStyle w:val="TextBody"/>
        <w:bidi w:val="0"/>
        <w:spacing w:lineRule="atLeast" w:line="240" w:before="200" w:after="200"/>
        <w:jc w:val="both"/>
        <w:rPr/>
      </w:pPr>
      <w:r>
        <w:rPr>
          <w:sz w:val="20"/>
        </w:rPr>
        <w:t xml:space="preserve">(1) </w:t>
      </w:r>
      <w:r>
        <w:rPr>
          <w:rFonts w:ascii="Times New Roman" w:hAnsi="Times New Roman"/>
          <w:sz w:val="20"/>
        </w:rPr>
        <w:t>Each share of Common Stock includes an associated Preferred Stock Purchase Right. Each Preferred Stock Purchase Right initially represents the right, if such Preferred Stock Purchase Right becomes exercisable, to purchase from the Company one ten-thousandth of a share of its Series B Junior Preferred Stock for each share of Common Stock. The Preferred Stock Purchase Rights currently cannot trade separately from the underlying Common Stock.</w:t>
      </w:r>
    </w:p>
    <w:p>
      <w:pPr>
        <w:pStyle w:val="TextBody"/>
        <w:bidi w:val="0"/>
        <w:spacing w:lineRule="atLeast" w:line="240" w:before="0" w:after="200"/>
        <w:ind w:left="0" w:right="0" w:firstLine="540"/>
        <w:jc w:val="both"/>
        <w:rPr/>
      </w:pPr>
      <w:r>
        <w:rPr>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t xml:space="preserve">☒ </w:t>
      </w:r>
      <w:r>
        <w:rPr>
          <w:sz w:val="20"/>
        </w:rPr>
        <w:t xml:space="preserve">No </w:t>
      </w:r>
      <w:r>
        <w:rPr/>
        <w:t>☐</w:t>
      </w:r>
    </w:p>
    <w:p>
      <w:pPr>
        <w:pStyle w:val="TextBody"/>
        <w:bidi w:val="0"/>
        <w:spacing w:lineRule="atLeast" w:line="240" w:before="0" w:after="200"/>
        <w:ind w:left="0" w:right="0" w:firstLine="540"/>
        <w:jc w:val="both"/>
        <w:rPr/>
      </w:pPr>
      <w:r>
        <w:rPr>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t xml:space="preserve">☒ </w:t>
      </w:r>
      <w:r>
        <w:rPr>
          <w:sz w:val="20"/>
        </w:rPr>
        <w:t xml:space="preserve">No </w:t>
      </w:r>
      <w:r>
        <w:rPr/>
        <w:t>☐</w:t>
      </w:r>
    </w:p>
    <w:p>
      <w:pPr>
        <w:pStyle w:val="TextBody"/>
        <w:bidi w:val="0"/>
        <w:spacing w:lineRule="atLeast" w:line="240" w:before="0" w:after="200"/>
        <w:ind w:left="0" w:right="0" w:firstLine="540"/>
        <w:jc w:val="both"/>
        <w:rPr>
          <w:sz w:val="20"/>
        </w:rPr>
      </w:pPr>
      <w:r>
        <w:rPr>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0" w:type="dxa"/>
          <w:left w:w="0" w:type="dxa"/>
          <w:bottom w:w="0" w:type="dxa"/>
          <w:right w:w="0" w:type="dxa"/>
        </w:tblCellMar>
      </w:tblPr>
      <w:tblGrid>
        <w:gridCol w:w="2023"/>
        <w:gridCol w:w="1554"/>
        <w:gridCol w:w="1894"/>
        <w:gridCol w:w="2380"/>
        <w:gridCol w:w="2354"/>
      </w:tblGrid>
      <w:tr>
        <w:trPr/>
        <w:tc>
          <w:tcPr>
            <w:tcW w:w="2023" w:type="dxa"/>
            <w:tcBorders/>
            <w:vAlign w:val="center"/>
          </w:tcPr>
          <w:p>
            <w:pPr>
              <w:pStyle w:val="TableContents"/>
              <w:bidi w:val="0"/>
              <w:spacing w:before="0" w:after="0"/>
              <w:jc w:val="left"/>
              <w:rPr>
                <w:sz w:val="20"/>
              </w:rPr>
            </w:pPr>
            <w:r>
              <w:rPr>
                <w:sz w:val="20"/>
              </w:rPr>
              <w:t>Large Accelerated Filer ☐</w:t>
            </w:r>
          </w:p>
        </w:tc>
        <w:tc>
          <w:tcPr>
            <w:tcW w:w="1554" w:type="dxa"/>
            <w:tcBorders/>
            <w:vAlign w:val="center"/>
          </w:tcPr>
          <w:p>
            <w:pPr>
              <w:pStyle w:val="TableContents"/>
              <w:bidi w:val="0"/>
              <w:spacing w:before="0" w:after="0"/>
              <w:jc w:val="left"/>
              <w:rPr>
                <w:sz w:val="20"/>
              </w:rPr>
            </w:pPr>
            <w:r>
              <w:rPr>
                <w:rFonts w:ascii="Times New Roman" w:hAnsi="Times New Roman"/>
                <w:sz w:val="20"/>
              </w:rPr>
              <w:t>Accelerated Filer</w:t>
            </w:r>
            <w:r>
              <w:rPr>
                <w:sz w:val="20"/>
              </w:rPr>
              <w:t> ☒</w:t>
            </w:r>
          </w:p>
        </w:tc>
        <w:tc>
          <w:tcPr>
            <w:tcW w:w="1894" w:type="dxa"/>
            <w:tcBorders/>
            <w:vAlign w:val="center"/>
          </w:tcPr>
          <w:p>
            <w:pPr>
              <w:pStyle w:val="TableContents"/>
              <w:bidi w:val="0"/>
              <w:spacing w:before="0" w:after="0"/>
              <w:jc w:val="left"/>
              <w:rPr>
                <w:sz w:val="20"/>
              </w:rPr>
            </w:pPr>
            <w:r>
              <w:rPr>
                <w:sz w:val="20"/>
              </w:rPr>
              <w:t xml:space="preserve">Nonaccelerated Filer ☐ </w:t>
            </w:r>
          </w:p>
        </w:tc>
        <w:tc>
          <w:tcPr>
            <w:tcW w:w="2380" w:type="dxa"/>
            <w:tcBorders/>
            <w:vAlign w:val="center"/>
          </w:tcPr>
          <w:p>
            <w:pPr>
              <w:pStyle w:val="TableContents"/>
              <w:bidi w:val="0"/>
              <w:spacing w:before="0" w:after="0"/>
              <w:jc w:val="left"/>
              <w:rPr>
                <w:sz w:val="20"/>
              </w:rPr>
            </w:pPr>
            <w:r>
              <w:rPr>
                <w:sz w:val="20"/>
              </w:rPr>
              <w:t>Smaller Reporting Company ☐</w:t>
            </w:r>
          </w:p>
        </w:tc>
        <w:tc>
          <w:tcPr>
            <w:tcW w:w="2354" w:type="dxa"/>
            <w:tcBorders/>
            <w:vAlign w:val="center"/>
          </w:tcPr>
          <w:p>
            <w:pPr>
              <w:pStyle w:val="TableContents"/>
              <w:bidi w:val="0"/>
              <w:spacing w:before="0" w:after="0"/>
              <w:jc w:val="left"/>
              <w:rPr>
                <w:sz w:val="20"/>
              </w:rPr>
            </w:pPr>
            <w:r>
              <w:rPr>
                <w:sz w:val="20"/>
              </w:rPr>
              <w:t>Emerging Growth Company ☐</w:t>
            </w:r>
          </w:p>
        </w:tc>
      </w:tr>
    </w:tbl>
    <w:p>
      <w:pPr>
        <w:pStyle w:val="TextBody"/>
        <w:bidi w:val="0"/>
        <w:spacing w:lineRule="atLeast" w:line="240" w:before="200" w:after="0"/>
        <w:ind w:left="0" w:right="0" w:firstLine="540"/>
        <w:jc w:val="left"/>
        <w:rPr/>
      </w:pPr>
      <w:r>
        <w:rPr>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t>☐</w:t>
      </w:r>
    </w:p>
    <w:p>
      <w:pPr>
        <w:pStyle w:val="TextBody"/>
        <w:bidi w:val="0"/>
        <w:spacing w:lineRule="atLeast" w:line="240" w:before="200" w:after="200"/>
        <w:ind w:left="0" w:right="0" w:firstLine="540"/>
        <w:jc w:val="left"/>
        <w:rPr/>
      </w:pPr>
      <w:r>
        <w:rPr>
          <w:sz w:val="20"/>
        </w:rPr>
        <w:t xml:space="preserve">Indicate by check mark whether the registrant is a shell company (as defined in Rule 12b-2 of the Exchange Act). Yes </w:t>
      </w:r>
      <w:r>
        <w:rPr/>
        <w:t xml:space="preserve">☐ </w:t>
      </w:r>
      <w:r>
        <w:rPr>
          <w:sz w:val="20"/>
        </w:rPr>
        <w:t xml:space="preserve">No </w:t>
      </w:r>
      <w:r>
        <w:rPr/>
        <w:t>☒</w:t>
      </w:r>
    </w:p>
    <w:p>
      <w:pPr>
        <w:pStyle w:val="TextBody"/>
        <w:bidi w:val="0"/>
        <w:spacing w:lineRule="atLeast" w:line="240" w:before="0" w:after="0"/>
        <w:ind w:left="0" w:right="0" w:firstLine="540"/>
        <w:jc w:val="both"/>
        <w:rPr/>
      </w:pPr>
      <w:r>
        <w:rPr>
          <w:sz w:val="20"/>
        </w:rPr>
        <w:t xml:space="preserve">Indicate the number of shares outstanding of each of the issuer’s classes of common stock, as of the latest practicable date. </w:t>
      </w:r>
      <w:r>
        <w:rPr>
          <w:rFonts w:ascii="Times New Roman" w:hAnsi="Times New Roman"/>
          <w:sz w:val="20"/>
        </w:rPr>
        <w:t>5,122,255</w:t>
      </w:r>
      <w:r>
        <w:rPr/>
        <w:t xml:space="preserve"> </w:t>
      </w:r>
      <w:r>
        <w:rPr>
          <w:sz w:val="20"/>
        </w:rPr>
        <w:t xml:space="preserve">shares of Class A Common Stock and </w:t>
      </w:r>
      <w:r>
        <w:rPr>
          <w:rFonts w:ascii="Times New Roman" w:hAnsi="Times New Roman"/>
          <w:sz w:val="20"/>
        </w:rPr>
        <w:t>837,635</w:t>
      </w:r>
      <w:r>
        <w:rPr/>
        <w:t xml:space="preserve"> </w:t>
      </w:r>
      <w:r>
        <w:rPr>
          <w:sz w:val="20"/>
        </w:rPr>
        <w:t xml:space="preserve">shares of Class B Common Stock were outstanding as of </w:t>
      </w:r>
      <w:r>
        <w:rPr>
          <w:rFonts w:ascii="Times New Roman" w:hAnsi="Times New Roman"/>
          <w:sz w:val="20"/>
        </w:rPr>
        <w:t>August 25, 2026</w:t>
      </w:r>
      <w:r>
        <w:rPr>
          <w:sz w:val="20"/>
        </w:rPr>
        <w:t>.</w:t>
      </w:r>
    </w:p>
    <w:p>
      <w:pPr>
        <w:pStyle w:val="TextBody"/>
        <w:bidi w:val="0"/>
        <w:spacing w:lineRule="atLeast" w:line="240" w:before="0" w:after="0"/>
        <w:ind w:left="0" w:right="0" w:firstLine="54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r>
        <w:br w:type="page"/>
      </w:r>
    </w:p>
    <w:p>
      <w:pPr>
        <w:pStyle w:val="TextBody"/>
        <w:bidi w:val="0"/>
        <w:spacing w:before="0" w:after="0"/>
        <w:jc w:val="left"/>
        <w:rPr/>
      </w:pPr>
      <w:hyperlink w:anchor="TOC">
        <w:r>
          <w:rPr>
            <w:rStyle w:val="InternetLink"/>
            <w:strike w:val="false"/>
            <w:dstrike w:val="false"/>
            <w:sz w:val="20"/>
            <w:u w:val="single"/>
            <w:effect w:val="none"/>
          </w:rPr>
          <w:t>Table of Contents</w:t>
        </w:r>
      </w:hyperlink>
    </w:p>
    <w:p>
      <w:pPr>
        <w:pStyle w:val="TextBody"/>
        <w:bidi w:val="0"/>
        <w:spacing w:before="0" w:after="0"/>
        <w:jc w:val="left"/>
        <w:rPr/>
      </w:pPr>
      <w:r>
        <w:rPr/>
        <w:t> </w:t>
      </w:r>
    </w:p>
    <w:p>
      <w:pPr>
        <w:pStyle w:val="TextBody"/>
        <w:bidi w:val="0"/>
        <w:spacing w:before="0" w:after="0"/>
        <w:jc w:val="left"/>
        <w:rPr/>
      </w:pPr>
      <w:bookmarkStart w:id="3" w:name="toc"/>
      <w:bookmarkEnd w:id="3"/>
      <w:r>
        <w:rPr>
          <w:sz w:val="20"/>
        </w:rPr>
        <w:t>HOVNANIAN ENTERPRISES, INC.</w:t>
      </w:r>
      <w:r>
        <w:rPr/>
        <w:t>  </w:t>
      </w:r>
    </w:p>
    <w:p>
      <w:pPr>
        <w:pStyle w:val="TextBody"/>
        <w:bidi w:val="0"/>
        <w:spacing w:before="0" w:after="0"/>
        <w:jc w:val="left"/>
        <w:rPr/>
      </w:pPr>
      <w:r>
        <w:rPr/>
        <w:t> </w:t>
      </w:r>
    </w:p>
    <w:p>
      <w:pPr>
        <w:pStyle w:val="TextBody"/>
        <w:bidi w:val="0"/>
        <w:spacing w:before="0" w:after="200"/>
        <w:jc w:val="left"/>
        <w:rPr>
          <w:sz w:val="20"/>
        </w:rPr>
      </w:pPr>
      <w:r>
        <w:rPr>
          <w:sz w:val="20"/>
        </w:rPr>
        <w:t>FORM 10-Q</w:t>
      </w:r>
    </w:p>
    <w:tbl>
      <w:tblPr>
        <w:tblW w:w="10205" w:type="dxa"/>
        <w:jc w:val="left"/>
        <w:tblInd w:w="0" w:type="dxa"/>
        <w:tblLayout w:type="fixed"/>
        <w:tblCellMar>
          <w:top w:w="0" w:type="dxa"/>
          <w:left w:w="0" w:type="dxa"/>
          <w:bottom w:w="0" w:type="dxa"/>
          <w:right w:w="0" w:type="dxa"/>
        </w:tblCellMar>
      </w:tblPr>
      <w:tblGrid>
        <w:gridCol w:w="9330"/>
        <w:gridCol w:w="875"/>
      </w:tblGrid>
      <w:tr>
        <w:trPr/>
        <w:tc>
          <w:tcPr>
            <w:tcW w:w="9330" w:type="dxa"/>
            <w:tcBorders/>
            <w:vAlign w:val="center"/>
          </w:tcPr>
          <w:p>
            <w:pPr>
              <w:pStyle w:val="TableContents"/>
              <w:bidi w:val="0"/>
              <w:spacing w:before="0" w:after="0"/>
              <w:jc w:val="left"/>
              <w:rPr>
                <w:sz w:val="20"/>
              </w:rPr>
            </w:pPr>
            <w:bookmarkStart w:id="4" w:name="TOC_TableofContent"/>
            <w:bookmarkEnd w:id="4"/>
            <w:r>
              <w:rPr>
                <w:sz w:val="20"/>
              </w:rPr>
              <w:t>INDEX</w:t>
            </w:r>
          </w:p>
        </w:tc>
        <w:tc>
          <w:tcPr>
            <w:tcW w:w="875" w:type="dxa"/>
            <w:tcBorders/>
            <w:vAlign w:val="center"/>
          </w:tcPr>
          <w:p>
            <w:pPr>
              <w:pStyle w:val="TableContents"/>
              <w:bidi w:val="0"/>
              <w:spacing w:before="0" w:after="0"/>
              <w:jc w:val="center"/>
              <w:rPr>
                <w:sz w:val="20"/>
              </w:rPr>
            </w:pPr>
            <w:r>
              <w:rPr>
                <w:sz w:val="20"/>
              </w:rPr>
              <w:t>PAGE </w:t>
              <w:br/>
              <w:t>NUMBER</w:t>
            </w:r>
          </w:p>
        </w:tc>
      </w:tr>
      <w:tr>
        <w:trPr/>
        <w:tc>
          <w:tcPr>
            <w:tcW w:w="933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r>
      <w:tr>
        <w:trPr/>
        <w:tc>
          <w:tcPr>
            <w:tcW w:w="9330" w:type="dxa"/>
            <w:tcBorders/>
            <w:vAlign w:val="center"/>
          </w:tcPr>
          <w:p>
            <w:pPr>
              <w:pStyle w:val="TableContents"/>
              <w:bidi w:val="0"/>
              <w:spacing w:before="0" w:after="0"/>
              <w:jc w:val="left"/>
              <w:rPr/>
            </w:pPr>
            <w:hyperlink w:anchor="bm_80cfe8564b614231">
              <w:r>
                <w:rPr>
                  <w:rStyle w:val="InternetLink"/>
                  <w:strike w:val="false"/>
                  <w:dstrike w:val="false"/>
                  <w:sz w:val="20"/>
                  <w:u w:val="single"/>
                  <w:effect w:val="none"/>
                </w:rPr>
                <w:t>PART I. Financial Information</w:t>
              </w:r>
            </w:hyperlink>
          </w:p>
        </w:tc>
        <w:tc>
          <w:tcPr>
            <w:tcW w:w="875" w:type="dxa"/>
            <w:tcBorders/>
            <w:vAlign w:val="center"/>
          </w:tcPr>
          <w:p>
            <w:pPr>
              <w:pStyle w:val="TableContents"/>
              <w:bidi w:val="0"/>
              <w:spacing w:before="0" w:after="0"/>
              <w:jc w:val="left"/>
              <w:rPr/>
            </w:pPr>
            <w:r>
              <w:rPr/>
              <w:t> </w:t>
            </w:r>
          </w:p>
        </w:tc>
      </w:tr>
      <w:tr>
        <w:trPr/>
        <w:tc>
          <w:tcPr>
            <w:tcW w:w="9330" w:type="dxa"/>
            <w:tcBorders/>
            <w:vAlign w:val="center"/>
          </w:tcPr>
          <w:p>
            <w:pPr>
              <w:pStyle w:val="TableContents"/>
              <w:bidi w:val="0"/>
              <w:spacing w:before="0" w:after="0"/>
              <w:jc w:val="left"/>
              <w:rPr/>
            </w:pPr>
            <w:hyperlink w:anchor="bm_80cfe8564b614231">
              <w:r>
                <w:rPr>
                  <w:rStyle w:val="InternetLink"/>
                  <w:strike w:val="false"/>
                  <w:dstrike w:val="false"/>
                  <w:sz w:val="20"/>
                  <w:u w:val="single"/>
                  <w:effect w:val="none"/>
                </w:rPr>
                <w:t>Item l. Financial Statements:</w:t>
              </w:r>
            </w:hyperlink>
          </w:p>
        </w:tc>
        <w:tc>
          <w:tcPr>
            <w:tcW w:w="875" w:type="dxa"/>
            <w:tcBorders/>
            <w:vAlign w:val="center"/>
          </w:tcPr>
          <w:p>
            <w:pPr>
              <w:pStyle w:val="TableContents"/>
              <w:bidi w:val="0"/>
              <w:spacing w:before="0" w:after="0"/>
              <w:jc w:val="center"/>
              <w:rPr/>
            </w:pPr>
            <w:r>
              <w:rPr/>
              <w:t> </w:t>
            </w:r>
          </w:p>
        </w:tc>
      </w:tr>
      <w:tr>
        <w:trPr/>
        <w:tc>
          <w:tcPr>
            <w:tcW w:w="933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pPr>
            <w:r>
              <w:rPr/>
              <w:t> </w:t>
            </w:r>
          </w:p>
        </w:tc>
      </w:tr>
      <w:tr>
        <w:trPr/>
        <w:tc>
          <w:tcPr>
            <w:tcW w:w="9330" w:type="dxa"/>
            <w:tcBorders/>
            <w:vAlign w:val="center"/>
          </w:tcPr>
          <w:p>
            <w:pPr>
              <w:pStyle w:val="TableContents"/>
              <w:bidi w:val="0"/>
              <w:spacing w:before="0" w:after="0"/>
              <w:jc w:val="left"/>
              <w:rPr/>
            </w:pPr>
            <w:hyperlink w:anchor="bm_80cfe8564b614231">
              <w:r>
                <w:rPr>
                  <w:rStyle w:val="InternetLink"/>
                  <w:strike w:val="false"/>
                  <w:dstrike w:val="false"/>
                  <w:color w:val="0000FF"/>
                  <w:sz w:val="20"/>
                  <w:u w:val="single"/>
                  <w:effect w:val="none"/>
                </w:rPr>
                <w:t xml:space="preserve">Condensed Consolidated Balance Sheets (unaudited) as of </w:t>
              </w:r>
            </w:hyperlink>
            <w:hyperlink w:anchor="bm_80cfe8564b614231">
              <w:r>
                <w:rPr>
                  <w:rStyle w:val="InternetLink"/>
                  <w:rFonts w:ascii="Times New Roman" w:hAnsi="Times New Roman"/>
                  <w:strike w:val="false"/>
                  <w:dstrike w:val="false"/>
                  <w:color w:val="0000FF"/>
                  <w:sz w:val="20"/>
                  <w:u w:val="single"/>
                  <w:effect w:val="none"/>
                </w:rPr>
                <w:t>July 31, 2026</w:t>
              </w:r>
            </w:hyperlink>
            <w:hyperlink w:anchor="bm_80cfe8564b614231">
              <w:r>
                <w:rPr>
                  <w:rStyle w:val="InternetLink"/>
                  <w:strike w:val="false"/>
                  <w:dstrike w:val="false"/>
                  <w:color w:val="0000FF"/>
                  <w:u w:val="single"/>
                  <w:effect w:val="none"/>
                </w:rPr>
                <w:t xml:space="preserve"> </w:t>
              </w:r>
            </w:hyperlink>
            <w:hyperlink w:anchor="bm_80cfe8564b614231">
              <w:r>
                <w:rPr>
                  <w:rStyle w:val="InternetLink"/>
                  <w:strike w:val="false"/>
                  <w:dstrike w:val="false"/>
                  <w:color w:val="0000FF"/>
                  <w:sz w:val="20"/>
                  <w:u w:val="single"/>
                  <w:effect w:val="none"/>
                </w:rPr>
                <w:t xml:space="preserve">and </w:t>
              </w:r>
            </w:hyperlink>
            <w:hyperlink w:anchor="bm_80cfe8564b614231">
              <w:r>
                <w:rPr>
                  <w:rStyle w:val="InternetLink"/>
                  <w:rFonts w:ascii="Times New Roman" w:hAnsi="Times New Roman"/>
                  <w:strike w:val="false"/>
                  <w:dstrike w:val="false"/>
                  <w:color w:val="0000FF"/>
                  <w:sz w:val="20"/>
                  <w:u w:val="single"/>
                  <w:effect w:val="none"/>
                </w:rPr>
                <w:t>October 31, 2025</w:t>
              </w:r>
            </w:hyperlink>
          </w:p>
        </w:tc>
        <w:tc>
          <w:tcPr>
            <w:tcW w:w="8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3</w:t>
            </w:r>
          </w:p>
        </w:tc>
      </w:tr>
      <w:tr>
        <w:trPr/>
        <w:tc>
          <w:tcPr>
            <w:tcW w:w="933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pPr>
            <w:r>
              <w:rPr/>
              <w:t> </w:t>
            </w:r>
          </w:p>
        </w:tc>
      </w:tr>
      <w:tr>
        <w:trPr/>
        <w:tc>
          <w:tcPr>
            <w:tcW w:w="9330" w:type="dxa"/>
            <w:tcBorders/>
            <w:vAlign w:val="center"/>
          </w:tcPr>
          <w:p>
            <w:pPr>
              <w:pStyle w:val="TableContents"/>
              <w:bidi w:val="0"/>
              <w:spacing w:before="0" w:after="0"/>
              <w:jc w:val="left"/>
              <w:rPr/>
            </w:pPr>
            <w:hyperlink w:anchor="bm_dcbbf59c9fcc0788">
              <w:r>
                <w:rPr>
                  <w:rStyle w:val="InternetLink"/>
                  <w:strike w:val="false"/>
                  <w:dstrike w:val="false"/>
                  <w:color w:val="0000FF"/>
                  <w:sz w:val="20"/>
                  <w:u w:val="single"/>
                  <w:effect w:val="none"/>
                </w:rPr>
                <w:t xml:space="preserve">Condensed Consolidated Statements of Operations (unaudited) for the </w:t>
              </w:r>
            </w:hyperlink>
            <w:hyperlink w:anchor="bm_dcbbf59c9fcc0788">
              <w:r>
                <w:rPr>
                  <w:rStyle w:val="InternetLink"/>
                  <w:rFonts w:ascii="Times New Roman" w:hAnsi="Times New Roman"/>
                  <w:strike w:val="false"/>
                  <w:dstrike w:val="false"/>
                  <w:color w:val="0000FF"/>
                  <w:sz w:val="20"/>
                  <w:u w:val="single"/>
                  <w:effect w:val="none"/>
                </w:rPr>
                <w:t>three and nine</w:t>
              </w:r>
            </w:hyperlink>
            <w:hyperlink w:anchor="bm_dcbbf59c9fcc0788">
              <w:r>
                <w:rPr>
                  <w:rStyle w:val="InternetLink"/>
                  <w:strike w:val="false"/>
                  <w:dstrike w:val="false"/>
                  <w:color w:val="0000FF"/>
                  <w:u w:val="single"/>
                  <w:effect w:val="none"/>
                </w:rPr>
                <w:t xml:space="preserve"> </w:t>
              </w:r>
            </w:hyperlink>
            <w:hyperlink w:anchor="bm_dcbbf59c9fcc0788">
              <w:r>
                <w:rPr>
                  <w:rStyle w:val="InternetLink"/>
                  <w:strike w:val="false"/>
                  <w:dstrike w:val="false"/>
                  <w:color w:val="0000FF"/>
                  <w:sz w:val="20"/>
                  <w:u w:val="single"/>
                  <w:effect w:val="none"/>
                </w:rPr>
                <w:t>months ended</w:t>
              </w:r>
            </w:hyperlink>
            <w:hyperlink w:anchor="bm_dcbbf59c9fcc0788">
              <w:r>
                <w:rPr>
                  <w:rStyle w:val="InternetLink"/>
                  <w:strike w:val="false"/>
                  <w:dstrike w:val="false"/>
                  <w:color w:val="0000FF"/>
                  <w:u w:val="single"/>
                  <w:effect w:val="none"/>
                </w:rPr>
                <w:t> </w:t>
              </w:r>
            </w:hyperlink>
            <w:hyperlink w:anchor="bm_dcbbf59c9fcc0788">
              <w:r>
                <w:rPr>
                  <w:rStyle w:val="InternetLink"/>
                  <w:rFonts w:ascii="Times New Roman" w:hAnsi="Times New Roman"/>
                  <w:strike w:val="false"/>
                  <w:dstrike w:val="false"/>
                  <w:color w:val="0000FF"/>
                  <w:sz w:val="20"/>
                  <w:u w:val="single"/>
                  <w:effect w:val="none"/>
                </w:rPr>
                <w:t>July 31, 2026</w:t>
              </w:r>
            </w:hyperlink>
            <w:hyperlink w:anchor="bm_dcbbf59c9fcc0788">
              <w:r>
                <w:rPr>
                  <w:rStyle w:val="InternetLink"/>
                  <w:strike w:val="false"/>
                  <w:dstrike w:val="false"/>
                  <w:color w:val="0000FF"/>
                  <w:u w:val="single"/>
                  <w:effect w:val="none"/>
                </w:rPr>
                <w:t xml:space="preserve"> </w:t>
              </w:r>
            </w:hyperlink>
            <w:hyperlink w:anchor="bm_dcbbf59c9fcc0788">
              <w:r>
                <w:rPr>
                  <w:rStyle w:val="InternetLink"/>
                  <w:strike w:val="false"/>
                  <w:dstrike w:val="false"/>
                  <w:color w:val="0000FF"/>
                  <w:sz w:val="20"/>
                  <w:u w:val="single"/>
                  <w:effect w:val="none"/>
                </w:rPr>
                <w:t xml:space="preserve">and </w:t>
              </w:r>
            </w:hyperlink>
            <w:hyperlink w:anchor="bm_dcbbf59c9fcc0788">
              <w:r>
                <w:rPr>
                  <w:rStyle w:val="InternetLink"/>
                  <w:rFonts w:ascii="Times New Roman" w:hAnsi="Times New Roman"/>
                  <w:strike w:val="false"/>
                  <w:dstrike w:val="false"/>
                  <w:color w:val="0000FF"/>
                  <w:sz w:val="20"/>
                  <w:u w:val="single"/>
                  <w:effect w:val="none"/>
                </w:rPr>
                <w:t>2025</w:t>
              </w:r>
            </w:hyperlink>
          </w:p>
        </w:tc>
        <w:tc>
          <w:tcPr>
            <w:tcW w:w="8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w:t>
            </w:r>
          </w:p>
        </w:tc>
      </w:tr>
      <w:tr>
        <w:trPr/>
        <w:tc>
          <w:tcPr>
            <w:tcW w:w="933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pPr>
            <w:r>
              <w:rPr/>
              <w:t> </w:t>
            </w:r>
          </w:p>
        </w:tc>
      </w:tr>
      <w:tr>
        <w:trPr/>
        <w:tc>
          <w:tcPr>
            <w:tcW w:w="9330" w:type="dxa"/>
            <w:tcBorders/>
            <w:vAlign w:val="center"/>
          </w:tcPr>
          <w:p>
            <w:pPr>
              <w:pStyle w:val="TableContents"/>
              <w:bidi w:val="0"/>
              <w:spacing w:before="0" w:after="0"/>
              <w:jc w:val="left"/>
              <w:rPr/>
            </w:pPr>
            <w:hyperlink w:anchor="bm_3d4f8297a33790dd">
              <w:r>
                <w:rPr>
                  <w:rStyle w:val="InternetLink"/>
                  <w:strike w:val="false"/>
                  <w:dstrike w:val="false"/>
                  <w:color w:val="0000FF"/>
                  <w:sz w:val="20"/>
                  <w:u w:val="single"/>
                  <w:effect w:val="none"/>
                </w:rPr>
                <w:t xml:space="preserve">Condensed Consolidated Statements of Changes in Equity (unaudited) for the </w:t>
              </w:r>
            </w:hyperlink>
            <w:hyperlink w:anchor="bm_3d4f8297a33790dd">
              <w:r>
                <w:rPr>
                  <w:rStyle w:val="InternetLink"/>
                  <w:rFonts w:ascii="Times New Roman" w:hAnsi="Times New Roman"/>
                  <w:strike w:val="false"/>
                  <w:dstrike w:val="false"/>
                  <w:color w:val="0000FF"/>
                  <w:sz w:val="20"/>
                  <w:u w:val="single"/>
                  <w:effect w:val="none"/>
                </w:rPr>
                <w:t>three and nine</w:t>
              </w:r>
            </w:hyperlink>
            <w:hyperlink w:anchor="bm_3d4f8297a33790dd">
              <w:r>
                <w:rPr>
                  <w:rStyle w:val="InternetLink"/>
                  <w:strike w:val="false"/>
                  <w:dstrike w:val="false"/>
                  <w:color w:val="0000FF"/>
                  <w:u w:val="single"/>
                  <w:effect w:val="none"/>
                </w:rPr>
                <w:t xml:space="preserve"> </w:t>
              </w:r>
            </w:hyperlink>
            <w:hyperlink w:anchor="bm_3d4f8297a33790dd">
              <w:r>
                <w:rPr>
                  <w:rStyle w:val="InternetLink"/>
                  <w:strike w:val="false"/>
                  <w:dstrike w:val="false"/>
                  <w:color w:val="0000FF"/>
                  <w:sz w:val="20"/>
                  <w:u w:val="single"/>
                  <w:effect w:val="none"/>
                </w:rPr>
                <w:t xml:space="preserve">months ended </w:t>
              </w:r>
            </w:hyperlink>
            <w:hyperlink w:anchor="bm_3d4f8297a33790dd">
              <w:r>
                <w:rPr>
                  <w:rStyle w:val="InternetLink"/>
                  <w:rFonts w:ascii="Times New Roman" w:hAnsi="Times New Roman"/>
                  <w:strike w:val="false"/>
                  <w:dstrike w:val="false"/>
                  <w:color w:val="0000FF"/>
                  <w:sz w:val="20"/>
                  <w:u w:val="single"/>
                  <w:effect w:val="none"/>
                </w:rPr>
                <w:t>July 31, 2026</w:t>
              </w:r>
            </w:hyperlink>
            <w:hyperlink w:anchor="bm_3d4f8297a33790dd">
              <w:r>
                <w:rPr>
                  <w:rStyle w:val="InternetLink"/>
                  <w:strike w:val="false"/>
                  <w:dstrike w:val="false"/>
                  <w:color w:val="0000FF"/>
                  <w:u w:val="single"/>
                  <w:effect w:val="none"/>
                </w:rPr>
                <w:t xml:space="preserve"> </w:t>
              </w:r>
            </w:hyperlink>
            <w:hyperlink w:anchor="bm_3d4f8297a33790dd">
              <w:r>
                <w:rPr>
                  <w:rStyle w:val="InternetLink"/>
                  <w:strike w:val="false"/>
                  <w:dstrike w:val="false"/>
                  <w:color w:val="0000FF"/>
                  <w:sz w:val="20"/>
                  <w:u w:val="single"/>
                  <w:effect w:val="none"/>
                </w:rPr>
                <w:t xml:space="preserve">and </w:t>
              </w:r>
            </w:hyperlink>
            <w:hyperlink w:anchor="bm_3d4f8297a33790dd">
              <w:r>
                <w:rPr>
                  <w:rStyle w:val="InternetLink"/>
                  <w:rFonts w:ascii="Times New Roman" w:hAnsi="Times New Roman"/>
                  <w:strike w:val="false"/>
                  <w:dstrike w:val="false"/>
                  <w:color w:val="0000FF"/>
                  <w:sz w:val="20"/>
                  <w:u w:val="single"/>
                  <w:effect w:val="none"/>
                </w:rPr>
                <w:t>2025</w:t>
              </w:r>
            </w:hyperlink>
          </w:p>
        </w:tc>
        <w:tc>
          <w:tcPr>
            <w:tcW w:w="8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5</w:t>
            </w:r>
          </w:p>
        </w:tc>
      </w:tr>
      <w:tr>
        <w:trPr/>
        <w:tc>
          <w:tcPr>
            <w:tcW w:w="933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pPr>
            <w:r>
              <w:rPr/>
              <w:t> </w:t>
            </w:r>
          </w:p>
        </w:tc>
      </w:tr>
      <w:tr>
        <w:trPr/>
        <w:tc>
          <w:tcPr>
            <w:tcW w:w="9330" w:type="dxa"/>
            <w:tcBorders/>
            <w:vAlign w:val="center"/>
          </w:tcPr>
          <w:p>
            <w:pPr>
              <w:pStyle w:val="TableContents"/>
              <w:bidi w:val="0"/>
              <w:spacing w:before="0" w:after="0"/>
              <w:jc w:val="left"/>
              <w:rPr/>
            </w:pPr>
            <w:hyperlink w:anchor="bm_d91a57ea9786b383">
              <w:r>
                <w:rPr>
                  <w:rStyle w:val="InternetLink"/>
                  <w:strike w:val="false"/>
                  <w:dstrike w:val="false"/>
                  <w:color w:val="0000FF"/>
                  <w:sz w:val="20"/>
                  <w:u w:val="single"/>
                  <w:effect w:val="none"/>
                </w:rPr>
                <w:t xml:space="preserve">Condensed Consolidated Statements of Cash Flows (unaudited) for the </w:t>
              </w:r>
            </w:hyperlink>
            <w:hyperlink w:anchor="bm_d91a57ea9786b383">
              <w:r>
                <w:rPr>
                  <w:rStyle w:val="InternetLink"/>
                  <w:rFonts w:ascii="Times New Roman" w:hAnsi="Times New Roman"/>
                  <w:strike w:val="false"/>
                  <w:dstrike w:val="false"/>
                  <w:color w:val="0000FF"/>
                  <w:sz w:val="20"/>
                  <w:u w:val="single"/>
                  <w:effect w:val="none"/>
                </w:rPr>
                <w:t>nine months ended July 31, 2026</w:t>
              </w:r>
            </w:hyperlink>
            <w:hyperlink w:anchor="bm_d91a57ea9786b383">
              <w:r>
                <w:rPr>
                  <w:rStyle w:val="InternetLink"/>
                  <w:strike w:val="false"/>
                  <w:dstrike w:val="false"/>
                  <w:color w:val="0000FF"/>
                  <w:u w:val="single"/>
                  <w:effect w:val="none"/>
                </w:rPr>
                <w:t xml:space="preserve"> </w:t>
              </w:r>
            </w:hyperlink>
            <w:hyperlink w:anchor="bm_d91a57ea9786b383">
              <w:r>
                <w:rPr>
                  <w:rStyle w:val="InternetLink"/>
                  <w:strike w:val="false"/>
                  <w:dstrike w:val="false"/>
                  <w:color w:val="0000FF"/>
                  <w:sz w:val="20"/>
                  <w:u w:val="single"/>
                  <w:effect w:val="none"/>
                </w:rPr>
                <w:t xml:space="preserve">and </w:t>
              </w:r>
            </w:hyperlink>
            <w:hyperlink w:anchor="bm_d91a57ea9786b383">
              <w:r>
                <w:rPr>
                  <w:rStyle w:val="InternetLink"/>
                  <w:rFonts w:ascii="Times New Roman" w:hAnsi="Times New Roman"/>
                  <w:strike w:val="false"/>
                  <w:dstrike w:val="false"/>
                  <w:color w:val="0000FF"/>
                  <w:sz w:val="20"/>
                  <w:u w:val="single"/>
                  <w:effect w:val="none"/>
                </w:rPr>
                <w:t>2025</w:t>
              </w:r>
            </w:hyperlink>
            <w:hyperlink w:anchor="bm_d91a57ea9786b383">
              <w:r>
                <w:rPr>
                  <w:rStyle w:val="InternetLink"/>
                  <w:strike w:val="false"/>
                  <w:dstrike w:val="false"/>
                  <w:color w:val="0000FF"/>
                  <w:u w:val="single"/>
                  <w:effect w:val="none"/>
                </w:rPr>
                <w:t xml:space="preserve"> </w:t>
              </w:r>
            </w:hyperlink>
          </w:p>
        </w:tc>
        <w:tc>
          <w:tcPr>
            <w:tcW w:w="8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7</w:t>
            </w:r>
          </w:p>
        </w:tc>
      </w:tr>
      <w:tr>
        <w:trPr/>
        <w:tc>
          <w:tcPr>
            <w:tcW w:w="933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pPr>
            <w:r>
              <w:rPr/>
              <w:t> </w:t>
            </w:r>
          </w:p>
        </w:tc>
      </w:tr>
      <w:tr>
        <w:trPr/>
        <w:tc>
          <w:tcPr>
            <w:tcW w:w="9330" w:type="dxa"/>
            <w:tcBorders/>
            <w:vAlign w:val="center"/>
          </w:tcPr>
          <w:p>
            <w:pPr>
              <w:pStyle w:val="TableContents"/>
              <w:bidi w:val="0"/>
              <w:spacing w:before="0" w:after="0"/>
              <w:jc w:val="left"/>
              <w:rPr/>
            </w:pPr>
            <w:hyperlink w:anchor="bm_df88b7465ea42c55">
              <w:r>
                <w:rPr>
                  <w:rStyle w:val="InternetLink"/>
                  <w:strike w:val="false"/>
                  <w:dstrike w:val="false"/>
                  <w:color w:val="0000FF"/>
                  <w:sz w:val="20"/>
                  <w:u w:val="single"/>
                  <w:effect w:val="none"/>
                </w:rPr>
                <w:t>Notes to Condensed Consolidated Financial Statements (unaudited)</w:t>
              </w:r>
            </w:hyperlink>
          </w:p>
        </w:tc>
        <w:tc>
          <w:tcPr>
            <w:tcW w:w="8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9</w:t>
            </w:r>
          </w:p>
        </w:tc>
      </w:tr>
      <w:tr>
        <w:trPr/>
        <w:tc>
          <w:tcPr>
            <w:tcW w:w="933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pPr>
            <w:r>
              <w:rPr/>
              <w:t> </w:t>
            </w:r>
          </w:p>
        </w:tc>
      </w:tr>
      <w:tr>
        <w:trPr/>
        <w:tc>
          <w:tcPr>
            <w:tcW w:w="9330" w:type="dxa"/>
            <w:tcBorders/>
            <w:vAlign w:val="center"/>
          </w:tcPr>
          <w:p>
            <w:pPr>
              <w:pStyle w:val="TableContents"/>
              <w:bidi w:val="0"/>
              <w:spacing w:before="0" w:after="0"/>
              <w:jc w:val="left"/>
              <w:rPr/>
            </w:pPr>
            <w:hyperlink w:anchor="bm_0ff3c6e5fac6f8ee">
              <w:r>
                <w:rPr>
                  <w:rStyle w:val="InternetLink"/>
                  <w:strike w:val="false"/>
                  <w:dstrike w:val="false"/>
                  <w:color w:val="0000FF"/>
                  <w:sz w:val="20"/>
                  <w:u w:val="single"/>
                  <w:effect w:val="none"/>
                </w:rPr>
                <w:t>Item 2. Management’s Discussion and Analysis of Financial Condition and Results of Operations</w:t>
              </w:r>
            </w:hyperlink>
          </w:p>
        </w:tc>
        <w:tc>
          <w:tcPr>
            <w:tcW w:w="8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30</w:t>
            </w:r>
          </w:p>
        </w:tc>
      </w:tr>
      <w:tr>
        <w:trPr/>
        <w:tc>
          <w:tcPr>
            <w:tcW w:w="933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pPr>
            <w:r>
              <w:rPr/>
              <w:t> </w:t>
            </w:r>
          </w:p>
        </w:tc>
      </w:tr>
      <w:tr>
        <w:trPr/>
        <w:tc>
          <w:tcPr>
            <w:tcW w:w="9330" w:type="dxa"/>
            <w:tcBorders/>
            <w:vAlign w:val="center"/>
          </w:tcPr>
          <w:p>
            <w:pPr>
              <w:pStyle w:val="TableContents"/>
              <w:bidi w:val="0"/>
              <w:spacing w:before="0" w:after="0"/>
              <w:jc w:val="left"/>
              <w:rPr/>
            </w:pPr>
            <w:hyperlink w:anchor="bm_db1481700c6b5e86">
              <w:r>
                <w:rPr>
                  <w:rStyle w:val="InternetLink"/>
                  <w:strike w:val="false"/>
                  <w:dstrike w:val="false"/>
                  <w:color w:val="0000FF"/>
                  <w:sz w:val="20"/>
                  <w:u w:val="single"/>
                  <w:effect w:val="none"/>
                </w:rPr>
                <w:t>Item 3. Quantitative and Qualitative Disclosures About Market Risk</w:t>
              </w:r>
            </w:hyperlink>
          </w:p>
        </w:tc>
        <w:tc>
          <w:tcPr>
            <w:tcW w:w="8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46</w:t>
            </w:r>
          </w:p>
        </w:tc>
      </w:tr>
      <w:tr>
        <w:trPr/>
        <w:tc>
          <w:tcPr>
            <w:tcW w:w="933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pPr>
            <w:r>
              <w:rPr/>
              <w:t> </w:t>
            </w:r>
          </w:p>
        </w:tc>
      </w:tr>
      <w:tr>
        <w:trPr/>
        <w:tc>
          <w:tcPr>
            <w:tcW w:w="9330" w:type="dxa"/>
            <w:tcBorders/>
            <w:vAlign w:val="center"/>
          </w:tcPr>
          <w:p>
            <w:pPr>
              <w:pStyle w:val="TableContents"/>
              <w:bidi w:val="0"/>
              <w:spacing w:before="0" w:after="0"/>
              <w:jc w:val="left"/>
              <w:rPr/>
            </w:pPr>
            <w:hyperlink w:anchor="bm_880ae1b1478b1627">
              <w:r>
                <w:rPr>
                  <w:rStyle w:val="InternetLink"/>
                  <w:strike w:val="false"/>
                  <w:dstrike w:val="false"/>
                  <w:color w:val="0000FF"/>
                  <w:sz w:val="20"/>
                  <w:u w:val="single"/>
                  <w:effect w:val="none"/>
                </w:rPr>
                <w:t>Item 4. Controls and Procedures</w:t>
              </w:r>
            </w:hyperlink>
          </w:p>
        </w:tc>
        <w:tc>
          <w:tcPr>
            <w:tcW w:w="8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46</w:t>
            </w:r>
          </w:p>
        </w:tc>
      </w:tr>
      <w:tr>
        <w:trPr/>
        <w:tc>
          <w:tcPr>
            <w:tcW w:w="933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pPr>
            <w:r>
              <w:rPr/>
              <w:t> </w:t>
            </w:r>
          </w:p>
        </w:tc>
      </w:tr>
      <w:tr>
        <w:trPr/>
        <w:tc>
          <w:tcPr>
            <w:tcW w:w="9330" w:type="dxa"/>
            <w:tcBorders/>
            <w:vAlign w:val="center"/>
          </w:tcPr>
          <w:p>
            <w:pPr>
              <w:pStyle w:val="TableContents"/>
              <w:bidi w:val="0"/>
              <w:spacing w:before="0" w:after="0"/>
              <w:jc w:val="left"/>
              <w:rPr/>
            </w:pPr>
            <w:hyperlink w:anchor="bm_2c6b32f537caba89">
              <w:r>
                <w:rPr>
                  <w:rStyle w:val="InternetLink"/>
                  <w:strike w:val="false"/>
                  <w:dstrike w:val="false"/>
                  <w:color w:val="0000FF"/>
                  <w:sz w:val="20"/>
                  <w:u w:val="single"/>
                  <w:effect w:val="none"/>
                </w:rPr>
                <w:t>PART II. Other Information</w:t>
              </w:r>
            </w:hyperlink>
          </w:p>
        </w:tc>
        <w:tc>
          <w:tcPr>
            <w:tcW w:w="8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47</w:t>
            </w:r>
          </w:p>
        </w:tc>
      </w:tr>
      <w:tr>
        <w:trPr/>
        <w:tc>
          <w:tcPr>
            <w:tcW w:w="9330" w:type="dxa"/>
            <w:tcBorders/>
            <w:vAlign w:val="center"/>
          </w:tcPr>
          <w:p>
            <w:pPr>
              <w:pStyle w:val="TableContents"/>
              <w:bidi w:val="0"/>
              <w:spacing w:before="0" w:after="0"/>
              <w:jc w:val="left"/>
              <w:rPr/>
            </w:pPr>
            <w:hyperlink w:anchor="bm_4fa3cbcf1dfb8705">
              <w:r>
                <w:rPr>
                  <w:rStyle w:val="InternetLink"/>
                  <w:strike w:val="false"/>
                  <w:dstrike w:val="false"/>
                  <w:color w:val="0000FF"/>
                  <w:sz w:val="20"/>
                  <w:u w:val="single"/>
                  <w:effect w:val="none"/>
                </w:rPr>
                <w:t>Item 1. Legal Proceedings</w:t>
              </w:r>
            </w:hyperlink>
          </w:p>
        </w:tc>
        <w:tc>
          <w:tcPr>
            <w:tcW w:w="8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47</w:t>
            </w:r>
          </w:p>
        </w:tc>
      </w:tr>
      <w:tr>
        <w:trPr/>
        <w:tc>
          <w:tcPr>
            <w:tcW w:w="933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pPr>
            <w:r>
              <w:rPr/>
              <w:t> </w:t>
            </w:r>
          </w:p>
        </w:tc>
      </w:tr>
      <w:tr>
        <w:trPr/>
        <w:tc>
          <w:tcPr>
            <w:tcW w:w="9330" w:type="dxa"/>
            <w:tcBorders/>
            <w:vAlign w:val="center"/>
          </w:tcPr>
          <w:p>
            <w:pPr>
              <w:pStyle w:val="TableContents"/>
              <w:bidi w:val="0"/>
              <w:spacing w:before="0" w:after="0"/>
              <w:jc w:val="left"/>
              <w:rPr/>
            </w:pPr>
            <w:hyperlink w:anchor="bm_cd4f179e289480b4">
              <w:r>
                <w:rPr>
                  <w:rStyle w:val="InternetLink"/>
                  <w:strike w:val="false"/>
                  <w:dstrike w:val="false"/>
                  <w:color w:val="0000FF"/>
                  <w:sz w:val="20"/>
                  <w:u w:val="single"/>
                  <w:effect w:val="none"/>
                </w:rPr>
                <w:t>Item 2. Unregistered Sales of Equity Securities and Use of Proceeds</w:t>
              </w:r>
            </w:hyperlink>
          </w:p>
        </w:tc>
        <w:tc>
          <w:tcPr>
            <w:tcW w:w="8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47</w:t>
            </w:r>
          </w:p>
        </w:tc>
      </w:tr>
      <w:tr>
        <w:trPr/>
        <w:tc>
          <w:tcPr>
            <w:tcW w:w="933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pPr>
            <w:r>
              <w:rPr/>
              <w:t> </w:t>
            </w:r>
          </w:p>
        </w:tc>
      </w:tr>
      <w:tr>
        <w:trPr/>
        <w:tc>
          <w:tcPr>
            <w:tcW w:w="9330" w:type="dxa"/>
            <w:tcBorders/>
            <w:vAlign w:val="center"/>
          </w:tcPr>
          <w:p>
            <w:pPr>
              <w:pStyle w:val="TableContents"/>
              <w:bidi w:val="0"/>
              <w:spacing w:before="0" w:after="0"/>
              <w:jc w:val="left"/>
              <w:rPr/>
            </w:pPr>
            <w:hyperlink w:anchor="bm_6eb662781bf16e9d">
              <w:r>
                <w:rPr>
                  <w:rStyle w:val="InternetLink"/>
                  <w:strike w:val="false"/>
                  <w:dstrike w:val="false"/>
                  <w:color w:val="0000FF"/>
                  <w:sz w:val="20"/>
                  <w:u w:val="single"/>
                  <w:effect w:val="none"/>
                </w:rPr>
                <w:t>Item 5. Other Information</w:t>
              </w:r>
            </w:hyperlink>
          </w:p>
        </w:tc>
        <w:tc>
          <w:tcPr>
            <w:tcW w:w="8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47</w:t>
            </w:r>
          </w:p>
        </w:tc>
      </w:tr>
      <w:tr>
        <w:trPr/>
        <w:tc>
          <w:tcPr>
            <w:tcW w:w="933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pPr>
            <w:r>
              <w:rPr/>
              <w:t> </w:t>
            </w:r>
          </w:p>
        </w:tc>
      </w:tr>
      <w:tr>
        <w:trPr/>
        <w:tc>
          <w:tcPr>
            <w:tcW w:w="9330" w:type="dxa"/>
            <w:tcBorders/>
            <w:vAlign w:val="center"/>
          </w:tcPr>
          <w:p>
            <w:pPr>
              <w:pStyle w:val="TableContents"/>
              <w:bidi w:val="0"/>
              <w:spacing w:before="0" w:after="0"/>
              <w:jc w:val="left"/>
              <w:rPr/>
            </w:pPr>
            <w:hyperlink w:anchor="bm_28c67dc09bb72632">
              <w:r>
                <w:rPr>
                  <w:rStyle w:val="InternetLink"/>
                  <w:strike w:val="false"/>
                  <w:dstrike w:val="false"/>
                  <w:color w:val="0000FF"/>
                  <w:sz w:val="20"/>
                  <w:u w:val="single"/>
                  <w:effect w:val="none"/>
                </w:rPr>
                <w:t>Item 6. Exhibits</w:t>
              </w:r>
            </w:hyperlink>
          </w:p>
        </w:tc>
        <w:tc>
          <w:tcPr>
            <w:tcW w:w="8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48</w:t>
            </w:r>
          </w:p>
        </w:tc>
      </w:tr>
      <w:tr>
        <w:trPr/>
        <w:tc>
          <w:tcPr>
            <w:tcW w:w="933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pPr>
            <w:r>
              <w:rPr/>
              <w:t> </w:t>
            </w:r>
          </w:p>
        </w:tc>
      </w:tr>
      <w:tr>
        <w:trPr/>
        <w:tc>
          <w:tcPr>
            <w:tcW w:w="9330" w:type="dxa"/>
            <w:tcBorders/>
            <w:vAlign w:val="center"/>
          </w:tcPr>
          <w:p>
            <w:pPr>
              <w:pStyle w:val="TableContents"/>
              <w:bidi w:val="0"/>
              <w:spacing w:before="0" w:after="0"/>
              <w:jc w:val="left"/>
              <w:rPr/>
            </w:pPr>
            <w:hyperlink w:anchor="bm_b705eb02d92c587e">
              <w:r>
                <w:rPr>
                  <w:rStyle w:val="InternetLink"/>
                  <w:strike w:val="false"/>
                  <w:dstrike w:val="false"/>
                  <w:color w:val="0000FF"/>
                  <w:sz w:val="20"/>
                  <w:u w:val="single"/>
                  <w:effect w:val="none"/>
                </w:rPr>
                <w:t>Signatures</w:t>
              </w:r>
            </w:hyperlink>
          </w:p>
        </w:tc>
        <w:tc>
          <w:tcPr>
            <w:tcW w:w="8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50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r>
        <w:br w:type="page"/>
      </w:r>
    </w:p>
    <w:p>
      <w:pPr>
        <w:pStyle w:val="TextBody"/>
        <w:bidi w:val="0"/>
        <w:spacing w:before="0" w:after="0"/>
        <w:jc w:val="left"/>
        <w:rPr/>
      </w:pPr>
      <w:hyperlink w:anchor="TOC">
        <w:r>
          <w:rPr>
            <w:rStyle w:val="InternetLink"/>
            <w:strike w:val="false"/>
            <w:dstrike w:val="false"/>
            <w:sz w:val="20"/>
            <w:u w:val="single"/>
            <w:effect w:val="none"/>
          </w:rPr>
          <w:t>Table of Contents</w:t>
        </w:r>
      </w:hyperlink>
    </w:p>
    <w:p>
      <w:pPr>
        <w:pStyle w:val="TextBody"/>
        <w:bidi w:val="0"/>
        <w:spacing w:before="0" w:after="0"/>
        <w:jc w:val="center"/>
        <w:rPr/>
      </w:pPr>
      <w:r>
        <w:rPr/>
        <w:t> </w:t>
      </w:r>
    </w:p>
    <w:p>
      <w:pPr>
        <w:pStyle w:val="TextBody"/>
        <w:bidi w:val="0"/>
        <w:spacing w:lineRule="atLeast" w:line="240" w:before="0" w:after="0"/>
        <w:jc w:val="center"/>
        <w:rPr>
          <w:sz w:val="20"/>
        </w:rPr>
      </w:pPr>
      <w:r>
        <w:rPr>
          <w:sz w:val="20"/>
        </w:rPr>
        <w:t>HOVNANIAN ENTERPRISES, INC. AND SUBSIDIARIES</w:t>
      </w:r>
    </w:p>
    <w:p>
      <w:pPr>
        <w:pStyle w:val="TextBody"/>
        <w:bidi w:val="0"/>
        <w:spacing w:lineRule="atLeast" w:line="240" w:before="0" w:after="0"/>
        <w:jc w:val="center"/>
        <w:rPr/>
      </w:pPr>
      <w:bookmarkStart w:id="5" w:name="bm_80cfe8564b614231"/>
      <w:bookmarkEnd w:id="5"/>
      <w:r>
        <w:rPr/>
        <w:t> </w:t>
      </w:r>
      <w:hyperlink w:anchor="TOC">
        <w:r>
          <w:rPr>
            <w:rStyle w:val="InternetLink"/>
            <w:strike w:val="false"/>
            <w:dstrike w:val="false"/>
            <w:color w:val="000000"/>
            <w:sz w:val="20"/>
            <w:u w:val="none"/>
            <w:effect w:val="none"/>
          </w:rPr>
          <w:t>CONDENSED CONSOLIDATED BALANCE SHEETS</w:t>
        </w:r>
      </w:hyperlink>
    </w:p>
    <w:p>
      <w:pPr>
        <w:pStyle w:val="TextBody"/>
        <w:bidi w:val="0"/>
        <w:spacing w:lineRule="atLeast" w:line="240" w:before="0" w:after="0"/>
        <w:jc w:val="center"/>
        <w:rPr>
          <w:sz w:val="20"/>
        </w:rPr>
      </w:pPr>
      <w:r>
        <w:rPr>
          <w:sz w:val="20"/>
        </w:rPr>
        <w:t>(In thousands, except per share data)</w:t>
      </w:r>
    </w:p>
    <w:p>
      <w:pPr>
        <w:pStyle w:val="TextBody"/>
        <w:bidi w:val="0"/>
        <w:spacing w:lineRule="atLeast" w:line="240" w:before="0" w:after="100"/>
        <w:jc w:val="center"/>
        <w:rPr>
          <w:sz w:val="20"/>
        </w:rPr>
      </w:pPr>
      <w:r>
        <w:rPr>
          <w:sz w:val="20"/>
        </w:rPr>
        <w:t xml:space="preserve">(Unaudited) </w:t>
      </w:r>
    </w:p>
    <w:tbl>
      <w:tblPr>
        <w:tblW w:w="10205" w:type="dxa"/>
        <w:jc w:val="left"/>
        <w:tblInd w:w="0" w:type="dxa"/>
        <w:tblLayout w:type="fixed"/>
        <w:tblCellMar>
          <w:top w:w="0" w:type="dxa"/>
          <w:left w:w="0" w:type="dxa"/>
          <w:bottom w:w="28" w:type="dxa"/>
          <w:right w:w="0" w:type="dxa"/>
        </w:tblCellMar>
      </w:tblPr>
      <w:tblGrid>
        <w:gridCol w:w="7894"/>
        <w:gridCol w:w="133"/>
        <w:gridCol w:w="917"/>
        <w:gridCol w:w="60"/>
        <w:gridCol w:w="152"/>
        <w:gridCol w:w="1049"/>
      </w:tblGrid>
      <w:tr>
        <w:trPr/>
        <w:tc>
          <w:tcPr>
            <w:tcW w:w="7894" w:type="dxa"/>
            <w:tcBorders>
              <w:bottom w:val="single" w:sz="8" w:space="0" w:color="000000"/>
            </w:tcBorders>
            <w:vAlign w:val="center"/>
          </w:tcPr>
          <w:p>
            <w:pPr>
              <w:pStyle w:val="TableContents"/>
              <w:bidi w:val="0"/>
              <w:spacing w:before="0" w:after="0"/>
              <w:jc w:val="left"/>
              <w:rPr/>
            </w:pPr>
            <w:r>
              <w:rPr/>
              <w:t> </w:t>
            </w:r>
          </w:p>
        </w:tc>
        <w:tc>
          <w:tcPr>
            <w:tcW w:w="1050" w:type="dxa"/>
            <w:gridSpan w:val="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July 31, 2026</w:t>
            </w:r>
          </w:p>
        </w:tc>
        <w:tc>
          <w:tcPr>
            <w:tcW w:w="60" w:type="dxa"/>
            <w:tcBorders>
              <w:bottom w:val="single" w:sz="8" w:space="0" w:color="000000"/>
            </w:tcBorders>
            <w:vAlign w:val="center"/>
          </w:tcPr>
          <w:p>
            <w:pPr>
              <w:pStyle w:val="TableContents"/>
              <w:bidi w:val="0"/>
              <w:spacing w:before="0" w:after="0"/>
              <w:jc w:val="left"/>
              <w:rPr/>
            </w:pPr>
            <w:r>
              <w:rPr/>
              <w:t> </w:t>
            </w:r>
          </w:p>
        </w:tc>
        <w:tc>
          <w:tcPr>
            <w:tcW w:w="1201" w:type="dxa"/>
            <w:gridSpan w:val="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October 31, 2025</w:t>
            </w:r>
          </w:p>
        </w:tc>
      </w:tr>
      <w:tr>
        <w:trPr/>
        <w:tc>
          <w:tcPr>
            <w:tcW w:w="7894"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33"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917"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52"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049" w:type="dxa"/>
            <w:tcBorders>
              <w:top w:val="single" w:sz="8" w:space="0" w:color="000000"/>
            </w:tcBorders>
            <w:tcMar>
              <w:top w:w="28" w:type="dxa"/>
              <w:bottom w:w="0" w:type="dxa"/>
            </w:tcMar>
            <w:vAlign w:val="center"/>
          </w:tcPr>
          <w:p>
            <w:pPr>
              <w:pStyle w:val="TableContents"/>
              <w:bidi w:val="0"/>
              <w:spacing w:before="0" w:after="0"/>
              <w:jc w:val="left"/>
              <w:rPr/>
            </w:pPr>
            <w:r>
              <w:rPr/>
              <w:t> </w:t>
            </w:r>
          </w:p>
        </w:tc>
      </w:tr>
      <w:tr>
        <w:trPr/>
        <w:tc>
          <w:tcPr>
            <w:tcW w:w="7894" w:type="dxa"/>
            <w:tcBorders/>
            <w:shd w:fill="CCEEFF" w:val="clear"/>
            <w:tcMar>
              <w:bottom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33" w:type="dxa"/>
            <w:tcBorders/>
            <w:shd w:fill="CCEEFF" w:val="clear"/>
            <w:tcMar>
              <w:bottom w:w="0" w:type="dxa"/>
            </w:tcMar>
            <w:vAlign w:val="center"/>
          </w:tcPr>
          <w:p>
            <w:pPr>
              <w:pStyle w:val="TableContents"/>
              <w:bidi w:val="0"/>
              <w:spacing w:before="0" w:after="0"/>
              <w:jc w:val="left"/>
              <w:rPr/>
            </w:pPr>
            <w:r>
              <w:rPr/>
              <w:t> </w:t>
            </w:r>
          </w:p>
        </w:tc>
        <w:tc>
          <w:tcPr>
            <w:tcW w:w="917"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52" w:type="dxa"/>
            <w:tcBorders/>
            <w:shd w:fill="CCEEFF" w:val="clear"/>
            <w:tcMar>
              <w:bottom w:w="0" w:type="dxa"/>
            </w:tcMar>
            <w:vAlign w:val="center"/>
          </w:tcPr>
          <w:p>
            <w:pPr>
              <w:pStyle w:val="TableContents"/>
              <w:bidi w:val="0"/>
              <w:spacing w:before="0" w:after="0"/>
              <w:jc w:val="left"/>
              <w:rPr/>
            </w:pPr>
            <w:r>
              <w:rPr/>
              <w:t> </w:t>
            </w:r>
          </w:p>
        </w:tc>
        <w:tc>
          <w:tcPr>
            <w:tcW w:w="1049" w:type="dxa"/>
            <w:tcBorders/>
            <w:shd w:fill="CCEEFF" w:val="clear"/>
            <w:tcMar>
              <w:bottom w:w="0" w:type="dxa"/>
            </w:tcMar>
            <w:vAlign w:val="center"/>
          </w:tcPr>
          <w:p>
            <w:pPr>
              <w:pStyle w:val="TableContents"/>
              <w:bidi w:val="0"/>
              <w:spacing w:before="0" w:after="0"/>
              <w:jc w:val="left"/>
              <w:rPr/>
            </w:pPr>
            <w:r>
              <w:rPr/>
              <w:t> </w:t>
            </w:r>
          </w:p>
        </w:tc>
      </w:tr>
      <w:tr>
        <w:trPr/>
        <w:tc>
          <w:tcPr>
            <w:tcW w:w="7894"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Homebuilding:</w:t>
            </w:r>
          </w:p>
        </w:tc>
        <w:tc>
          <w:tcPr>
            <w:tcW w:w="133" w:type="dxa"/>
            <w:tcBorders/>
            <w:shd w:fill="FFFFFF" w:val="clear"/>
            <w:tcMar>
              <w:bottom w:w="0" w:type="dxa"/>
            </w:tcMar>
            <w:vAlign w:val="center"/>
          </w:tcPr>
          <w:p>
            <w:pPr>
              <w:pStyle w:val="TableContents"/>
              <w:bidi w:val="0"/>
              <w:spacing w:before="0" w:after="0"/>
              <w:jc w:val="left"/>
              <w:rPr/>
            </w:pPr>
            <w:r>
              <w:rPr/>
              <w:t> </w:t>
            </w:r>
          </w:p>
        </w:tc>
        <w:tc>
          <w:tcPr>
            <w:tcW w:w="917"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52" w:type="dxa"/>
            <w:tcBorders/>
            <w:shd w:fill="FFFFFF" w:val="clear"/>
            <w:tcMar>
              <w:bottom w:w="0" w:type="dxa"/>
            </w:tcMar>
            <w:vAlign w:val="center"/>
          </w:tcPr>
          <w:p>
            <w:pPr>
              <w:pStyle w:val="TableContents"/>
              <w:bidi w:val="0"/>
              <w:spacing w:before="0" w:after="0"/>
              <w:jc w:val="left"/>
              <w:rPr/>
            </w:pPr>
            <w:r>
              <w:rPr/>
              <w:t> </w:t>
            </w:r>
          </w:p>
        </w:tc>
        <w:tc>
          <w:tcPr>
            <w:tcW w:w="1049" w:type="dxa"/>
            <w:tcBorders/>
            <w:shd w:fill="FFFFFF" w:val="clear"/>
            <w:tcMar>
              <w:bottom w:w="0" w:type="dxa"/>
            </w:tcMar>
            <w:vAlign w:val="center"/>
          </w:tcPr>
          <w:p>
            <w:pPr>
              <w:pStyle w:val="TableContents"/>
              <w:bidi w:val="0"/>
              <w:spacing w:before="0" w:after="0"/>
              <w:jc w:val="right"/>
              <w:rPr/>
            </w:pPr>
            <w:r>
              <w:rPr/>
              <w:t> </w:t>
            </w:r>
          </w:p>
        </w:tc>
      </w:tr>
      <w:tr>
        <w:trPr/>
        <w:tc>
          <w:tcPr>
            <w:tcW w:w="7894" w:type="dxa"/>
            <w:tcBorders/>
            <w:shd w:fill="CCEE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Cash and cash equivalents</w:t>
            </w:r>
          </w:p>
        </w:tc>
        <w:tc>
          <w:tcPr>
            <w:tcW w:w="133"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17"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249,090</w:t>
            </w:r>
          </w:p>
        </w:tc>
        <w:tc>
          <w:tcPr>
            <w:tcW w:w="60" w:type="dxa"/>
            <w:tcBorders/>
            <w:shd w:fill="CCEEFF" w:val="clear"/>
            <w:tcMar>
              <w:bottom w:w="0" w:type="dxa"/>
            </w:tcMar>
            <w:vAlign w:val="center"/>
          </w:tcPr>
          <w:p>
            <w:pPr>
              <w:pStyle w:val="TableContents"/>
              <w:bidi w:val="0"/>
              <w:spacing w:before="0" w:after="0"/>
              <w:jc w:val="left"/>
              <w:rPr/>
            </w:pPr>
            <w:r>
              <w:rPr/>
              <w:t> </w:t>
            </w:r>
          </w:p>
        </w:tc>
        <w:tc>
          <w:tcPr>
            <w:tcW w:w="152"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9"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272,772</w:t>
            </w:r>
          </w:p>
        </w:tc>
      </w:tr>
      <w:tr>
        <w:trPr/>
        <w:tc>
          <w:tcPr>
            <w:tcW w:w="7894" w:type="dxa"/>
            <w:tcBorders/>
            <w:shd w:fill="FFFF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Restricted cash</w:t>
            </w:r>
          </w:p>
        </w:tc>
        <w:tc>
          <w:tcPr>
            <w:tcW w:w="133" w:type="dxa"/>
            <w:tcBorders/>
            <w:shd w:fill="FFFFFF" w:val="clear"/>
            <w:tcMar>
              <w:bottom w:w="0" w:type="dxa"/>
            </w:tcMar>
            <w:vAlign w:val="center"/>
          </w:tcPr>
          <w:p>
            <w:pPr>
              <w:pStyle w:val="TableContents"/>
              <w:bidi w:val="0"/>
              <w:spacing w:before="0" w:after="0"/>
              <w:jc w:val="left"/>
              <w:rPr/>
            </w:pPr>
            <w:r>
              <w:rPr/>
              <w:t> </w:t>
            </w:r>
          </w:p>
        </w:tc>
        <w:tc>
          <w:tcPr>
            <w:tcW w:w="917"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9,208</w:t>
            </w:r>
          </w:p>
        </w:tc>
        <w:tc>
          <w:tcPr>
            <w:tcW w:w="60" w:type="dxa"/>
            <w:tcBorders/>
            <w:shd w:fill="FFFFFF" w:val="clear"/>
            <w:tcMar>
              <w:bottom w:w="0" w:type="dxa"/>
            </w:tcMar>
            <w:vAlign w:val="center"/>
          </w:tcPr>
          <w:p>
            <w:pPr>
              <w:pStyle w:val="TableContents"/>
              <w:bidi w:val="0"/>
              <w:spacing w:before="0" w:after="0"/>
              <w:jc w:val="left"/>
              <w:rPr/>
            </w:pPr>
            <w:r>
              <w:rPr/>
              <w:t> </w:t>
            </w:r>
          </w:p>
        </w:tc>
        <w:tc>
          <w:tcPr>
            <w:tcW w:w="152" w:type="dxa"/>
            <w:tcBorders/>
            <w:shd w:fill="FFFFFF" w:val="clear"/>
            <w:tcMar>
              <w:bottom w:w="0" w:type="dxa"/>
            </w:tcMar>
            <w:vAlign w:val="center"/>
          </w:tcPr>
          <w:p>
            <w:pPr>
              <w:pStyle w:val="TableContents"/>
              <w:bidi w:val="0"/>
              <w:spacing w:before="0" w:after="0"/>
              <w:jc w:val="left"/>
              <w:rPr/>
            </w:pPr>
            <w:r>
              <w:rPr/>
              <w:t> </w:t>
            </w:r>
          </w:p>
        </w:tc>
        <w:tc>
          <w:tcPr>
            <w:tcW w:w="1049"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12,608</w:t>
            </w:r>
          </w:p>
        </w:tc>
      </w:tr>
      <w:tr>
        <w:trPr/>
        <w:tc>
          <w:tcPr>
            <w:tcW w:w="7894" w:type="dxa"/>
            <w:tcBorders/>
            <w:shd w:fill="CCEE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Inventories:</w:t>
            </w:r>
          </w:p>
        </w:tc>
        <w:tc>
          <w:tcPr>
            <w:tcW w:w="133" w:type="dxa"/>
            <w:tcBorders/>
            <w:shd w:fill="CCEEFF" w:val="clear"/>
            <w:tcMar>
              <w:bottom w:w="0" w:type="dxa"/>
            </w:tcMar>
            <w:vAlign w:val="center"/>
          </w:tcPr>
          <w:p>
            <w:pPr>
              <w:pStyle w:val="TableContents"/>
              <w:bidi w:val="0"/>
              <w:spacing w:before="0" w:after="0"/>
              <w:jc w:val="left"/>
              <w:rPr/>
            </w:pPr>
            <w:r>
              <w:rPr/>
              <w:t> </w:t>
            </w:r>
          </w:p>
        </w:tc>
        <w:tc>
          <w:tcPr>
            <w:tcW w:w="917" w:type="dxa"/>
            <w:tcBorders/>
            <w:shd w:fill="CCEEFF" w:val="clear"/>
            <w:tcMar>
              <w:bottom w:w="0" w:type="dxa"/>
            </w:tcM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52" w:type="dxa"/>
            <w:tcBorders/>
            <w:shd w:fill="CCEEFF" w:val="clear"/>
            <w:tcMar>
              <w:bottom w:w="0" w:type="dxa"/>
            </w:tcMar>
            <w:vAlign w:val="center"/>
          </w:tcPr>
          <w:p>
            <w:pPr>
              <w:pStyle w:val="TableContents"/>
              <w:bidi w:val="0"/>
              <w:spacing w:before="0" w:after="0"/>
              <w:jc w:val="left"/>
              <w:rPr/>
            </w:pPr>
            <w:r>
              <w:rPr/>
              <w:t> </w:t>
            </w:r>
          </w:p>
        </w:tc>
        <w:tc>
          <w:tcPr>
            <w:tcW w:w="1049" w:type="dxa"/>
            <w:tcBorders/>
            <w:shd w:fill="CCEEFF" w:val="clear"/>
            <w:tcMar>
              <w:bottom w:w="0" w:type="dxa"/>
            </w:tcMar>
            <w:vAlign w:val="center"/>
          </w:tcPr>
          <w:p>
            <w:pPr>
              <w:pStyle w:val="TableContents"/>
              <w:bidi w:val="0"/>
              <w:spacing w:before="0" w:after="0"/>
              <w:jc w:val="right"/>
              <w:rPr/>
            </w:pPr>
            <w:r>
              <w:rPr/>
              <w:t> </w:t>
            </w:r>
          </w:p>
        </w:tc>
      </w:tr>
      <w:tr>
        <w:trPr/>
        <w:tc>
          <w:tcPr>
            <w:tcW w:w="7894" w:type="dxa"/>
            <w:tcBorders/>
            <w:shd w:fill="FFFFFF" w:val="clear"/>
            <w:tcMar>
              <w:bottom w:w="0" w:type="dxa"/>
            </w:tcM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Sold and unsold homes and lots under development</w:t>
            </w:r>
          </w:p>
        </w:tc>
        <w:tc>
          <w:tcPr>
            <w:tcW w:w="133" w:type="dxa"/>
            <w:tcBorders/>
            <w:shd w:fill="FFFFFF" w:val="clear"/>
            <w:tcMar>
              <w:bottom w:w="0" w:type="dxa"/>
            </w:tcMar>
            <w:vAlign w:val="center"/>
          </w:tcPr>
          <w:p>
            <w:pPr>
              <w:pStyle w:val="TableContents"/>
              <w:bidi w:val="0"/>
              <w:spacing w:before="0" w:after="0"/>
              <w:jc w:val="left"/>
              <w:rPr/>
            </w:pPr>
            <w:r>
              <w:rPr/>
              <w:t> </w:t>
            </w:r>
          </w:p>
        </w:tc>
        <w:tc>
          <w:tcPr>
            <w:tcW w:w="917"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1,267,287</w:t>
            </w:r>
          </w:p>
        </w:tc>
        <w:tc>
          <w:tcPr>
            <w:tcW w:w="60" w:type="dxa"/>
            <w:tcBorders/>
            <w:shd w:fill="FFFFFF" w:val="clear"/>
            <w:tcMar>
              <w:bottom w:w="0" w:type="dxa"/>
            </w:tcMar>
            <w:vAlign w:val="center"/>
          </w:tcPr>
          <w:p>
            <w:pPr>
              <w:pStyle w:val="TableContents"/>
              <w:bidi w:val="0"/>
              <w:spacing w:before="0" w:after="0"/>
              <w:jc w:val="left"/>
              <w:rPr/>
            </w:pPr>
            <w:r>
              <w:rPr/>
              <w:t> </w:t>
            </w:r>
          </w:p>
        </w:tc>
        <w:tc>
          <w:tcPr>
            <w:tcW w:w="152" w:type="dxa"/>
            <w:tcBorders/>
            <w:shd w:fill="FFFFFF" w:val="clear"/>
            <w:tcMar>
              <w:bottom w:w="0" w:type="dxa"/>
            </w:tcMar>
            <w:vAlign w:val="center"/>
          </w:tcPr>
          <w:p>
            <w:pPr>
              <w:pStyle w:val="TableContents"/>
              <w:bidi w:val="0"/>
              <w:spacing w:before="0" w:after="0"/>
              <w:jc w:val="left"/>
              <w:rPr/>
            </w:pPr>
            <w:r>
              <w:rPr/>
              <w:t> </w:t>
            </w:r>
          </w:p>
        </w:tc>
        <w:tc>
          <w:tcPr>
            <w:tcW w:w="1049"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1,132,798</w:t>
            </w:r>
          </w:p>
        </w:tc>
      </w:tr>
      <w:tr>
        <w:trPr/>
        <w:tc>
          <w:tcPr>
            <w:tcW w:w="7894" w:type="dxa"/>
            <w:tcBorders/>
            <w:shd w:fill="CCEEFF" w:val="clear"/>
            <w:tcMar>
              <w:bottom w:w="0" w:type="dxa"/>
            </w:tcM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Land and land options held for future development or sale</w:t>
            </w:r>
          </w:p>
        </w:tc>
        <w:tc>
          <w:tcPr>
            <w:tcW w:w="133" w:type="dxa"/>
            <w:tcBorders/>
            <w:shd w:fill="CCEEFF" w:val="clear"/>
            <w:tcMar>
              <w:bottom w:w="0" w:type="dxa"/>
            </w:tcMar>
            <w:vAlign w:val="center"/>
          </w:tcPr>
          <w:p>
            <w:pPr>
              <w:pStyle w:val="TableContents"/>
              <w:bidi w:val="0"/>
              <w:spacing w:before="0" w:after="0"/>
              <w:jc w:val="left"/>
              <w:rPr/>
            </w:pPr>
            <w:r>
              <w:rPr/>
              <w:t> </w:t>
            </w:r>
          </w:p>
        </w:tc>
        <w:tc>
          <w:tcPr>
            <w:tcW w:w="917"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178,913</w:t>
            </w:r>
          </w:p>
        </w:tc>
        <w:tc>
          <w:tcPr>
            <w:tcW w:w="60" w:type="dxa"/>
            <w:tcBorders/>
            <w:shd w:fill="CCEEFF" w:val="clear"/>
            <w:tcMar>
              <w:bottom w:w="0" w:type="dxa"/>
            </w:tcMar>
            <w:vAlign w:val="center"/>
          </w:tcPr>
          <w:p>
            <w:pPr>
              <w:pStyle w:val="TableContents"/>
              <w:bidi w:val="0"/>
              <w:spacing w:before="0" w:after="0"/>
              <w:jc w:val="left"/>
              <w:rPr/>
            </w:pPr>
            <w:r>
              <w:rPr/>
              <w:t> </w:t>
            </w:r>
          </w:p>
        </w:tc>
        <w:tc>
          <w:tcPr>
            <w:tcW w:w="152" w:type="dxa"/>
            <w:tcBorders/>
            <w:shd w:fill="CCEEFF" w:val="clear"/>
            <w:tcMar>
              <w:bottom w:w="0" w:type="dxa"/>
            </w:tcMar>
            <w:vAlign w:val="center"/>
          </w:tcPr>
          <w:p>
            <w:pPr>
              <w:pStyle w:val="TableContents"/>
              <w:bidi w:val="0"/>
              <w:spacing w:before="0" w:after="0"/>
              <w:jc w:val="left"/>
              <w:rPr/>
            </w:pPr>
            <w:r>
              <w:rPr/>
              <w:t> </w:t>
            </w:r>
          </w:p>
        </w:tc>
        <w:tc>
          <w:tcPr>
            <w:tcW w:w="1049"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171,793</w:t>
            </w:r>
          </w:p>
        </w:tc>
      </w:tr>
      <w:tr>
        <w:trPr/>
        <w:tc>
          <w:tcPr>
            <w:tcW w:w="7894" w:type="dxa"/>
            <w:tcBorders>
              <w:bottom w:val="single" w:sz="8" w:space="0" w:color="000000"/>
            </w:tcBorders>
            <w:shd w:fill="FFFF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Consolidated inventory not owned</w:t>
            </w:r>
          </w:p>
        </w:tc>
        <w:tc>
          <w:tcPr>
            <w:tcW w:w="133" w:type="dxa"/>
            <w:tcBorders>
              <w:bottom w:val="single" w:sz="8" w:space="0" w:color="000000"/>
            </w:tcBorders>
            <w:shd w:fill="FFFFFF" w:val="clear"/>
            <w:vAlign w:val="center"/>
          </w:tcPr>
          <w:p>
            <w:pPr>
              <w:pStyle w:val="TableContents"/>
              <w:bidi w:val="0"/>
              <w:spacing w:before="0" w:after="0"/>
              <w:jc w:val="left"/>
              <w:rPr/>
            </w:pPr>
            <w:r>
              <w:rPr/>
              <w:t> </w:t>
            </w:r>
          </w:p>
        </w:tc>
        <w:tc>
          <w:tcPr>
            <w:tcW w:w="917"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348,244</w:t>
            </w:r>
          </w:p>
        </w:tc>
        <w:tc>
          <w:tcPr>
            <w:tcW w:w="60" w:type="dxa"/>
            <w:tcBorders>
              <w:bottom w:val="single" w:sz="8" w:space="0" w:color="000000"/>
            </w:tcBorders>
            <w:shd w:fill="FFFFFF" w:val="clear"/>
            <w:vAlign w:val="center"/>
          </w:tcPr>
          <w:p>
            <w:pPr>
              <w:pStyle w:val="TableContents"/>
              <w:bidi w:val="0"/>
              <w:spacing w:before="0" w:after="0"/>
              <w:jc w:val="left"/>
              <w:rPr/>
            </w:pPr>
            <w:r>
              <w:rPr/>
              <w:t> </w:t>
            </w:r>
          </w:p>
        </w:tc>
        <w:tc>
          <w:tcPr>
            <w:tcW w:w="152" w:type="dxa"/>
            <w:tcBorders>
              <w:bottom w:val="single" w:sz="8" w:space="0" w:color="000000"/>
            </w:tcBorders>
            <w:shd w:fill="FFFFFF" w:val="clear"/>
            <w:vAlign w:val="center"/>
          </w:tcPr>
          <w:p>
            <w:pPr>
              <w:pStyle w:val="TableContents"/>
              <w:bidi w:val="0"/>
              <w:spacing w:before="0" w:after="0"/>
              <w:jc w:val="left"/>
              <w:rPr/>
            </w:pPr>
            <w:r>
              <w:rPr/>
              <w:t> </w:t>
            </w:r>
          </w:p>
        </w:tc>
        <w:tc>
          <w:tcPr>
            <w:tcW w:w="1049"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332,879</w:t>
            </w:r>
          </w:p>
        </w:tc>
      </w:tr>
      <w:tr>
        <w:trPr/>
        <w:tc>
          <w:tcPr>
            <w:tcW w:w="7894" w:type="dxa"/>
            <w:tcBorders>
              <w:top w:val="single" w:sz="8" w:space="0" w:color="000000"/>
            </w:tcBorders>
            <w:shd w:fill="CCEEFF" w:val="clear"/>
            <w:tcMar>
              <w:top w:w="28" w:type="dxa"/>
              <w:bottom w:w="0" w:type="dxa"/>
            </w:tcM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Total inventories</w:t>
            </w:r>
          </w:p>
        </w:tc>
        <w:tc>
          <w:tcPr>
            <w:tcW w:w="133"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917"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1,794,444</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52"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049"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1,637,470</w:t>
            </w:r>
          </w:p>
        </w:tc>
      </w:tr>
      <w:tr>
        <w:trPr/>
        <w:tc>
          <w:tcPr>
            <w:tcW w:w="7894" w:type="dxa"/>
            <w:tcBorders/>
            <w:shd w:fill="FFFF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Investments in and advances to unconsolidated joint ventures</w:t>
            </w:r>
          </w:p>
        </w:tc>
        <w:tc>
          <w:tcPr>
            <w:tcW w:w="133" w:type="dxa"/>
            <w:tcBorders/>
            <w:shd w:fill="FFFFFF" w:val="clear"/>
            <w:tcMar>
              <w:bottom w:w="0" w:type="dxa"/>
            </w:tcMar>
            <w:vAlign w:val="center"/>
          </w:tcPr>
          <w:p>
            <w:pPr>
              <w:pStyle w:val="TableContents"/>
              <w:bidi w:val="0"/>
              <w:spacing w:before="0" w:after="0"/>
              <w:jc w:val="left"/>
              <w:rPr/>
            </w:pPr>
            <w:r>
              <w:rPr/>
              <w:t> </w:t>
            </w:r>
          </w:p>
        </w:tc>
        <w:tc>
          <w:tcPr>
            <w:tcW w:w="917"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155,086</w:t>
            </w:r>
          </w:p>
        </w:tc>
        <w:tc>
          <w:tcPr>
            <w:tcW w:w="60" w:type="dxa"/>
            <w:tcBorders/>
            <w:shd w:fill="FFFFFF" w:val="clear"/>
            <w:tcMar>
              <w:bottom w:w="0" w:type="dxa"/>
            </w:tcMar>
            <w:vAlign w:val="center"/>
          </w:tcPr>
          <w:p>
            <w:pPr>
              <w:pStyle w:val="TableContents"/>
              <w:bidi w:val="0"/>
              <w:spacing w:before="0" w:after="0"/>
              <w:jc w:val="left"/>
              <w:rPr/>
            </w:pPr>
            <w:r>
              <w:rPr/>
              <w:t> </w:t>
            </w:r>
          </w:p>
        </w:tc>
        <w:tc>
          <w:tcPr>
            <w:tcW w:w="152" w:type="dxa"/>
            <w:tcBorders/>
            <w:shd w:fill="FFFFFF" w:val="clear"/>
            <w:tcMar>
              <w:bottom w:w="0" w:type="dxa"/>
            </w:tcMar>
            <w:vAlign w:val="center"/>
          </w:tcPr>
          <w:p>
            <w:pPr>
              <w:pStyle w:val="TableContents"/>
              <w:bidi w:val="0"/>
              <w:spacing w:before="0" w:after="0"/>
              <w:jc w:val="left"/>
              <w:rPr/>
            </w:pPr>
            <w:r>
              <w:rPr/>
              <w:t> </w:t>
            </w:r>
          </w:p>
        </w:tc>
        <w:tc>
          <w:tcPr>
            <w:tcW w:w="1049"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163,469</w:t>
            </w:r>
          </w:p>
        </w:tc>
      </w:tr>
      <w:tr>
        <w:trPr/>
        <w:tc>
          <w:tcPr>
            <w:tcW w:w="7894" w:type="dxa"/>
            <w:tcBorders/>
            <w:shd w:fill="CCEE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Receivables, deposits and notes, net</w:t>
            </w:r>
          </w:p>
        </w:tc>
        <w:tc>
          <w:tcPr>
            <w:tcW w:w="133" w:type="dxa"/>
            <w:tcBorders/>
            <w:shd w:fill="CCEEFF" w:val="clear"/>
            <w:tcMar>
              <w:bottom w:w="0" w:type="dxa"/>
            </w:tcMar>
            <w:vAlign w:val="center"/>
          </w:tcPr>
          <w:p>
            <w:pPr>
              <w:pStyle w:val="TableContents"/>
              <w:bidi w:val="0"/>
              <w:spacing w:before="0" w:after="0"/>
              <w:jc w:val="left"/>
              <w:rPr/>
            </w:pPr>
            <w:r>
              <w:rPr/>
              <w:t> </w:t>
            </w:r>
          </w:p>
        </w:tc>
        <w:tc>
          <w:tcPr>
            <w:tcW w:w="917"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49,603</w:t>
            </w:r>
          </w:p>
        </w:tc>
        <w:tc>
          <w:tcPr>
            <w:tcW w:w="60" w:type="dxa"/>
            <w:tcBorders/>
            <w:shd w:fill="CCEEFF" w:val="clear"/>
            <w:tcMar>
              <w:bottom w:w="0" w:type="dxa"/>
            </w:tcMar>
            <w:vAlign w:val="center"/>
          </w:tcPr>
          <w:p>
            <w:pPr>
              <w:pStyle w:val="TableContents"/>
              <w:bidi w:val="0"/>
              <w:spacing w:before="0" w:after="0"/>
              <w:jc w:val="left"/>
              <w:rPr/>
            </w:pPr>
            <w:r>
              <w:rPr/>
              <w:t> </w:t>
            </w:r>
          </w:p>
        </w:tc>
        <w:tc>
          <w:tcPr>
            <w:tcW w:w="152" w:type="dxa"/>
            <w:tcBorders/>
            <w:shd w:fill="CCEEFF" w:val="clear"/>
            <w:tcMar>
              <w:bottom w:w="0" w:type="dxa"/>
            </w:tcMar>
            <w:vAlign w:val="center"/>
          </w:tcPr>
          <w:p>
            <w:pPr>
              <w:pStyle w:val="TableContents"/>
              <w:bidi w:val="0"/>
              <w:spacing w:before="0" w:after="0"/>
              <w:jc w:val="left"/>
              <w:rPr/>
            </w:pPr>
            <w:r>
              <w:rPr/>
              <w:t> </w:t>
            </w:r>
          </w:p>
        </w:tc>
        <w:tc>
          <w:tcPr>
            <w:tcW w:w="1049"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26,454</w:t>
            </w:r>
          </w:p>
        </w:tc>
      </w:tr>
      <w:tr>
        <w:trPr/>
        <w:tc>
          <w:tcPr>
            <w:tcW w:w="7894" w:type="dxa"/>
            <w:tcBorders/>
            <w:shd w:fill="FFFF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Property and equipment, net</w:t>
            </w:r>
          </w:p>
        </w:tc>
        <w:tc>
          <w:tcPr>
            <w:tcW w:w="133" w:type="dxa"/>
            <w:tcBorders/>
            <w:shd w:fill="FFFFFF" w:val="clear"/>
            <w:tcMar>
              <w:bottom w:w="0" w:type="dxa"/>
            </w:tcMar>
            <w:vAlign w:val="center"/>
          </w:tcPr>
          <w:p>
            <w:pPr>
              <w:pStyle w:val="TableContents"/>
              <w:bidi w:val="0"/>
              <w:spacing w:before="0" w:after="0"/>
              <w:jc w:val="left"/>
              <w:rPr/>
            </w:pPr>
            <w:r>
              <w:rPr/>
              <w:t> </w:t>
            </w:r>
          </w:p>
        </w:tc>
        <w:tc>
          <w:tcPr>
            <w:tcW w:w="917"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56,223</w:t>
            </w:r>
          </w:p>
        </w:tc>
        <w:tc>
          <w:tcPr>
            <w:tcW w:w="60" w:type="dxa"/>
            <w:tcBorders/>
            <w:shd w:fill="FFFFFF" w:val="clear"/>
            <w:tcMar>
              <w:bottom w:w="0" w:type="dxa"/>
            </w:tcMar>
            <w:vAlign w:val="center"/>
          </w:tcPr>
          <w:p>
            <w:pPr>
              <w:pStyle w:val="TableContents"/>
              <w:bidi w:val="0"/>
              <w:spacing w:before="0" w:after="0"/>
              <w:jc w:val="left"/>
              <w:rPr/>
            </w:pPr>
            <w:r>
              <w:rPr/>
              <w:t> </w:t>
            </w:r>
          </w:p>
        </w:tc>
        <w:tc>
          <w:tcPr>
            <w:tcW w:w="152" w:type="dxa"/>
            <w:tcBorders/>
            <w:shd w:fill="FFFFFF" w:val="clear"/>
            <w:tcMar>
              <w:bottom w:w="0" w:type="dxa"/>
            </w:tcMar>
            <w:vAlign w:val="center"/>
          </w:tcPr>
          <w:p>
            <w:pPr>
              <w:pStyle w:val="TableContents"/>
              <w:bidi w:val="0"/>
              <w:spacing w:before="0" w:after="0"/>
              <w:jc w:val="left"/>
              <w:rPr/>
            </w:pPr>
            <w:r>
              <w:rPr/>
              <w:t> </w:t>
            </w:r>
          </w:p>
        </w:tc>
        <w:tc>
          <w:tcPr>
            <w:tcW w:w="1049"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50,539</w:t>
            </w:r>
          </w:p>
        </w:tc>
      </w:tr>
      <w:tr>
        <w:trPr/>
        <w:tc>
          <w:tcPr>
            <w:tcW w:w="7894" w:type="dxa"/>
            <w:tcBorders/>
            <w:shd w:fill="CCEE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Goodwill</w:t>
            </w:r>
          </w:p>
        </w:tc>
        <w:tc>
          <w:tcPr>
            <w:tcW w:w="133" w:type="dxa"/>
            <w:tcBorders/>
            <w:shd w:fill="CCEEFF" w:val="clear"/>
            <w:tcMar>
              <w:bottom w:w="0" w:type="dxa"/>
            </w:tcMar>
            <w:vAlign w:val="center"/>
          </w:tcPr>
          <w:p>
            <w:pPr>
              <w:pStyle w:val="TableContents"/>
              <w:bidi w:val="0"/>
              <w:spacing w:before="0" w:after="0"/>
              <w:jc w:val="left"/>
              <w:rPr/>
            </w:pPr>
            <w:r>
              <w:rPr/>
              <w:t> </w:t>
            </w:r>
          </w:p>
        </w:tc>
        <w:tc>
          <w:tcPr>
            <w:tcW w:w="917"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31,705</w:t>
            </w:r>
          </w:p>
        </w:tc>
        <w:tc>
          <w:tcPr>
            <w:tcW w:w="60" w:type="dxa"/>
            <w:tcBorders/>
            <w:shd w:fill="CCEEFF" w:val="clear"/>
            <w:tcMar>
              <w:bottom w:w="0" w:type="dxa"/>
            </w:tcMar>
            <w:vAlign w:val="center"/>
          </w:tcPr>
          <w:p>
            <w:pPr>
              <w:pStyle w:val="TableContents"/>
              <w:bidi w:val="0"/>
              <w:spacing w:before="0" w:after="0"/>
              <w:jc w:val="left"/>
              <w:rPr/>
            </w:pPr>
            <w:r>
              <w:rPr/>
              <w:t> </w:t>
            </w:r>
          </w:p>
        </w:tc>
        <w:tc>
          <w:tcPr>
            <w:tcW w:w="152" w:type="dxa"/>
            <w:tcBorders/>
            <w:shd w:fill="CCEEFF" w:val="clear"/>
            <w:tcMar>
              <w:bottom w:w="0" w:type="dxa"/>
            </w:tcMar>
            <w:vAlign w:val="center"/>
          </w:tcPr>
          <w:p>
            <w:pPr>
              <w:pStyle w:val="TableContents"/>
              <w:bidi w:val="0"/>
              <w:spacing w:before="0" w:after="0"/>
              <w:jc w:val="left"/>
              <w:rPr/>
            </w:pPr>
            <w:r>
              <w:rPr/>
              <w:t> </w:t>
            </w:r>
          </w:p>
        </w:tc>
        <w:tc>
          <w:tcPr>
            <w:tcW w:w="1049"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7894" w:type="dxa"/>
            <w:tcBorders/>
            <w:shd w:fill="FFFF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Deferred tax assets, net</w:t>
            </w:r>
          </w:p>
        </w:tc>
        <w:tc>
          <w:tcPr>
            <w:tcW w:w="133" w:type="dxa"/>
            <w:tcBorders/>
            <w:shd w:fill="FFFFFF" w:val="clear"/>
            <w:tcMar>
              <w:bottom w:w="0" w:type="dxa"/>
            </w:tcMar>
            <w:vAlign w:val="center"/>
          </w:tcPr>
          <w:p>
            <w:pPr>
              <w:pStyle w:val="TableContents"/>
              <w:bidi w:val="0"/>
              <w:spacing w:before="0" w:after="0"/>
              <w:jc w:val="left"/>
              <w:rPr/>
            </w:pPr>
            <w:r>
              <w:rPr/>
              <w:t> </w:t>
            </w:r>
          </w:p>
        </w:tc>
        <w:tc>
          <w:tcPr>
            <w:tcW w:w="917"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224,442</w:t>
            </w:r>
          </w:p>
        </w:tc>
        <w:tc>
          <w:tcPr>
            <w:tcW w:w="60" w:type="dxa"/>
            <w:tcBorders/>
            <w:shd w:fill="FFFFFF" w:val="clear"/>
            <w:tcMar>
              <w:bottom w:w="0" w:type="dxa"/>
            </w:tcMar>
            <w:vAlign w:val="center"/>
          </w:tcPr>
          <w:p>
            <w:pPr>
              <w:pStyle w:val="TableContents"/>
              <w:bidi w:val="0"/>
              <w:spacing w:before="0" w:after="0"/>
              <w:jc w:val="left"/>
              <w:rPr/>
            </w:pPr>
            <w:r>
              <w:rPr/>
              <w:t> </w:t>
            </w:r>
          </w:p>
        </w:tc>
        <w:tc>
          <w:tcPr>
            <w:tcW w:w="152" w:type="dxa"/>
            <w:tcBorders/>
            <w:shd w:fill="FFFFFF" w:val="clear"/>
            <w:tcMar>
              <w:bottom w:w="0" w:type="dxa"/>
            </w:tcMar>
            <w:vAlign w:val="center"/>
          </w:tcPr>
          <w:p>
            <w:pPr>
              <w:pStyle w:val="TableContents"/>
              <w:bidi w:val="0"/>
              <w:spacing w:before="0" w:after="0"/>
              <w:jc w:val="left"/>
              <w:rPr/>
            </w:pPr>
            <w:r>
              <w:rPr/>
              <w:t> </w:t>
            </w:r>
          </w:p>
        </w:tc>
        <w:tc>
          <w:tcPr>
            <w:tcW w:w="1049"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229,617</w:t>
            </w:r>
          </w:p>
        </w:tc>
      </w:tr>
      <w:tr>
        <w:trPr/>
        <w:tc>
          <w:tcPr>
            <w:tcW w:w="7894" w:type="dxa"/>
            <w:tcBorders>
              <w:bottom w:val="single" w:sz="8" w:space="0" w:color="000000"/>
            </w:tcBorders>
            <w:shd w:fill="CCEEFF" w:val="clear"/>
            <w:vAlign w:val="center"/>
          </w:tcPr>
          <w:p>
            <w:pPr>
              <w:pStyle w:val="TableContents"/>
              <w:bidi w:val="0"/>
              <w:spacing w:before="0" w:after="0"/>
              <w:jc w:val="left"/>
              <w:rPr/>
            </w:pPr>
            <w:r>
              <w:rPr/>
              <w:t xml:space="preserve">   </w:t>
            </w:r>
            <w:r>
              <w:rPr>
                <w:rFonts w:ascii="Times New Roman" w:hAnsi="Times New Roman"/>
                <w:sz w:val="20"/>
              </w:rPr>
              <w:t>Prepaid expenses and other assets</w:t>
            </w:r>
          </w:p>
        </w:tc>
        <w:tc>
          <w:tcPr>
            <w:tcW w:w="133" w:type="dxa"/>
            <w:tcBorders>
              <w:bottom w:val="single" w:sz="8" w:space="0" w:color="000000"/>
            </w:tcBorders>
            <w:shd w:fill="CCEEFF" w:val="clear"/>
            <w:vAlign w:val="center"/>
          </w:tcPr>
          <w:p>
            <w:pPr>
              <w:pStyle w:val="TableContents"/>
              <w:bidi w:val="0"/>
              <w:spacing w:before="0" w:after="0"/>
              <w:jc w:val="left"/>
              <w:rPr/>
            </w:pPr>
            <w:r>
              <w:rPr/>
              <w:t> </w:t>
            </w:r>
          </w:p>
        </w:tc>
        <w:tc>
          <w:tcPr>
            <w:tcW w:w="917"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128,537</w:t>
            </w:r>
          </w:p>
        </w:tc>
        <w:tc>
          <w:tcPr>
            <w:tcW w:w="60" w:type="dxa"/>
            <w:tcBorders>
              <w:bottom w:val="single" w:sz="8" w:space="0" w:color="000000"/>
            </w:tcBorders>
            <w:shd w:fill="CCEEFF" w:val="clear"/>
            <w:vAlign w:val="center"/>
          </w:tcPr>
          <w:p>
            <w:pPr>
              <w:pStyle w:val="TableContents"/>
              <w:bidi w:val="0"/>
              <w:spacing w:before="0" w:after="0"/>
              <w:jc w:val="left"/>
              <w:rPr/>
            </w:pPr>
            <w:r>
              <w:rPr/>
              <w:t> </w:t>
            </w:r>
          </w:p>
        </w:tc>
        <w:tc>
          <w:tcPr>
            <w:tcW w:w="152" w:type="dxa"/>
            <w:tcBorders>
              <w:bottom w:val="single" w:sz="8" w:space="0" w:color="000000"/>
            </w:tcBorders>
            <w:shd w:fill="CCEEFF" w:val="clear"/>
            <w:vAlign w:val="center"/>
          </w:tcPr>
          <w:p>
            <w:pPr>
              <w:pStyle w:val="TableContents"/>
              <w:bidi w:val="0"/>
              <w:spacing w:before="0" w:after="0"/>
              <w:jc w:val="left"/>
              <w:rPr/>
            </w:pPr>
            <w:r>
              <w:rPr/>
              <w:t> </w:t>
            </w:r>
          </w:p>
        </w:tc>
        <w:tc>
          <w:tcPr>
            <w:tcW w:w="1049"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89,773</w:t>
            </w:r>
          </w:p>
        </w:tc>
      </w:tr>
      <w:tr>
        <w:trPr/>
        <w:tc>
          <w:tcPr>
            <w:tcW w:w="7894" w:type="dxa"/>
            <w:tcBorders>
              <w:top w:val="single" w:sz="8" w:space="0" w:color="000000"/>
            </w:tcBorders>
            <w:shd w:fill="FFFFFF" w:val="clear"/>
            <w:tcMar>
              <w:top w:w="28" w:type="dxa"/>
              <w:bottom w:w="0" w:type="dxa"/>
            </w:tcM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Total homebuilding</w:t>
            </w:r>
          </w:p>
        </w:tc>
        <w:tc>
          <w:tcPr>
            <w:tcW w:w="133" w:type="dxa"/>
            <w:tcBorders>
              <w:top w:val="single" w:sz="8" w:space="0" w:color="000000"/>
            </w:tcBorders>
            <w:shd w:fill="FFFFFF" w:val="clear"/>
            <w:tcMar>
              <w:top w:w="28" w:type="dxa"/>
              <w:bottom w:w="0" w:type="dxa"/>
            </w:tcMar>
            <w:vAlign w:val="center"/>
          </w:tcPr>
          <w:p>
            <w:pPr>
              <w:pStyle w:val="TableContents"/>
              <w:bidi w:val="0"/>
              <w:spacing w:before="0" w:after="0"/>
              <w:jc w:val="left"/>
              <w:rPr/>
            </w:pPr>
            <w:r>
              <w:rPr/>
              <w:t> </w:t>
            </w:r>
          </w:p>
        </w:tc>
        <w:tc>
          <w:tcPr>
            <w:tcW w:w="917" w:type="dxa"/>
            <w:tcBorders>
              <w:top w:val="single" w:sz="8" w:space="0" w:color="000000"/>
            </w:tcBorders>
            <w:shd w:fill="FFFF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2,698,338</w:t>
            </w:r>
          </w:p>
        </w:tc>
        <w:tc>
          <w:tcPr>
            <w:tcW w:w="60" w:type="dxa"/>
            <w:tcBorders>
              <w:top w:val="single" w:sz="8" w:space="0" w:color="000000"/>
            </w:tcBorders>
            <w:shd w:fill="FFFFFF" w:val="clear"/>
            <w:tcMar>
              <w:top w:w="28" w:type="dxa"/>
              <w:bottom w:w="0" w:type="dxa"/>
            </w:tcMar>
            <w:vAlign w:val="center"/>
          </w:tcPr>
          <w:p>
            <w:pPr>
              <w:pStyle w:val="TableContents"/>
              <w:bidi w:val="0"/>
              <w:spacing w:before="0" w:after="0"/>
              <w:jc w:val="left"/>
              <w:rPr/>
            </w:pPr>
            <w:r>
              <w:rPr/>
              <w:t> </w:t>
            </w:r>
          </w:p>
        </w:tc>
        <w:tc>
          <w:tcPr>
            <w:tcW w:w="152" w:type="dxa"/>
            <w:tcBorders>
              <w:top w:val="single" w:sz="8" w:space="0" w:color="000000"/>
            </w:tcBorders>
            <w:shd w:fill="FFFFFF" w:val="clear"/>
            <w:tcMar>
              <w:top w:w="28" w:type="dxa"/>
              <w:bottom w:w="0" w:type="dxa"/>
            </w:tcMar>
            <w:vAlign w:val="center"/>
          </w:tcPr>
          <w:p>
            <w:pPr>
              <w:pStyle w:val="TableContents"/>
              <w:bidi w:val="0"/>
              <w:spacing w:before="0" w:after="0"/>
              <w:jc w:val="left"/>
              <w:rPr/>
            </w:pPr>
            <w:r>
              <w:rPr/>
              <w:t> </w:t>
            </w:r>
          </w:p>
        </w:tc>
        <w:tc>
          <w:tcPr>
            <w:tcW w:w="1049" w:type="dxa"/>
            <w:tcBorders>
              <w:top w:val="single" w:sz="8" w:space="0" w:color="000000"/>
            </w:tcBorders>
            <w:shd w:fill="FFFF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2,482,702</w:t>
            </w:r>
          </w:p>
        </w:tc>
      </w:tr>
      <w:tr>
        <w:trPr/>
        <w:tc>
          <w:tcPr>
            <w:tcW w:w="7894" w:type="dxa"/>
            <w:tcBorders/>
            <w:shd w:fill="CCEEFF" w:val="clear"/>
            <w:tcMar>
              <w:bottom w:w="0" w:type="dxa"/>
            </w:tcMar>
            <w:vAlign w:val="center"/>
          </w:tcPr>
          <w:p>
            <w:pPr>
              <w:pStyle w:val="TableContents"/>
              <w:bidi w:val="0"/>
              <w:spacing w:before="0" w:after="0"/>
              <w:jc w:val="left"/>
              <w:rPr/>
            </w:pPr>
            <w:r>
              <w:rPr/>
              <w:t> </w:t>
            </w:r>
          </w:p>
        </w:tc>
        <w:tc>
          <w:tcPr>
            <w:tcW w:w="133" w:type="dxa"/>
            <w:tcBorders/>
            <w:shd w:fill="CCEEFF" w:val="clear"/>
            <w:tcMar>
              <w:bottom w:w="0" w:type="dxa"/>
            </w:tcMar>
            <w:vAlign w:val="center"/>
          </w:tcPr>
          <w:p>
            <w:pPr>
              <w:pStyle w:val="TableContents"/>
              <w:bidi w:val="0"/>
              <w:spacing w:before="0" w:after="0"/>
              <w:jc w:val="left"/>
              <w:rPr/>
            </w:pPr>
            <w:r>
              <w:rPr/>
              <w:t> </w:t>
            </w:r>
          </w:p>
        </w:tc>
        <w:tc>
          <w:tcPr>
            <w:tcW w:w="917" w:type="dxa"/>
            <w:tcBorders/>
            <w:shd w:fill="CCEEFF" w:val="clear"/>
            <w:tcMar>
              <w:bottom w:w="0" w:type="dxa"/>
            </w:tcM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52" w:type="dxa"/>
            <w:tcBorders/>
            <w:shd w:fill="CCEEFF" w:val="clear"/>
            <w:tcMar>
              <w:bottom w:w="0" w:type="dxa"/>
            </w:tcMar>
            <w:vAlign w:val="center"/>
          </w:tcPr>
          <w:p>
            <w:pPr>
              <w:pStyle w:val="TableContents"/>
              <w:bidi w:val="0"/>
              <w:spacing w:before="0" w:after="0"/>
              <w:jc w:val="left"/>
              <w:rPr/>
            </w:pPr>
            <w:r>
              <w:rPr/>
              <w:t> </w:t>
            </w:r>
          </w:p>
        </w:tc>
        <w:tc>
          <w:tcPr>
            <w:tcW w:w="1049" w:type="dxa"/>
            <w:tcBorders/>
            <w:shd w:fill="CCEEFF" w:val="clear"/>
            <w:tcMar>
              <w:bottom w:w="0" w:type="dxa"/>
            </w:tcMar>
            <w:vAlign w:val="center"/>
          </w:tcPr>
          <w:p>
            <w:pPr>
              <w:pStyle w:val="TableContents"/>
              <w:bidi w:val="0"/>
              <w:spacing w:before="0" w:after="0"/>
              <w:jc w:val="right"/>
              <w:rPr/>
            </w:pPr>
            <w:r>
              <w:rPr/>
              <w:t> </w:t>
            </w:r>
          </w:p>
        </w:tc>
      </w:tr>
      <w:tr>
        <w:trPr/>
        <w:tc>
          <w:tcPr>
            <w:tcW w:w="7894"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Financial services</w:t>
            </w:r>
          </w:p>
        </w:tc>
        <w:tc>
          <w:tcPr>
            <w:tcW w:w="133" w:type="dxa"/>
            <w:tcBorders/>
            <w:shd w:fill="FFFFFF" w:val="clear"/>
            <w:tcMar>
              <w:bottom w:w="0" w:type="dxa"/>
            </w:tcMar>
            <w:vAlign w:val="center"/>
          </w:tcPr>
          <w:p>
            <w:pPr>
              <w:pStyle w:val="TableContents"/>
              <w:bidi w:val="0"/>
              <w:spacing w:before="0" w:after="0"/>
              <w:jc w:val="left"/>
              <w:rPr/>
            </w:pPr>
            <w:r>
              <w:rPr/>
              <w:t> </w:t>
            </w:r>
          </w:p>
        </w:tc>
        <w:tc>
          <w:tcPr>
            <w:tcW w:w="917"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162,720</w:t>
            </w:r>
          </w:p>
        </w:tc>
        <w:tc>
          <w:tcPr>
            <w:tcW w:w="60" w:type="dxa"/>
            <w:tcBorders/>
            <w:shd w:fill="FFFFFF" w:val="clear"/>
            <w:tcMar>
              <w:bottom w:w="0" w:type="dxa"/>
            </w:tcMar>
            <w:vAlign w:val="center"/>
          </w:tcPr>
          <w:p>
            <w:pPr>
              <w:pStyle w:val="TableContents"/>
              <w:bidi w:val="0"/>
              <w:spacing w:before="0" w:after="0"/>
              <w:jc w:val="left"/>
              <w:rPr/>
            </w:pPr>
            <w:r>
              <w:rPr/>
              <w:t> </w:t>
            </w:r>
          </w:p>
        </w:tc>
        <w:tc>
          <w:tcPr>
            <w:tcW w:w="152" w:type="dxa"/>
            <w:tcBorders/>
            <w:shd w:fill="FFFFFF" w:val="clear"/>
            <w:tcMar>
              <w:bottom w:w="0" w:type="dxa"/>
            </w:tcMar>
            <w:vAlign w:val="center"/>
          </w:tcPr>
          <w:p>
            <w:pPr>
              <w:pStyle w:val="TableContents"/>
              <w:bidi w:val="0"/>
              <w:spacing w:before="0" w:after="0"/>
              <w:jc w:val="left"/>
              <w:rPr/>
            </w:pPr>
            <w:r>
              <w:rPr/>
              <w:t> </w:t>
            </w:r>
          </w:p>
        </w:tc>
        <w:tc>
          <w:tcPr>
            <w:tcW w:w="1049"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151,211</w:t>
            </w:r>
          </w:p>
        </w:tc>
      </w:tr>
      <w:tr>
        <w:trPr/>
        <w:tc>
          <w:tcPr>
            <w:tcW w:w="7894" w:type="dxa"/>
            <w:tcBorders>
              <w:bottom w:val="single" w:sz="8" w:space="0" w:color="000000"/>
            </w:tcBorders>
            <w:shd w:fill="CCEEFF" w:val="clear"/>
            <w:vAlign w:val="center"/>
          </w:tcPr>
          <w:p>
            <w:pPr>
              <w:pStyle w:val="TableContents"/>
              <w:bidi w:val="0"/>
              <w:spacing w:before="0" w:after="0"/>
              <w:jc w:val="left"/>
              <w:rPr/>
            </w:pPr>
            <w:r>
              <w:rPr/>
              <w:t> </w:t>
            </w:r>
          </w:p>
        </w:tc>
        <w:tc>
          <w:tcPr>
            <w:tcW w:w="133" w:type="dxa"/>
            <w:tcBorders>
              <w:bottom w:val="single" w:sz="8" w:space="0" w:color="000000"/>
            </w:tcBorders>
            <w:shd w:fill="CCEEFF" w:val="clear"/>
            <w:vAlign w:val="center"/>
          </w:tcPr>
          <w:p>
            <w:pPr>
              <w:pStyle w:val="TableContents"/>
              <w:bidi w:val="0"/>
              <w:spacing w:before="0" w:after="0"/>
              <w:jc w:val="left"/>
              <w:rPr/>
            </w:pPr>
            <w:r>
              <w:rPr/>
              <w:t> </w:t>
            </w:r>
          </w:p>
        </w:tc>
        <w:tc>
          <w:tcPr>
            <w:tcW w:w="917" w:type="dxa"/>
            <w:tcBorders>
              <w:bottom w:val="single" w:sz="8" w:space="0" w:color="000000"/>
            </w:tcBorders>
            <w:shd w:fill="CCEEFF" w:val="clear"/>
            <w:vAlign w:val="center"/>
          </w:tcPr>
          <w:p>
            <w:pPr>
              <w:pStyle w:val="TableContents"/>
              <w:bidi w:val="0"/>
              <w:spacing w:before="0" w:after="0"/>
              <w:jc w:val="right"/>
              <w:rPr/>
            </w:pPr>
            <w:r>
              <w:rPr/>
              <w:t> </w:t>
            </w:r>
          </w:p>
        </w:tc>
        <w:tc>
          <w:tcPr>
            <w:tcW w:w="60" w:type="dxa"/>
            <w:tcBorders>
              <w:bottom w:val="single" w:sz="8" w:space="0" w:color="000000"/>
            </w:tcBorders>
            <w:shd w:fill="CCEEFF" w:val="clear"/>
            <w:vAlign w:val="center"/>
          </w:tcPr>
          <w:p>
            <w:pPr>
              <w:pStyle w:val="TableContents"/>
              <w:bidi w:val="0"/>
              <w:spacing w:before="0" w:after="0"/>
              <w:jc w:val="left"/>
              <w:rPr/>
            </w:pPr>
            <w:r>
              <w:rPr/>
              <w:t> </w:t>
            </w:r>
          </w:p>
        </w:tc>
        <w:tc>
          <w:tcPr>
            <w:tcW w:w="152" w:type="dxa"/>
            <w:tcBorders>
              <w:bottom w:val="single" w:sz="8" w:space="0" w:color="000000"/>
            </w:tcBorders>
            <w:shd w:fill="CCEEFF" w:val="clear"/>
            <w:vAlign w:val="center"/>
          </w:tcPr>
          <w:p>
            <w:pPr>
              <w:pStyle w:val="TableContents"/>
              <w:bidi w:val="0"/>
              <w:spacing w:before="0" w:after="0"/>
              <w:jc w:val="left"/>
              <w:rPr/>
            </w:pPr>
            <w:r>
              <w:rPr/>
              <w:t> </w:t>
            </w:r>
          </w:p>
        </w:tc>
        <w:tc>
          <w:tcPr>
            <w:tcW w:w="1049" w:type="dxa"/>
            <w:tcBorders>
              <w:bottom w:val="single" w:sz="8" w:space="0" w:color="000000"/>
            </w:tcBorders>
            <w:shd w:fill="CCEEFF" w:val="clear"/>
            <w:vAlign w:val="center"/>
          </w:tcPr>
          <w:p>
            <w:pPr>
              <w:pStyle w:val="TableContents"/>
              <w:bidi w:val="0"/>
              <w:spacing w:before="0" w:after="0"/>
              <w:jc w:val="right"/>
              <w:rPr/>
            </w:pPr>
            <w:r>
              <w:rPr/>
              <w:t> </w:t>
            </w:r>
          </w:p>
        </w:tc>
      </w:tr>
      <w:tr>
        <w:trPr/>
        <w:tc>
          <w:tcPr>
            <w:tcW w:w="7894"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33"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17"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2,861,058</w:t>
            </w:r>
          </w:p>
        </w:tc>
        <w:tc>
          <w:tcPr>
            <w:tcW w:w="60"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left"/>
              <w:rPr/>
            </w:pPr>
            <w:r>
              <w:rPr/>
              <w:t> </w:t>
            </w:r>
          </w:p>
        </w:tc>
        <w:tc>
          <w:tcPr>
            <w:tcW w:w="152"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9"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2,633,913</w:t>
            </w:r>
          </w:p>
        </w:tc>
      </w:tr>
      <w:tr>
        <w:trPr/>
        <w:tc>
          <w:tcPr>
            <w:tcW w:w="7894" w:type="dxa"/>
            <w:tcBorders>
              <w:top w:val="double" w:sz="6" w:space="0" w:color="000000"/>
            </w:tcBorders>
            <w:shd w:fill="CCEEFF" w:val="clear"/>
            <w:tcMar>
              <w:top w:w="28" w:type="dxa"/>
              <w:bottom w:w="0" w:type="dxa"/>
            </w:tcMar>
            <w:vAlign w:val="center"/>
          </w:tcPr>
          <w:p>
            <w:pPr>
              <w:pStyle w:val="TableContents"/>
              <w:bidi w:val="0"/>
              <w:spacing w:before="0" w:after="0"/>
              <w:jc w:val="left"/>
              <w:rPr/>
            </w:pPr>
            <w:r>
              <w:rPr/>
              <w:t> </w:t>
            </w:r>
          </w:p>
        </w:tc>
        <w:tc>
          <w:tcPr>
            <w:tcW w:w="133" w:type="dxa"/>
            <w:tcBorders>
              <w:top w:val="double" w:sz="6" w:space="0" w:color="000000"/>
            </w:tcBorders>
            <w:shd w:fill="CCEEFF" w:val="clear"/>
            <w:tcMar>
              <w:top w:w="28" w:type="dxa"/>
              <w:bottom w:w="0" w:type="dxa"/>
            </w:tcMar>
            <w:vAlign w:val="center"/>
          </w:tcPr>
          <w:p>
            <w:pPr>
              <w:pStyle w:val="TableContents"/>
              <w:bidi w:val="0"/>
              <w:spacing w:before="0" w:after="0"/>
              <w:jc w:val="left"/>
              <w:rPr/>
            </w:pPr>
            <w:r>
              <w:rPr/>
              <w:t> </w:t>
            </w:r>
          </w:p>
        </w:tc>
        <w:tc>
          <w:tcPr>
            <w:tcW w:w="917" w:type="dxa"/>
            <w:tcBorders>
              <w:top w:val="double" w:sz="6" w:space="0" w:color="000000"/>
            </w:tcBorders>
            <w:shd w:fill="CCEEFF" w:val="clear"/>
            <w:tcMar>
              <w:top w:w="28" w:type="dxa"/>
              <w:bottom w:w="0" w:type="dxa"/>
            </w:tcMar>
            <w:vAlign w:val="center"/>
          </w:tcPr>
          <w:p>
            <w:pPr>
              <w:pStyle w:val="TableContents"/>
              <w:bidi w:val="0"/>
              <w:spacing w:before="0" w:after="0"/>
              <w:jc w:val="right"/>
              <w:rPr/>
            </w:pPr>
            <w:r>
              <w:rPr/>
              <w:t> </w:t>
            </w:r>
          </w:p>
        </w:tc>
        <w:tc>
          <w:tcPr>
            <w:tcW w:w="60" w:type="dxa"/>
            <w:tcBorders>
              <w:top w:val="double" w:sz="6" w:space="0" w:color="000000"/>
            </w:tcBorders>
            <w:shd w:fill="CCEEFF" w:val="clear"/>
            <w:tcMar>
              <w:top w:w="28" w:type="dxa"/>
              <w:bottom w:w="0" w:type="dxa"/>
            </w:tcMar>
            <w:vAlign w:val="center"/>
          </w:tcPr>
          <w:p>
            <w:pPr>
              <w:pStyle w:val="TableContents"/>
              <w:bidi w:val="0"/>
              <w:spacing w:before="0" w:after="0"/>
              <w:jc w:val="left"/>
              <w:rPr/>
            </w:pPr>
            <w:r>
              <w:rPr/>
              <w:t> </w:t>
            </w:r>
          </w:p>
        </w:tc>
        <w:tc>
          <w:tcPr>
            <w:tcW w:w="152" w:type="dxa"/>
            <w:tcBorders>
              <w:top w:val="double" w:sz="6" w:space="0" w:color="000000"/>
            </w:tcBorders>
            <w:shd w:fill="CCEEFF" w:val="clear"/>
            <w:tcMar>
              <w:top w:w="28" w:type="dxa"/>
              <w:bottom w:w="0" w:type="dxa"/>
            </w:tcMar>
            <w:vAlign w:val="center"/>
          </w:tcPr>
          <w:p>
            <w:pPr>
              <w:pStyle w:val="TableContents"/>
              <w:bidi w:val="0"/>
              <w:spacing w:before="0" w:after="0"/>
              <w:jc w:val="left"/>
              <w:rPr/>
            </w:pPr>
            <w:r>
              <w:rPr/>
              <w:t> </w:t>
            </w:r>
          </w:p>
        </w:tc>
        <w:tc>
          <w:tcPr>
            <w:tcW w:w="1049" w:type="dxa"/>
            <w:tcBorders>
              <w:top w:val="double" w:sz="6" w:space="0" w:color="000000"/>
            </w:tcBorders>
            <w:shd w:fill="CCEEFF" w:val="clear"/>
            <w:tcMar>
              <w:top w:w="28" w:type="dxa"/>
              <w:bottom w:w="0" w:type="dxa"/>
            </w:tcMar>
            <w:vAlign w:val="center"/>
          </w:tcPr>
          <w:p>
            <w:pPr>
              <w:pStyle w:val="TableContents"/>
              <w:bidi w:val="0"/>
              <w:spacing w:before="0" w:after="0"/>
              <w:jc w:val="right"/>
              <w:rPr/>
            </w:pPr>
            <w:r>
              <w:rPr/>
              <w:t> </w:t>
            </w:r>
          </w:p>
        </w:tc>
      </w:tr>
      <w:tr>
        <w:trPr/>
        <w:tc>
          <w:tcPr>
            <w:tcW w:w="7894" w:type="dxa"/>
            <w:tcBorders/>
            <w:shd w:fill="FFFFFF" w:val="clear"/>
            <w:tcMar>
              <w:bottom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AND EQUITY</w:t>
            </w:r>
          </w:p>
        </w:tc>
        <w:tc>
          <w:tcPr>
            <w:tcW w:w="133" w:type="dxa"/>
            <w:tcBorders/>
            <w:shd w:fill="FFFFFF" w:val="clear"/>
            <w:tcMar>
              <w:bottom w:w="0" w:type="dxa"/>
            </w:tcMar>
            <w:vAlign w:val="center"/>
          </w:tcPr>
          <w:p>
            <w:pPr>
              <w:pStyle w:val="TableContents"/>
              <w:bidi w:val="0"/>
              <w:spacing w:before="0" w:after="0"/>
              <w:jc w:val="left"/>
              <w:rPr/>
            </w:pPr>
            <w:r>
              <w:rPr/>
              <w:t> </w:t>
            </w:r>
          </w:p>
        </w:tc>
        <w:tc>
          <w:tcPr>
            <w:tcW w:w="917"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52" w:type="dxa"/>
            <w:tcBorders/>
            <w:shd w:fill="FFFFFF" w:val="clear"/>
            <w:tcMar>
              <w:bottom w:w="0" w:type="dxa"/>
            </w:tcMar>
            <w:vAlign w:val="center"/>
          </w:tcPr>
          <w:p>
            <w:pPr>
              <w:pStyle w:val="TableContents"/>
              <w:bidi w:val="0"/>
              <w:spacing w:before="0" w:after="0"/>
              <w:jc w:val="left"/>
              <w:rPr/>
            </w:pPr>
            <w:r>
              <w:rPr/>
              <w:t> </w:t>
            </w:r>
          </w:p>
        </w:tc>
        <w:tc>
          <w:tcPr>
            <w:tcW w:w="1049" w:type="dxa"/>
            <w:tcBorders/>
            <w:shd w:fill="FFFFFF" w:val="clear"/>
            <w:tcMar>
              <w:bottom w:w="0" w:type="dxa"/>
            </w:tcMar>
            <w:vAlign w:val="center"/>
          </w:tcPr>
          <w:p>
            <w:pPr>
              <w:pStyle w:val="TableContents"/>
              <w:bidi w:val="0"/>
              <w:spacing w:before="0" w:after="0"/>
              <w:jc w:val="right"/>
              <w:rPr/>
            </w:pPr>
            <w:r>
              <w:rPr/>
              <w:t> </w:t>
            </w:r>
          </w:p>
        </w:tc>
      </w:tr>
      <w:tr>
        <w:trPr/>
        <w:tc>
          <w:tcPr>
            <w:tcW w:w="7894"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Homebuilding:</w:t>
            </w:r>
          </w:p>
        </w:tc>
        <w:tc>
          <w:tcPr>
            <w:tcW w:w="133" w:type="dxa"/>
            <w:tcBorders/>
            <w:shd w:fill="CCEEFF" w:val="clear"/>
            <w:tcMar>
              <w:bottom w:w="0" w:type="dxa"/>
            </w:tcMar>
            <w:vAlign w:val="center"/>
          </w:tcPr>
          <w:p>
            <w:pPr>
              <w:pStyle w:val="TableContents"/>
              <w:bidi w:val="0"/>
              <w:spacing w:before="0" w:after="0"/>
              <w:jc w:val="left"/>
              <w:rPr/>
            </w:pPr>
            <w:r>
              <w:rPr/>
              <w:t> </w:t>
            </w:r>
          </w:p>
        </w:tc>
        <w:tc>
          <w:tcPr>
            <w:tcW w:w="917" w:type="dxa"/>
            <w:tcBorders/>
            <w:shd w:fill="CCEEFF" w:val="clear"/>
            <w:tcMar>
              <w:bottom w:w="0" w:type="dxa"/>
            </w:tcM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52" w:type="dxa"/>
            <w:tcBorders/>
            <w:shd w:fill="CCEEFF" w:val="clear"/>
            <w:tcMar>
              <w:bottom w:w="0" w:type="dxa"/>
            </w:tcMar>
            <w:vAlign w:val="center"/>
          </w:tcPr>
          <w:p>
            <w:pPr>
              <w:pStyle w:val="TableContents"/>
              <w:bidi w:val="0"/>
              <w:spacing w:before="0" w:after="0"/>
              <w:jc w:val="left"/>
              <w:rPr/>
            </w:pPr>
            <w:r>
              <w:rPr/>
              <w:t> </w:t>
            </w:r>
          </w:p>
        </w:tc>
        <w:tc>
          <w:tcPr>
            <w:tcW w:w="1049" w:type="dxa"/>
            <w:tcBorders/>
            <w:shd w:fill="CCEEFF" w:val="clear"/>
            <w:tcMar>
              <w:bottom w:w="0" w:type="dxa"/>
            </w:tcMar>
            <w:vAlign w:val="center"/>
          </w:tcPr>
          <w:p>
            <w:pPr>
              <w:pStyle w:val="TableContents"/>
              <w:bidi w:val="0"/>
              <w:spacing w:before="0" w:after="0"/>
              <w:jc w:val="right"/>
              <w:rPr/>
            </w:pPr>
            <w:r>
              <w:rPr/>
              <w:t> </w:t>
            </w:r>
          </w:p>
        </w:tc>
      </w:tr>
      <w:tr>
        <w:trPr/>
        <w:tc>
          <w:tcPr>
            <w:tcW w:w="7894" w:type="dxa"/>
            <w:tcBorders/>
            <w:shd w:fill="FFFF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Nonrecourse mortgages secured by inventory, net of debt issuance costs</w:t>
            </w:r>
          </w:p>
        </w:tc>
        <w:tc>
          <w:tcPr>
            <w:tcW w:w="133"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17"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32,411</w:t>
            </w:r>
          </w:p>
        </w:tc>
        <w:tc>
          <w:tcPr>
            <w:tcW w:w="60" w:type="dxa"/>
            <w:tcBorders/>
            <w:shd w:fill="FFFFFF" w:val="clear"/>
            <w:tcMar>
              <w:bottom w:w="0" w:type="dxa"/>
            </w:tcMar>
            <w:vAlign w:val="center"/>
          </w:tcPr>
          <w:p>
            <w:pPr>
              <w:pStyle w:val="TableContents"/>
              <w:bidi w:val="0"/>
              <w:spacing w:before="0" w:after="0"/>
              <w:jc w:val="left"/>
              <w:rPr/>
            </w:pPr>
            <w:r>
              <w:rPr/>
              <w:t> </w:t>
            </w:r>
          </w:p>
        </w:tc>
        <w:tc>
          <w:tcPr>
            <w:tcW w:w="152"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9" w:type="dxa"/>
            <w:tcBorders/>
            <w:shd w:fill="FFFFFF" w:val="clear"/>
            <w:tcMar>
              <w:bottom w:w="0" w:type="dxa"/>
            </w:tcMar>
            <w:vAlign w:val="center"/>
          </w:tcPr>
          <w:p>
            <w:pPr>
              <w:pStyle w:val="TableContents"/>
              <w:bidi w:val="0"/>
              <w:spacing w:before="0" w:after="0"/>
              <w:jc w:val="right"/>
              <w:rPr/>
            </w:pPr>
            <w:r>
              <w:rPr/>
              <w:t xml:space="preserve">  </w:t>
            </w:r>
            <w:r>
              <w:rPr>
                <w:rFonts w:ascii="Times New Roman" w:hAnsi="Times New Roman"/>
                <w:sz w:val="20"/>
              </w:rPr>
              <w:t>29,494</w:t>
            </w:r>
          </w:p>
        </w:tc>
      </w:tr>
      <w:tr>
        <w:trPr/>
        <w:tc>
          <w:tcPr>
            <w:tcW w:w="7894" w:type="dxa"/>
            <w:tcBorders/>
            <w:shd w:fill="CCEE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Accounts payable and other liabilities</w:t>
            </w:r>
          </w:p>
        </w:tc>
        <w:tc>
          <w:tcPr>
            <w:tcW w:w="133" w:type="dxa"/>
            <w:tcBorders/>
            <w:shd w:fill="CCEEFF" w:val="clear"/>
            <w:tcMar>
              <w:bottom w:w="0" w:type="dxa"/>
            </w:tcMar>
            <w:vAlign w:val="center"/>
          </w:tcPr>
          <w:p>
            <w:pPr>
              <w:pStyle w:val="TableContents"/>
              <w:bidi w:val="0"/>
              <w:spacing w:before="0" w:after="0"/>
              <w:jc w:val="left"/>
              <w:rPr/>
            </w:pPr>
            <w:r>
              <w:rPr/>
              <w:t> </w:t>
            </w:r>
          </w:p>
        </w:tc>
        <w:tc>
          <w:tcPr>
            <w:tcW w:w="917"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466,507</w:t>
            </w:r>
          </w:p>
        </w:tc>
        <w:tc>
          <w:tcPr>
            <w:tcW w:w="60" w:type="dxa"/>
            <w:tcBorders/>
            <w:shd w:fill="CCEEFF" w:val="clear"/>
            <w:tcMar>
              <w:bottom w:w="0" w:type="dxa"/>
            </w:tcMar>
            <w:vAlign w:val="center"/>
          </w:tcPr>
          <w:p>
            <w:pPr>
              <w:pStyle w:val="TableContents"/>
              <w:bidi w:val="0"/>
              <w:spacing w:before="0" w:after="0"/>
              <w:jc w:val="left"/>
              <w:rPr/>
            </w:pPr>
            <w:r>
              <w:rPr/>
              <w:t> </w:t>
            </w:r>
          </w:p>
        </w:tc>
        <w:tc>
          <w:tcPr>
            <w:tcW w:w="152" w:type="dxa"/>
            <w:tcBorders/>
            <w:shd w:fill="CCEEFF" w:val="clear"/>
            <w:tcMar>
              <w:bottom w:w="0" w:type="dxa"/>
            </w:tcMar>
            <w:vAlign w:val="center"/>
          </w:tcPr>
          <w:p>
            <w:pPr>
              <w:pStyle w:val="TableContents"/>
              <w:bidi w:val="0"/>
              <w:spacing w:before="0" w:after="0"/>
              <w:jc w:val="left"/>
              <w:rPr/>
            </w:pPr>
            <w:r>
              <w:rPr/>
              <w:t> </w:t>
            </w:r>
          </w:p>
        </w:tc>
        <w:tc>
          <w:tcPr>
            <w:tcW w:w="1049"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438,920</w:t>
            </w:r>
          </w:p>
        </w:tc>
      </w:tr>
      <w:tr>
        <w:trPr/>
        <w:tc>
          <w:tcPr>
            <w:tcW w:w="7894" w:type="dxa"/>
            <w:tcBorders/>
            <w:shd w:fill="FFFF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Customers’ deposits</w:t>
            </w:r>
          </w:p>
        </w:tc>
        <w:tc>
          <w:tcPr>
            <w:tcW w:w="133" w:type="dxa"/>
            <w:tcBorders/>
            <w:shd w:fill="FFFFFF" w:val="clear"/>
            <w:tcMar>
              <w:bottom w:w="0" w:type="dxa"/>
            </w:tcMar>
            <w:vAlign w:val="center"/>
          </w:tcPr>
          <w:p>
            <w:pPr>
              <w:pStyle w:val="TableContents"/>
              <w:bidi w:val="0"/>
              <w:spacing w:before="0" w:after="0"/>
              <w:jc w:val="left"/>
              <w:rPr/>
            </w:pPr>
            <w:r>
              <w:rPr/>
              <w:t> </w:t>
            </w:r>
          </w:p>
        </w:tc>
        <w:tc>
          <w:tcPr>
            <w:tcW w:w="917"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235,355</w:t>
            </w:r>
          </w:p>
        </w:tc>
        <w:tc>
          <w:tcPr>
            <w:tcW w:w="60" w:type="dxa"/>
            <w:tcBorders/>
            <w:shd w:fill="FFFFFF" w:val="clear"/>
            <w:tcMar>
              <w:bottom w:w="0" w:type="dxa"/>
            </w:tcMar>
            <w:vAlign w:val="center"/>
          </w:tcPr>
          <w:p>
            <w:pPr>
              <w:pStyle w:val="TableContents"/>
              <w:bidi w:val="0"/>
              <w:spacing w:before="0" w:after="0"/>
              <w:jc w:val="left"/>
              <w:rPr/>
            </w:pPr>
            <w:r>
              <w:rPr/>
              <w:t> </w:t>
            </w:r>
          </w:p>
        </w:tc>
        <w:tc>
          <w:tcPr>
            <w:tcW w:w="152" w:type="dxa"/>
            <w:tcBorders/>
            <w:shd w:fill="FFFFFF" w:val="clear"/>
            <w:tcMar>
              <w:bottom w:w="0" w:type="dxa"/>
            </w:tcMar>
            <w:vAlign w:val="center"/>
          </w:tcPr>
          <w:p>
            <w:pPr>
              <w:pStyle w:val="TableContents"/>
              <w:bidi w:val="0"/>
              <w:spacing w:before="0" w:after="0"/>
              <w:jc w:val="left"/>
              <w:rPr/>
            </w:pPr>
            <w:r>
              <w:rPr/>
              <w:t> </w:t>
            </w:r>
          </w:p>
        </w:tc>
        <w:tc>
          <w:tcPr>
            <w:tcW w:w="1049" w:type="dxa"/>
            <w:tcBorders/>
            <w:shd w:fill="FFFFFF" w:val="clear"/>
            <w:tcMar>
              <w:bottom w:w="0" w:type="dxa"/>
            </w:tcMar>
            <w:vAlign w:val="center"/>
          </w:tcPr>
          <w:p>
            <w:pPr>
              <w:pStyle w:val="TableContents"/>
              <w:bidi w:val="0"/>
              <w:spacing w:before="0" w:after="0"/>
              <w:jc w:val="right"/>
              <w:rPr/>
            </w:pPr>
            <w:r>
              <w:rPr/>
              <w:t xml:space="preserve">  </w:t>
            </w:r>
            <w:r>
              <w:rPr>
                <w:rFonts w:ascii="Times New Roman" w:hAnsi="Times New Roman"/>
                <w:sz w:val="20"/>
              </w:rPr>
              <w:t>46,376</w:t>
            </w:r>
          </w:p>
        </w:tc>
      </w:tr>
      <w:tr>
        <w:trPr/>
        <w:tc>
          <w:tcPr>
            <w:tcW w:w="7894" w:type="dxa"/>
            <w:tcBorders/>
            <w:shd w:fill="CCEE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Liabilities from inventory not owned, net of debt issuance costs</w:t>
            </w:r>
          </w:p>
        </w:tc>
        <w:tc>
          <w:tcPr>
            <w:tcW w:w="133" w:type="dxa"/>
            <w:tcBorders/>
            <w:shd w:fill="CCEEFF" w:val="clear"/>
            <w:tcMar>
              <w:bottom w:w="0" w:type="dxa"/>
            </w:tcMar>
            <w:vAlign w:val="center"/>
          </w:tcPr>
          <w:p>
            <w:pPr>
              <w:pStyle w:val="TableContents"/>
              <w:bidi w:val="0"/>
              <w:spacing w:before="0" w:after="0"/>
              <w:jc w:val="left"/>
              <w:rPr/>
            </w:pPr>
            <w:r>
              <w:rPr/>
              <w:t> </w:t>
            </w:r>
          </w:p>
        </w:tc>
        <w:tc>
          <w:tcPr>
            <w:tcW w:w="917"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228,622</w:t>
            </w:r>
          </w:p>
        </w:tc>
        <w:tc>
          <w:tcPr>
            <w:tcW w:w="60" w:type="dxa"/>
            <w:tcBorders/>
            <w:shd w:fill="CCEEFF" w:val="clear"/>
            <w:tcMar>
              <w:bottom w:w="0" w:type="dxa"/>
            </w:tcMar>
            <w:vAlign w:val="center"/>
          </w:tcPr>
          <w:p>
            <w:pPr>
              <w:pStyle w:val="TableContents"/>
              <w:bidi w:val="0"/>
              <w:spacing w:before="0" w:after="0"/>
              <w:jc w:val="left"/>
              <w:rPr/>
            </w:pPr>
            <w:r>
              <w:rPr/>
              <w:t> </w:t>
            </w:r>
          </w:p>
        </w:tc>
        <w:tc>
          <w:tcPr>
            <w:tcW w:w="152" w:type="dxa"/>
            <w:tcBorders/>
            <w:shd w:fill="CCEEFF" w:val="clear"/>
            <w:tcMar>
              <w:bottom w:w="0" w:type="dxa"/>
            </w:tcMar>
            <w:vAlign w:val="center"/>
          </w:tcPr>
          <w:p>
            <w:pPr>
              <w:pStyle w:val="TableContents"/>
              <w:bidi w:val="0"/>
              <w:spacing w:before="0" w:after="0"/>
              <w:jc w:val="left"/>
              <w:rPr/>
            </w:pPr>
            <w:r>
              <w:rPr/>
              <w:t> </w:t>
            </w:r>
          </w:p>
        </w:tc>
        <w:tc>
          <w:tcPr>
            <w:tcW w:w="1049"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244,723</w:t>
            </w:r>
          </w:p>
        </w:tc>
      </w:tr>
      <w:tr>
        <w:trPr/>
        <w:tc>
          <w:tcPr>
            <w:tcW w:w="7894" w:type="dxa"/>
            <w:tcBorders/>
            <w:shd w:fill="FFFF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Senior notes and credit facilities (net of discounts, premiums and debt issuance costs)</w:t>
            </w:r>
          </w:p>
        </w:tc>
        <w:tc>
          <w:tcPr>
            <w:tcW w:w="133" w:type="dxa"/>
            <w:tcBorders/>
            <w:shd w:fill="FFFFFF" w:val="clear"/>
            <w:tcMar>
              <w:bottom w:w="0" w:type="dxa"/>
            </w:tcMar>
            <w:vAlign w:val="center"/>
          </w:tcPr>
          <w:p>
            <w:pPr>
              <w:pStyle w:val="TableContents"/>
              <w:bidi w:val="0"/>
              <w:spacing w:before="0" w:after="0"/>
              <w:jc w:val="left"/>
              <w:rPr/>
            </w:pPr>
            <w:r>
              <w:rPr/>
              <w:t> </w:t>
            </w:r>
          </w:p>
        </w:tc>
        <w:tc>
          <w:tcPr>
            <w:tcW w:w="917"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902,492</w:t>
            </w:r>
          </w:p>
        </w:tc>
        <w:tc>
          <w:tcPr>
            <w:tcW w:w="60" w:type="dxa"/>
            <w:tcBorders/>
            <w:shd w:fill="FFFFFF" w:val="clear"/>
            <w:tcMar>
              <w:bottom w:w="0" w:type="dxa"/>
            </w:tcMar>
            <w:vAlign w:val="center"/>
          </w:tcPr>
          <w:p>
            <w:pPr>
              <w:pStyle w:val="TableContents"/>
              <w:bidi w:val="0"/>
              <w:spacing w:before="0" w:after="0"/>
              <w:jc w:val="left"/>
              <w:rPr/>
            </w:pPr>
            <w:r>
              <w:rPr/>
              <w:t> </w:t>
            </w:r>
          </w:p>
        </w:tc>
        <w:tc>
          <w:tcPr>
            <w:tcW w:w="152" w:type="dxa"/>
            <w:tcBorders/>
            <w:shd w:fill="FFFFFF" w:val="clear"/>
            <w:tcMar>
              <w:bottom w:w="0" w:type="dxa"/>
            </w:tcMar>
            <w:vAlign w:val="center"/>
          </w:tcPr>
          <w:p>
            <w:pPr>
              <w:pStyle w:val="TableContents"/>
              <w:bidi w:val="0"/>
              <w:spacing w:before="0" w:after="0"/>
              <w:jc w:val="left"/>
              <w:rPr/>
            </w:pPr>
            <w:r>
              <w:rPr/>
              <w:t> </w:t>
            </w:r>
          </w:p>
        </w:tc>
        <w:tc>
          <w:tcPr>
            <w:tcW w:w="1049"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900,718</w:t>
            </w:r>
          </w:p>
        </w:tc>
      </w:tr>
      <w:tr>
        <w:trPr/>
        <w:tc>
          <w:tcPr>
            <w:tcW w:w="7894" w:type="dxa"/>
            <w:tcBorders>
              <w:bottom w:val="single" w:sz="8" w:space="0" w:color="000000"/>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Accrued interest</w:t>
            </w:r>
          </w:p>
        </w:tc>
        <w:tc>
          <w:tcPr>
            <w:tcW w:w="133" w:type="dxa"/>
            <w:tcBorders>
              <w:bottom w:val="single" w:sz="8" w:space="0" w:color="000000"/>
            </w:tcBorders>
            <w:shd w:fill="CCEEFF" w:val="clear"/>
            <w:vAlign w:val="center"/>
          </w:tcPr>
          <w:p>
            <w:pPr>
              <w:pStyle w:val="TableContents"/>
              <w:bidi w:val="0"/>
              <w:spacing w:before="0" w:after="0"/>
              <w:jc w:val="left"/>
              <w:rPr/>
            </w:pPr>
            <w:r>
              <w:rPr/>
              <w:t> </w:t>
            </w:r>
          </w:p>
        </w:tc>
        <w:tc>
          <w:tcPr>
            <w:tcW w:w="917"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33,017</w:t>
            </w:r>
          </w:p>
        </w:tc>
        <w:tc>
          <w:tcPr>
            <w:tcW w:w="60" w:type="dxa"/>
            <w:tcBorders>
              <w:bottom w:val="single" w:sz="8" w:space="0" w:color="000000"/>
            </w:tcBorders>
            <w:shd w:fill="CCEEFF" w:val="clear"/>
            <w:vAlign w:val="center"/>
          </w:tcPr>
          <w:p>
            <w:pPr>
              <w:pStyle w:val="TableContents"/>
              <w:bidi w:val="0"/>
              <w:spacing w:before="0" w:after="0"/>
              <w:jc w:val="left"/>
              <w:rPr/>
            </w:pPr>
            <w:r>
              <w:rPr/>
              <w:t> </w:t>
            </w:r>
          </w:p>
        </w:tc>
        <w:tc>
          <w:tcPr>
            <w:tcW w:w="152" w:type="dxa"/>
            <w:tcBorders>
              <w:bottom w:val="single" w:sz="8" w:space="0" w:color="000000"/>
            </w:tcBorders>
            <w:shd w:fill="CCEEFF" w:val="clear"/>
            <w:vAlign w:val="center"/>
          </w:tcPr>
          <w:p>
            <w:pPr>
              <w:pStyle w:val="TableContents"/>
              <w:bidi w:val="0"/>
              <w:spacing w:before="0" w:after="0"/>
              <w:jc w:val="left"/>
              <w:rPr/>
            </w:pPr>
            <w:r>
              <w:rPr/>
              <w:t> </w:t>
            </w:r>
          </w:p>
        </w:tc>
        <w:tc>
          <w:tcPr>
            <w:tcW w:w="1049" w:type="dxa"/>
            <w:tcBorders>
              <w:bottom w:val="single" w:sz="8" w:space="0" w:color="000000"/>
            </w:tcBorders>
            <w:shd w:fill="CCEEFF" w:val="clear"/>
            <w:vAlign w:val="center"/>
          </w:tcPr>
          <w:p>
            <w:pPr>
              <w:pStyle w:val="TableContents"/>
              <w:bidi w:val="0"/>
              <w:spacing w:before="0" w:after="0"/>
              <w:jc w:val="right"/>
              <w:rPr/>
            </w:pPr>
            <w:r>
              <w:rPr/>
              <w:t xml:space="preserve">  </w:t>
            </w:r>
            <w:r>
              <w:rPr>
                <w:rFonts w:ascii="Times New Roman" w:hAnsi="Times New Roman"/>
                <w:sz w:val="20"/>
              </w:rPr>
              <w:t>11,874</w:t>
            </w:r>
          </w:p>
        </w:tc>
      </w:tr>
      <w:tr>
        <w:trPr/>
        <w:tc>
          <w:tcPr>
            <w:tcW w:w="7894" w:type="dxa"/>
            <w:tcBorders>
              <w:top w:val="single" w:sz="8" w:space="0" w:color="000000"/>
            </w:tcBorders>
            <w:shd w:fill="FFFFFF" w:val="clear"/>
            <w:tcMar>
              <w:top w:w="28" w:type="dxa"/>
              <w:bottom w:w="0" w:type="dxa"/>
            </w:tcM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Total homebuilding</w:t>
            </w:r>
          </w:p>
        </w:tc>
        <w:tc>
          <w:tcPr>
            <w:tcW w:w="133" w:type="dxa"/>
            <w:tcBorders>
              <w:top w:val="single" w:sz="8" w:space="0" w:color="000000"/>
            </w:tcBorders>
            <w:shd w:fill="FFFFFF" w:val="clear"/>
            <w:tcMar>
              <w:top w:w="28" w:type="dxa"/>
              <w:bottom w:w="0" w:type="dxa"/>
            </w:tcMar>
            <w:vAlign w:val="center"/>
          </w:tcPr>
          <w:p>
            <w:pPr>
              <w:pStyle w:val="TableContents"/>
              <w:bidi w:val="0"/>
              <w:spacing w:before="0" w:after="0"/>
              <w:jc w:val="left"/>
              <w:rPr/>
            </w:pPr>
            <w:r>
              <w:rPr/>
              <w:t> </w:t>
            </w:r>
          </w:p>
        </w:tc>
        <w:tc>
          <w:tcPr>
            <w:tcW w:w="917" w:type="dxa"/>
            <w:tcBorders>
              <w:top w:val="single" w:sz="8" w:space="0" w:color="000000"/>
            </w:tcBorders>
            <w:shd w:fill="FFFF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1,898,404</w:t>
            </w:r>
          </w:p>
        </w:tc>
        <w:tc>
          <w:tcPr>
            <w:tcW w:w="60" w:type="dxa"/>
            <w:tcBorders>
              <w:top w:val="single" w:sz="8" w:space="0" w:color="000000"/>
            </w:tcBorders>
            <w:shd w:fill="FFFFFF" w:val="clear"/>
            <w:tcMar>
              <w:top w:w="28" w:type="dxa"/>
              <w:bottom w:w="0" w:type="dxa"/>
            </w:tcMar>
            <w:vAlign w:val="center"/>
          </w:tcPr>
          <w:p>
            <w:pPr>
              <w:pStyle w:val="TableContents"/>
              <w:bidi w:val="0"/>
              <w:spacing w:before="0" w:after="0"/>
              <w:jc w:val="left"/>
              <w:rPr/>
            </w:pPr>
            <w:r>
              <w:rPr/>
              <w:t> </w:t>
            </w:r>
          </w:p>
        </w:tc>
        <w:tc>
          <w:tcPr>
            <w:tcW w:w="152" w:type="dxa"/>
            <w:tcBorders>
              <w:top w:val="single" w:sz="8" w:space="0" w:color="000000"/>
            </w:tcBorders>
            <w:shd w:fill="FFFFFF" w:val="clear"/>
            <w:tcMar>
              <w:top w:w="28" w:type="dxa"/>
              <w:bottom w:w="0" w:type="dxa"/>
            </w:tcMar>
            <w:vAlign w:val="center"/>
          </w:tcPr>
          <w:p>
            <w:pPr>
              <w:pStyle w:val="TableContents"/>
              <w:bidi w:val="0"/>
              <w:spacing w:before="0" w:after="0"/>
              <w:jc w:val="left"/>
              <w:rPr/>
            </w:pPr>
            <w:r>
              <w:rPr/>
              <w:t> </w:t>
            </w:r>
          </w:p>
        </w:tc>
        <w:tc>
          <w:tcPr>
            <w:tcW w:w="1049" w:type="dxa"/>
            <w:tcBorders>
              <w:top w:val="single" w:sz="8" w:space="0" w:color="000000"/>
            </w:tcBorders>
            <w:shd w:fill="FFFF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1,672,105</w:t>
            </w:r>
          </w:p>
        </w:tc>
      </w:tr>
      <w:tr>
        <w:trPr/>
        <w:tc>
          <w:tcPr>
            <w:tcW w:w="7894" w:type="dxa"/>
            <w:tcBorders/>
            <w:shd w:fill="CCEEFF" w:val="clear"/>
            <w:tcMar>
              <w:bottom w:w="0" w:type="dxa"/>
            </w:tcMar>
            <w:vAlign w:val="center"/>
          </w:tcPr>
          <w:p>
            <w:pPr>
              <w:pStyle w:val="TableContents"/>
              <w:bidi w:val="0"/>
              <w:spacing w:before="0" w:after="0"/>
              <w:jc w:val="left"/>
              <w:rPr/>
            </w:pPr>
            <w:r>
              <w:rPr/>
              <w:t> </w:t>
            </w:r>
          </w:p>
        </w:tc>
        <w:tc>
          <w:tcPr>
            <w:tcW w:w="133" w:type="dxa"/>
            <w:tcBorders/>
            <w:shd w:fill="CCEEFF" w:val="clear"/>
            <w:tcMar>
              <w:bottom w:w="0" w:type="dxa"/>
            </w:tcMar>
            <w:vAlign w:val="center"/>
          </w:tcPr>
          <w:p>
            <w:pPr>
              <w:pStyle w:val="TableContents"/>
              <w:bidi w:val="0"/>
              <w:spacing w:before="0" w:after="0"/>
              <w:jc w:val="left"/>
              <w:rPr/>
            </w:pPr>
            <w:r>
              <w:rPr/>
              <w:t> </w:t>
            </w:r>
          </w:p>
        </w:tc>
        <w:tc>
          <w:tcPr>
            <w:tcW w:w="917" w:type="dxa"/>
            <w:tcBorders/>
            <w:shd w:fill="CCEEFF" w:val="clear"/>
            <w:tcMar>
              <w:bottom w:w="0" w:type="dxa"/>
            </w:tcM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52" w:type="dxa"/>
            <w:tcBorders/>
            <w:shd w:fill="CCEEFF" w:val="clear"/>
            <w:tcMar>
              <w:bottom w:w="0" w:type="dxa"/>
            </w:tcMar>
            <w:vAlign w:val="center"/>
          </w:tcPr>
          <w:p>
            <w:pPr>
              <w:pStyle w:val="TableContents"/>
              <w:bidi w:val="0"/>
              <w:spacing w:before="0" w:after="0"/>
              <w:jc w:val="left"/>
              <w:rPr/>
            </w:pPr>
            <w:r>
              <w:rPr/>
              <w:t> </w:t>
            </w:r>
          </w:p>
        </w:tc>
        <w:tc>
          <w:tcPr>
            <w:tcW w:w="1049" w:type="dxa"/>
            <w:tcBorders/>
            <w:shd w:fill="CCEEFF" w:val="clear"/>
            <w:tcMar>
              <w:bottom w:w="0" w:type="dxa"/>
            </w:tcMar>
            <w:vAlign w:val="center"/>
          </w:tcPr>
          <w:p>
            <w:pPr>
              <w:pStyle w:val="TableContents"/>
              <w:bidi w:val="0"/>
              <w:spacing w:before="0" w:after="0"/>
              <w:jc w:val="right"/>
              <w:rPr/>
            </w:pPr>
            <w:r>
              <w:rPr/>
              <w:t> </w:t>
            </w:r>
          </w:p>
        </w:tc>
      </w:tr>
      <w:tr>
        <w:trPr/>
        <w:tc>
          <w:tcPr>
            <w:tcW w:w="7894"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Financial services</w:t>
            </w:r>
          </w:p>
        </w:tc>
        <w:tc>
          <w:tcPr>
            <w:tcW w:w="133" w:type="dxa"/>
            <w:tcBorders/>
            <w:shd w:fill="FFFFFF" w:val="clear"/>
            <w:tcMar>
              <w:bottom w:w="0" w:type="dxa"/>
            </w:tcMar>
            <w:vAlign w:val="center"/>
          </w:tcPr>
          <w:p>
            <w:pPr>
              <w:pStyle w:val="TableContents"/>
              <w:bidi w:val="0"/>
              <w:spacing w:before="0" w:after="0"/>
              <w:jc w:val="left"/>
              <w:rPr/>
            </w:pPr>
            <w:r>
              <w:rPr/>
              <w:t> </w:t>
            </w:r>
          </w:p>
        </w:tc>
        <w:tc>
          <w:tcPr>
            <w:tcW w:w="917"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141,698</w:t>
            </w:r>
          </w:p>
        </w:tc>
        <w:tc>
          <w:tcPr>
            <w:tcW w:w="60" w:type="dxa"/>
            <w:tcBorders/>
            <w:shd w:fill="FFFFFF" w:val="clear"/>
            <w:tcMar>
              <w:bottom w:w="0" w:type="dxa"/>
            </w:tcMar>
            <w:vAlign w:val="center"/>
          </w:tcPr>
          <w:p>
            <w:pPr>
              <w:pStyle w:val="TableContents"/>
              <w:bidi w:val="0"/>
              <w:spacing w:before="0" w:after="0"/>
              <w:jc w:val="left"/>
              <w:rPr/>
            </w:pPr>
            <w:r>
              <w:rPr/>
              <w:t> </w:t>
            </w:r>
          </w:p>
        </w:tc>
        <w:tc>
          <w:tcPr>
            <w:tcW w:w="152" w:type="dxa"/>
            <w:tcBorders/>
            <w:shd w:fill="FFFFFF" w:val="clear"/>
            <w:tcMar>
              <w:bottom w:w="0" w:type="dxa"/>
            </w:tcMar>
            <w:vAlign w:val="center"/>
          </w:tcPr>
          <w:p>
            <w:pPr>
              <w:pStyle w:val="TableContents"/>
              <w:bidi w:val="0"/>
              <w:spacing w:before="0" w:after="0"/>
              <w:jc w:val="left"/>
              <w:rPr/>
            </w:pPr>
            <w:r>
              <w:rPr/>
              <w:t> </w:t>
            </w:r>
          </w:p>
        </w:tc>
        <w:tc>
          <w:tcPr>
            <w:tcW w:w="1049"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130,873</w:t>
            </w:r>
          </w:p>
        </w:tc>
      </w:tr>
      <w:tr>
        <w:trPr/>
        <w:tc>
          <w:tcPr>
            <w:tcW w:w="7894" w:type="dxa"/>
            <w:tcBorders/>
            <w:shd w:fill="CCEEFF" w:val="clear"/>
            <w:tcMar>
              <w:bottom w:w="0" w:type="dxa"/>
            </w:tcMar>
            <w:vAlign w:val="center"/>
          </w:tcPr>
          <w:p>
            <w:pPr>
              <w:pStyle w:val="TableContents"/>
              <w:bidi w:val="0"/>
              <w:spacing w:before="0" w:after="0"/>
              <w:jc w:val="left"/>
              <w:rPr/>
            </w:pPr>
            <w:r>
              <w:rPr/>
              <w:t> </w:t>
            </w:r>
          </w:p>
        </w:tc>
        <w:tc>
          <w:tcPr>
            <w:tcW w:w="133" w:type="dxa"/>
            <w:tcBorders/>
            <w:shd w:fill="CCEEFF" w:val="clear"/>
            <w:tcMar>
              <w:bottom w:w="0" w:type="dxa"/>
            </w:tcMar>
            <w:vAlign w:val="center"/>
          </w:tcPr>
          <w:p>
            <w:pPr>
              <w:pStyle w:val="TableContents"/>
              <w:bidi w:val="0"/>
              <w:spacing w:before="0" w:after="0"/>
              <w:jc w:val="left"/>
              <w:rPr/>
            </w:pPr>
            <w:r>
              <w:rPr/>
              <w:t> </w:t>
            </w:r>
          </w:p>
        </w:tc>
        <w:tc>
          <w:tcPr>
            <w:tcW w:w="917" w:type="dxa"/>
            <w:tcBorders/>
            <w:shd w:fill="CCEEFF" w:val="clear"/>
            <w:tcMar>
              <w:bottom w:w="0" w:type="dxa"/>
            </w:tcM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52" w:type="dxa"/>
            <w:tcBorders/>
            <w:shd w:fill="CCEEFF" w:val="clear"/>
            <w:tcMar>
              <w:bottom w:w="0" w:type="dxa"/>
            </w:tcMar>
            <w:vAlign w:val="center"/>
          </w:tcPr>
          <w:p>
            <w:pPr>
              <w:pStyle w:val="TableContents"/>
              <w:bidi w:val="0"/>
              <w:spacing w:before="0" w:after="0"/>
              <w:jc w:val="left"/>
              <w:rPr/>
            </w:pPr>
            <w:r>
              <w:rPr/>
              <w:t> </w:t>
            </w:r>
          </w:p>
        </w:tc>
        <w:tc>
          <w:tcPr>
            <w:tcW w:w="1049" w:type="dxa"/>
            <w:tcBorders/>
            <w:shd w:fill="CCEEFF" w:val="clear"/>
            <w:tcMar>
              <w:bottom w:w="0" w:type="dxa"/>
            </w:tcMar>
            <w:vAlign w:val="center"/>
          </w:tcPr>
          <w:p>
            <w:pPr>
              <w:pStyle w:val="TableContents"/>
              <w:bidi w:val="0"/>
              <w:spacing w:before="0" w:after="0"/>
              <w:jc w:val="right"/>
              <w:rPr/>
            </w:pPr>
            <w:r>
              <w:rPr/>
              <w:t> </w:t>
            </w:r>
          </w:p>
        </w:tc>
      </w:tr>
      <w:tr>
        <w:trPr/>
        <w:tc>
          <w:tcPr>
            <w:tcW w:w="7894"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33"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left"/>
              <w:rPr/>
            </w:pPr>
            <w:r>
              <w:rPr/>
              <w:t> </w:t>
            </w:r>
          </w:p>
        </w:tc>
        <w:tc>
          <w:tcPr>
            <w:tcW w:w="917"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2,040,102</w:t>
            </w:r>
          </w:p>
        </w:tc>
        <w:tc>
          <w:tcPr>
            <w:tcW w:w="60"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left"/>
              <w:rPr/>
            </w:pPr>
            <w:r>
              <w:rPr/>
              <w:t> </w:t>
            </w:r>
          </w:p>
        </w:tc>
        <w:tc>
          <w:tcPr>
            <w:tcW w:w="152"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left"/>
              <w:rPr/>
            </w:pPr>
            <w:r>
              <w:rPr/>
              <w:t> </w:t>
            </w:r>
          </w:p>
        </w:tc>
        <w:tc>
          <w:tcPr>
            <w:tcW w:w="1049"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1,802,978</w:t>
            </w:r>
          </w:p>
        </w:tc>
      </w:tr>
      <w:tr>
        <w:trPr/>
        <w:tc>
          <w:tcPr>
            <w:tcW w:w="7894" w:type="dxa"/>
            <w:tcBorders>
              <w:top w:val="double" w:sz="6" w:space="0" w:color="000000"/>
            </w:tcBorders>
            <w:shd w:fill="CCEEFF" w:val="clear"/>
            <w:tcMar>
              <w:top w:w="28" w:type="dxa"/>
              <w:bottom w:w="0" w:type="dxa"/>
            </w:tcMar>
            <w:vAlign w:val="center"/>
          </w:tcPr>
          <w:p>
            <w:pPr>
              <w:pStyle w:val="TableContents"/>
              <w:bidi w:val="0"/>
              <w:spacing w:before="0" w:after="0"/>
              <w:jc w:val="left"/>
              <w:rPr/>
            </w:pPr>
            <w:r>
              <w:rPr/>
              <w:t> </w:t>
            </w:r>
          </w:p>
        </w:tc>
        <w:tc>
          <w:tcPr>
            <w:tcW w:w="133" w:type="dxa"/>
            <w:tcBorders>
              <w:top w:val="double" w:sz="6" w:space="0" w:color="000000"/>
            </w:tcBorders>
            <w:shd w:fill="CCEEFF" w:val="clear"/>
            <w:tcMar>
              <w:top w:w="28" w:type="dxa"/>
              <w:bottom w:w="0" w:type="dxa"/>
            </w:tcMar>
            <w:vAlign w:val="center"/>
          </w:tcPr>
          <w:p>
            <w:pPr>
              <w:pStyle w:val="TableContents"/>
              <w:bidi w:val="0"/>
              <w:spacing w:before="0" w:after="0"/>
              <w:jc w:val="left"/>
              <w:rPr/>
            </w:pPr>
            <w:r>
              <w:rPr/>
              <w:t> </w:t>
            </w:r>
          </w:p>
        </w:tc>
        <w:tc>
          <w:tcPr>
            <w:tcW w:w="917" w:type="dxa"/>
            <w:tcBorders>
              <w:top w:val="double" w:sz="6" w:space="0" w:color="000000"/>
            </w:tcBorders>
            <w:shd w:fill="CCEEFF" w:val="clear"/>
            <w:tcMar>
              <w:top w:w="28" w:type="dxa"/>
              <w:bottom w:w="0" w:type="dxa"/>
            </w:tcMar>
            <w:vAlign w:val="center"/>
          </w:tcPr>
          <w:p>
            <w:pPr>
              <w:pStyle w:val="TableContents"/>
              <w:bidi w:val="0"/>
              <w:spacing w:before="0" w:after="0"/>
              <w:jc w:val="right"/>
              <w:rPr/>
            </w:pPr>
            <w:r>
              <w:rPr/>
              <w:t> </w:t>
            </w:r>
          </w:p>
        </w:tc>
        <w:tc>
          <w:tcPr>
            <w:tcW w:w="60" w:type="dxa"/>
            <w:tcBorders>
              <w:top w:val="double" w:sz="6" w:space="0" w:color="000000"/>
            </w:tcBorders>
            <w:shd w:fill="CCEEFF" w:val="clear"/>
            <w:tcMar>
              <w:top w:w="28" w:type="dxa"/>
              <w:bottom w:w="0" w:type="dxa"/>
            </w:tcMar>
            <w:vAlign w:val="center"/>
          </w:tcPr>
          <w:p>
            <w:pPr>
              <w:pStyle w:val="TableContents"/>
              <w:bidi w:val="0"/>
              <w:spacing w:before="0" w:after="0"/>
              <w:jc w:val="left"/>
              <w:rPr/>
            </w:pPr>
            <w:r>
              <w:rPr/>
              <w:t> </w:t>
            </w:r>
          </w:p>
        </w:tc>
        <w:tc>
          <w:tcPr>
            <w:tcW w:w="152" w:type="dxa"/>
            <w:tcBorders>
              <w:top w:val="double" w:sz="6" w:space="0" w:color="000000"/>
            </w:tcBorders>
            <w:shd w:fill="CCEEFF" w:val="clear"/>
            <w:tcMar>
              <w:top w:w="28" w:type="dxa"/>
              <w:bottom w:w="0" w:type="dxa"/>
            </w:tcMar>
            <w:vAlign w:val="center"/>
          </w:tcPr>
          <w:p>
            <w:pPr>
              <w:pStyle w:val="TableContents"/>
              <w:bidi w:val="0"/>
              <w:spacing w:before="0" w:after="0"/>
              <w:jc w:val="left"/>
              <w:rPr/>
            </w:pPr>
            <w:r>
              <w:rPr/>
              <w:t> </w:t>
            </w:r>
          </w:p>
        </w:tc>
        <w:tc>
          <w:tcPr>
            <w:tcW w:w="1049" w:type="dxa"/>
            <w:tcBorders>
              <w:top w:val="double" w:sz="6" w:space="0" w:color="000000"/>
            </w:tcBorders>
            <w:shd w:fill="CCEEFF" w:val="clear"/>
            <w:tcMar>
              <w:top w:w="28" w:type="dxa"/>
              <w:bottom w:w="0" w:type="dxa"/>
            </w:tcMar>
            <w:vAlign w:val="center"/>
          </w:tcPr>
          <w:p>
            <w:pPr>
              <w:pStyle w:val="TableContents"/>
              <w:bidi w:val="0"/>
              <w:spacing w:before="0" w:after="0"/>
              <w:jc w:val="right"/>
              <w:rPr/>
            </w:pPr>
            <w:r>
              <w:rPr/>
              <w:t> </w:t>
            </w:r>
          </w:p>
        </w:tc>
      </w:tr>
      <w:tr>
        <w:trPr/>
        <w:tc>
          <w:tcPr>
            <w:tcW w:w="7894"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133" w:type="dxa"/>
            <w:tcBorders/>
            <w:shd w:fill="FFFFFF" w:val="clear"/>
            <w:tcMar>
              <w:bottom w:w="0" w:type="dxa"/>
            </w:tcMar>
            <w:vAlign w:val="center"/>
          </w:tcPr>
          <w:p>
            <w:pPr>
              <w:pStyle w:val="TableContents"/>
              <w:bidi w:val="0"/>
              <w:spacing w:before="0" w:after="0"/>
              <w:jc w:val="left"/>
              <w:rPr/>
            </w:pPr>
            <w:r>
              <w:rPr/>
              <w:t> </w:t>
            </w:r>
          </w:p>
        </w:tc>
        <w:tc>
          <w:tcPr>
            <w:tcW w:w="917"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52" w:type="dxa"/>
            <w:tcBorders/>
            <w:shd w:fill="FFFFFF" w:val="clear"/>
            <w:tcMar>
              <w:bottom w:w="0" w:type="dxa"/>
            </w:tcMar>
            <w:vAlign w:val="center"/>
          </w:tcPr>
          <w:p>
            <w:pPr>
              <w:pStyle w:val="TableContents"/>
              <w:bidi w:val="0"/>
              <w:spacing w:before="0" w:after="0"/>
              <w:jc w:val="left"/>
              <w:rPr/>
            </w:pPr>
            <w:r>
              <w:rPr/>
              <w:t> </w:t>
            </w:r>
          </w:p>
        </w:tc>
        <w:tc>
          <w:tcPr>
            <w:tcW w:w="1049" w:type="dxa"/>
            <w:tcBorders/>
            <w:shd w:fill="FFFFFF" w:val="clear"/>
            <w:tcMar>
              <w:bottom w:w="0" w:type="dxa"/>
            </w:tcMar>
            <w:vAlign w:val="center"/>
          </w:tcPr>
          <w:p>
            <w:pPr>
              <w:pStyle w:val="TableContents"/>
              <w:bidi w:val="0"/>
              <w:spacing w:before="0" w:after="0"/>
              <w:jc w:val="right"/>
              <w:rPr/>
            </w:pPr>
            <w:r>
              <w:rPr/>
              <w:t> </w:t>
            </w:r>
          </w:p>
        </w:tc>
      </w:tr>
      <w:tr>
        <w:trPr/>
        <w:tc>
          <w:tcPr>
            <w:tcW w:w="7894"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Hovnanian Enterprises, Inc. stockholders' equity:</w:t>
            </w:r>
          </w:p>
        </w:tc>
        <w:tc>
          <w:tcPr>
            <w:tcW w:w="133" w:type="dxa"/>
            <w:tcBorders/>
            <w:shd w:fill="CCEEFF" w:val="clear"/>
            <w:tcMar>
              <w:bottom w:w="0" w:type="dxa"/>
            </w:tcMar>
            <w:vAlign w:val="center"/>
          </w:tcPr>
          <w:p>
            <w:pPr>
              <w:pStyle w:val="TableContents"/>
              <w:bidi w:val="0"/>
              <w:spacing w:before="0" w:after="0"/>
              <w:jc w:val="left"/>
              <w:rPr/>
            </w:pPr>
            <w:r>
              <w:rPr/>
              <w:t> </w:t>
            </w:r>
          </w:p>
        </w:tc>
        <w:tc>
          <w:tcPr>
            <w:tcW w:w="917" w:type="dxa"/>
            <w:tcBorders/>
            <w:shd w:fill="CCEEFF" w:val="clear"/>
            <w:tcMar>
              <w:bottom w:w="0" w:type="dxa"/>
            </w:tcM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52" w:type="dxa"/>
            <w:tcBorders/>
            <w:shd w:fill="CCEEFF" w:val="clear"/>
            <w:tcMar>
              <w:bottom w:w="0" w:type="dxa"/>
            </w:tcMar>
            <w:vAlign w:val="center"/>
          </w:tcPr>
          <w:p>
            <w:pPr>
              <w:pStyle w:val="TableContents"/>
              <w:bidi w:val="0"/>
              <w:spacing w:before="0" w:after="0"/>
              <w:jc w:val="left"/>
              <w:rPr/>
            </w:pPr>
            <w:r>
              <w:rPr/>
              <w:t> </w:t>
            </w:r>
          </w:p>
        </w:tc>
        <w:tc>
          <w:tcPr>
            <w:tcW w:w="1049" w:type="dxa"/>
            <w:tcBorders/>
            <w:shd w:fill="CCEEFF" w:val="clear"/>
            <w:tcMar>
              <w:bottom w:w="0" w:type="dxa"/>
            </w:tcMar>
            <w:vAlign w:val="center"/>
          </w:tcPr>
          <w:p>
            <w:pPr>
              <w:pStyle w:val="TableContents"/>
              <w:bidi w:val="0"/>
              <w:spacing w:before="0" w:after="0"/>
              <w:jc w:val="right"/>
              <w:rPr/>
            </w:pPr>
            <w:r>
              <w:rPr/>
              <w:t> </w:t>
            </w:r>
          </w:p>
        </w:tc>
      </w:tr>
      <w:tr>
        <w:trPr/>
        <w:tc>
          <w:tcPr>
            <w:tcW w:w="7894" w:type="dxa"/>
            <w:tcBorders/>
            <w:shd w:fill="FFFFFF" w:val="clear"/>
            <w:tcMar>
              <w:bottom w:w="0" w:type="dxa"/>
            </w:tcMar>
            <w:vAlign w:val="center"/>
          </w:tcPr>
          <w:p>
            <w:pPr>
              <w:pStyle w:val="TableContents"/>
              <w:bidi w:val="0"/>
              <w:spacing w:before="0" w:after="0"/>
              <w:ind w:left="288" w:right="0" w:hanging="0"/>
              <w:jc w:val="left"/>
              <w:rPr>
                <w:sz w:val="20"/>
              </w:rPr>
            </w:pPr>
            <w:r>
              <w:rPr>
                <w:rFonts w:ascii="Times New Roman" w:hAnsi="Times New Roman"/>
                <w:sz w:val="20"/>
              </w:rPr>
              <w:t>Preferred stock, $0.01</w:t>
            </w:r>
            <w:r>
              <w:rPr>
                <w:sz w:val="20"/>
              </w:rPr>
              <w:t xml:space="preserve"> </w:t>
            </w:r>
            <w:r>
              <w:rPr>
                <w:rFonts w:ascii="Times New Roman" w:hAnsi="Times New Roman"/>
                <w:sz w:val="20"/>
              </w:rPr>
              <w:t>par value - authorized 100,000</w:t>
            </w:r>
            <w:r>
              <w:rPr>
                <w:sz w:val="20"/>
              </w:rPr>
              <w:t xml:space="preserve"> </w:t>
            </w:r>
            <w:r>
              <w:rPr>
                <w:rFonts w:ascii="Times New Roman" w:hAnsi="Times New Roman"/>
                <w:sz w:val="20"/>
              </w:rPr>
              <w:t>shares; issued and outstanding 5,600</w:t>
            </w:r>
            <w:r>
              <w:rPr>
                <w:sz w:val="20"/>
              </w:rPr>
              <w:t xml:space="preserve"> </w:t>
            </w:r>
            <w:r>
              <w:rPr>
                <w:rFonts w:ascii="Times New Roman" w:hAnsi="Times New Roman"/>
                <w:sz w:val="20"/>
              </w:rPr>
              <w:t>shares with a liquidation preference of $140,000</w:t>
            </w:r>
            <w:r>
              <w:rPr>
                <w:sz w:val="20"/>
              </w:rPr>
              <w:t xml:space="preserve"> </w:t>
            </w:r>
            <w:r>
              <w:rPr>
                <w:rFonts w:ascii="Times New Roman" w:hAnsi="Times New Roman"/>
                <w:sz w:val="20"/>
              </w:rPr>
              <w:t>at July 31, 2026 and October 31, 2025</w:t>
            </w:r>
          </w:p>
        </w:tc>
        <w:tc>
          <w:tcPr>
            <w:tcW w:w="133" w:type="dxa"/>
            <w:tcBorders/>
            <w:shd w:fill="FFFFFF" w:val="clear"/>
            <w:tcMar>
              <w:bottom w:w="0" w:type="dxa"/>
            </w:tcMar>
            <w:vAlign w:val="center"/>
          </w:tcPr>
          <w:p>
            <w:pPr>
              <w:pStyle w:val="TableContents"/>
              <w:bidi w:val="0"/>
              <w:spacing w:before="0" w:after="0"/>
              <w:jc w:val="left"/>
              <w:rPr/>
            </w:pPr>
            <w:r>
              <w:rPr/>
              <w:t> </w:t>
            </w:r>
          </w:p>
        </w:tc>
        <w:tc>
          <w:tcPr>
            <w:tcW w:w="917" w:type="dxa"/>
            <w:tcBorders/>
            <w:shd w:fill="FFFFFF" w:val="clear"/>
            <w:tcMar>
              <w:bottom w:w="0" w:type="dxa"/>
            </w:tcMar>
            <w:vAlign w:val="center"/>
          </w:tcPr>
          <w:p>
            <w:pPr>
              <w:pStyle w:val="TableContents"/>
              <w:bidi w:val="0"/>
              <w:spacing w:before="0" w:after="0"/>
              <w:jc w:val="right"/>
              <w:rPr/>
            </w:pPr>
            <w:r>
              <w:rPr/>
              <w:t xml:space="preserve">   </w:t>
            </w:r>
            <w:r>
              <w:rPr>
                <w:rFonts w:ascii="Times New Roman" w:hAnsi="Times New Roman"/>
                <w:sz w:val="20"/>
              </w:rPr>
              <w:t>135,299</w:t>
            </w:r>
          </w:p>
        </w:tc>
        <w:tc>
          <w:tcPr>
            <w:tcW w:w="60" w:type="dxa"/>
            <w:tcBorders/>
            <w:shd w:fill="FFFFFF" w:val="clear"/>
            <w:tcMar>
              <w:bottom w:w="0" w:type="dxa"/>
            </w:tcMar>
            <w:vAlign w:val="center"/>
          </w:tcPr>
          <w:p>
            <w:pPr>
              <w:pStyle w:val="TableContents"/>
              <w:bidi w:val="0"/>
              <w:spacing w:before="0" w:after="0"/>
              <w:jc w:val="left"/>
              <w:rPr/>
            </w:pPr>
            <w:r>
              <w:rPr/>
              <w:t> </w:t>
            </w:r>
          </w:p>
        </w:tc>
        <w:tc>
          <w:tcPr>
            <w:tcW w:w="152" w:type="dxa"/>
            <w:tcBorders/>
            <w:shd w:fill="FFFFFF" w:val="clear"/>
            <w:tcMar>
              <w:bottom w:w="0" w:type="dxa"/>
            </w:tcMar>
            <w:vAlign w:val="center"/>
          </w:tcPr>
          <w:p>
            <w:pPr>
              <w:pStyle w:val="TableContents"/>
              <w:bidi w:val="0"/>
              <w:spacing w:before="0" w:after="0"/>
              <w:jc w:val="left"/>
              <w:rPr/>
            </w:pPr>
            <w:r>
              <w:rPr/>
              <w:t> </w:t>
            </w:r>
          </w:p>
        </w:tc>
        <w:tc>
          <w:tcPr>
            <w:tcW w:w="1049"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135,299</w:t>
            </w:r>
          </w:p>
        </w:tc>
      </w:tr>
      <w:tr>
        <w:trPr/>
        <w:tc>
          <w:tcPr>
            <w:tcW w:w="7894" w:type="dxa"/>
            <w:tcBorders/>
            <w:shd w:fill="CCEEFF" w:val="clear"/>
            <w:tcMar>
              <w:bottom w:w="0" w:type="dxa"/>
            </w:tcMar>
            <w:vAlign w:val="center"/>
          </w:tcPr>
          <w:p>
            <w:pPr>
              <w:pStyle w:val="TableContents"/>
              <w:bidi w:val="0"/>
              <w:spacing w:before="0" w:after="0"/>
              <w:ind w:left="288" w:right="0" w:hanging="0"/>
              <w:jc w:val="left"/>
              <w:rPr>
                <w:sz w:val="20"/>
              </w:rPr>
            </w:pPr>
            <w:r>
              <w:rPr>
                <w:rFonts w:ascii="Times New Roman" w:hAnsi="Times New Roman"/>
                <w:sz w:val="20"/>
              </w:rPr>
              <w:t>Common stock, Class A, $0.01</w:t>
            </w:r>
            <w:r>
              <w:rPr>
                <w:sz w:val="20"/>
              </w:rPr>
              <w:t xml:space="preserve"> </w:t>
            </w:r>
            <w:r>
              <w:rPr>
                <w:rFonts w:ascii="Times New Roman" w:hAnsi="Times New Roman"/>
                <w:sz w:val="20"/>
              </w:rPr>
              <w:t>par value - authorized 16,000,000</w:t>
            </w:r>
            <w:r>
              <w:rPr>
                <w:sz w:val="20"/>
              </w:rPr>
              <w:t xml:space="preserve"> </w:t>
            </w:r>
            <w:r>
              <w:rPr>
                <w:rFonts w:ascii="Times New Roman" w:hAnsi="Times New Roman"/>
                <w:sz w:val="20"/>
              </w:rPr>
              <w:t>shares; issued 6,645,124</w:t>
            </w:r>
            <w:r>
              <w:rPr>
                <w:sz w:val="20"/>
              </w:rPr>
              <w:t xml:space="preserve"> </w:t>
            </w:r>
            <w:r>
              <w:rPr>
                <w:rFonts w:ascii="Times New Roman" w:hAnsi="Times New Roman"/>
                <w:sz w:val="20"/>
              </w:rPr>
              <w:t>shares at July 31, 2026 and 6,503,722</w:t>
            </w:r>
            <w:r>
              <w:rPr>
                <w:sz w:val="20"/>
              </w:rPr>
              <w:t xml:space="preserve"> </w:t>
            </w:r>
            <w:r>
              <w:rPr>
                <w:rFonts w:ascii="Times New Roman" w:hAnsi="Times New Roman"/>
                <w:sz w:val="20"/>
              </w:rPr>
              <w:t>shares at October 31, 2025</w:t>
            </w:r>
          </w:p>
        </w:tc>
        <w:tc>
          <w:tcPr>
            <w:tcW w:w="133" w:type="dxa"/>
            <w:tcBorders/>
            <w:shd w:fill="CCEEFF" w:val="clear"/>
            <w:tcMar>
              <w:bottom w:w="0" w:type="dxa"/>
            </w:tcMar>
            <w:vAlign w:val="center"/>
          </w:tcPr>
          <w:p>
            <w:pPr>
              <w:pStyle w:val="TableContents"/>
              <w:bidi w:val="0"/>
              <w:spacing w:before="0" w:after="0"/>
              <w:jc w:val="left"/>
              <w:rPr/>
            </w:pPr>
            <w:r>
              <w:rPr/>
              <w:t> </w:t>
            </w:r>
          </w:p>
        </w:tc>
        <w:tc>
          <w:tcPr>
            <w:tcW w:w="917"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66</w:t>
            </w:r>
          </w:p>
        </w:tc>
        <w:tc>
          <w:tcPr>
            <w:tcW w:w="60" w:type="dxa"/>
            <w:tcBorders/>
            <w:shd w:fill="CCEEFF" w:val="clear"/>
            <w:tcMar>
              <w:bottom w:w="0" w:type="dxa"/>
            </w:tcMar>
            <w:vAlign w:val="center"/>
          </w:tcPr>
          <w:p>
            <w:pPr>
              <w:pStyle w:val="TableContents"/>
              <w:bidi w:val="0"/>
              <w:spacing w:before="0" w:after="0"/>
              <w:jc w:val="left"/>
              <w:rPr/>
            </w:pPr>
            <w:r>
              <w:rPr/>
              <w:t> </w:t>
            </w:r>
          </w:p>
        </w:tc>
        <w:tc>
          <w:tcPr>
            <w:tcW w:w="152" w:type="dxa"/>
            <w:tcBorders/>
            <w:shd w:fill="CCEEFF" w:val="clear"/>
            <w:tcMar>
              <w:bottom w:w="0" w:type="dxa"/>
            </w:tcMar>
            <w:vAlign w:val="center"/>
          </w:tcPr>
          <w:p>
            <w:pPr>
              <w:pStyle w:val="TableContents"/>
              <w:bidi w:val="0"/>
              <w:spacing w:before="0" w:after="0"/>
              <w:jc w:val="left"/>
              <w:rPr/>
            </w:pPr>
            <w:r>
              <w:rPr/>
              <w:t> </w:t>
            </w:r>
          </w:p>
        </w:tc>
        <w:tc>
          <w:tcPr>
            <w:tcW w:w="1049"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65</w:t>
            </w:r>
          </w:p>
        </w:tc>
      </w:tr>
      <w:tr>
        <w:trPr/>
        <w:tc>
          <w:tcPr>
            <w:tcW w:w="7894" w:type="dxa"/>
            <w:tcBorders/>
            <w:shd w:fill="FFFFFF" w:val="clear"/>
            <w:tcMar>
              <w:bottom w:w="0" w:type="dxa"/>
            </w:tcMar>
            <w:vAlign w:val="center"/>
          </w:tcPr>
          <w:p>
            <w:pPr>
              <w:pStyle w:val="TableContents"/>
              <w:bidi w:val="0"/>
              <w:spacing w:before="0" w:after="0"/>
              <w:ind w:left="288" w:right="0" w:hanging="0"/>
              <w:jc w:val="left"/>
              <w:rPr>
                <w:sz w:val="20"/>
              </w:rPr>
            </w:pPr>
            <w:r>
              <w:rPr>
                <w:rFonts w:ascii="Times New Roman" w:hAnsi="Times New Roman"/>
                <w:sz w:val="20"/>
              </w:rPr>
              <w:t>Common stock, Class B, $0.01</w:t>
            </w:r>
            <w:r>
              <w:rPr>
                <w:sz w:val="20"/>
              </w:rPr>
              <w:t xml:space="preserve"> </w:t>
            </w:r>
            <w:r>
              <w:rPr>
                <w:rFonts w:ascii="Times New Roman" w:hAnsi="Times New Roman"/>
                <w:sz w:val="20"/>
              </w:rPr>
              <w:t>par value (convertible to Class A at time of sale) - authorized 2,400,000</w:t>
            </w:r>
            <w:r>
              <w:rPr>
                <w:sz w:val="20"/>
              </w:rPr>
              <w:t xml:space="preserve"> </w:t>
            </w:r>
            <w:r>
              <w:rPr>
                <w:rFonts w:ascii="Times New Roman" w:hAnsi="Times New Roman"/>
                <w:sz w:val="20"/>
              </w:rPr>
              <w:t>shares; issued 865,304</w:t>
            </w:r>
            <w:r>
              <w:rPr>
                <w:sz w:val="20"/>
              </w:rPr>
              <w:t xml:space="preserve"> </w:t>
            </w:r>
            <w:r>
              <w:rPr>
                <w:rFonts w:ascii="Times New Roman" w:hAnsi="Times New Roman"/>
                <w:sz w:val="20"/>
              </w:rPr>
              <w:t>shares at July 31, 2026 and 812,410</w:t>
            </w:r>
            <w:r>
              <w:rPr>
                <w:sz w:val="20"/>
              </w:rPr>
              <w:t xml:space="preserve"> </w:t>
            </w:r>
            <w:r>
              <w:rPr>
                <w:rFonts w:ascii="Times New Roman" w:hAnsi="Times New Roman"/>
                <w:sz w:val="20"/>
              </w:rPr>
              <w:t>shares at October 31, 2025</w:t>
            </w:r>
          </w:p>
        </w:tc>
        <w:tc>
          <w:tcPr>
            <w:tcW w:w="133" w:type="dxa"/>
            <w:tcBorders/>
            <w:shd w:fill="FFFFFF" w:val="clear"/>
            <w:tcMar>
              <w:bottom w:w="0" w:type="dxa"/>
            </w:tcMar>
            <w:vAlign w:val="center"/>
          </w:tcPr>
          <w:p>
            <w:pPr>
              <w:pStyle w:val="TableContents"/>
              <w:bidi w:val="0"/>
              <w:spacing w:before="0" w:after="0"/>
              <w:jc w:val="left"/>
              <w:rPr/>
            </w:pPr>
            <w:r>
              <w:rPr/>
              <w:t> </w:t>
            </w:r>
          </w:p>
        </w:tc>
        <w:tc>
          <w:tcPr>
            <w:tcW w:w="917"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w:t>
            </w:r>
          </w:p>
        </w:tc>
        <w:tc>
          <w:tcPr>
            <w:tcW w:w="60" w:type="dxa"/>
            <w:tcBorders/>
            <w:shd w:fill="FFFFFF" w:val="clear"/>
            <w:tcMar>
              <w:bottom w:w="0" w:type="dxa"/>
            </w:tcMar>
            <w:vAlign w:val="center"/>
          </w:tcPr>
          <w:p>
            <w:pPr>
              <w:pStyle w:val="TableContents"/>
              <w:bidi w:val="0"/>
              <w:spacing w:before="0" w:after="0"/>
              <w:jc w:val="left"/>
              <w:rPr/>
            </w:pPr>
            <w:r>
              <w:rPr/>
              <w:t> </w:t>
            </w:r>
          </w:p>
        </w:tc>
        <w:tc>
          <w:tcPr>
            <w:tcW w:w="152" w:type="dxa"/>
            <w:tcBorders/>
            <w:shd w:fill="FFFFFF" w:val="clear"/>
            <w:tcMar>
              <w:bottom w:w="0" w:type="dxa"/>
            </w:tcMar>
            <w:vAlign w:val="center"/>
          </w:tcPr>
          <w:p>
            <w:pPr>
              <w:pStyle w:val="TableContents"/>
              <w:bidi w:val="0"/>
              <w:spacing w:before="0" w:after="0"/>
              <w:jc w:val="left"/>
              <w:rPr/>
            </w:pPr>
            <w:r>
              <w:rPr/>
              <w:t> </w:t>
            </w:r>
          </w:p>
        </w:tc>
        <w:tc>
          <w:tcPr>
            <w:tcW w:w="1049"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w:t>
            </w:r>
          </w:p>
        </w:tc>
      </w:tr>
      <w:tr>
        <w:trPr/>
        <w:tc>
          <w:tcPr>
            <w:tcW w:w="7894" w:type="dxa"/>
            <w:tcBorders/>
            <w:shd w:fill="CCEE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Paid in capital - common stock</w:t>
            </w:r>
          </w:p>
        </w:tc>
        <w:tc>
          <w:tcPr>
            <w:tcW w:w="133" w:type="dxa"/>
            <w:tcBorders/>
            <w:shd w:fill="CCEEFF" w:val="clear"/>
            <w:tcMar>
              <w:bottom w:w="0" w:type="dxa"/>
            </w:tcMar>
            <w:vAlign w:val="center"/>
          </w:tcPr>
          <w:p>
            <w:pPr>
              <w:pStyle w:val="TableContents"/>
              <w:bidi w:val="0"/>
              <w:spacing w:before="0" w:after="0"/>
              <w:jc w:val="left"/>
              <w:rPr/>
            </w:pPr>
            <w:r>
              <w:rPr/>
              <w:t> </w:t>
            </w:r>
          </w:p>
        </w:tc>
        <w:tc>
          <w:tcPr>
            <w:tcW w:w="917"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752,820</w:t>
            </w:r>
          </w:p>
        </w:tc>
        <w:tc>
          <w:tcPr>
            <w:tcW w:w="60" w:type="dxa"/>
            <w:tcBorders/>
            <w:shd w:fill="CCEEFF" w:val="clear"/>
            <w:tcMar>
              <w:bottom w:w="0" w:type="dxa"/>
            </w:tcMar>
            <w:vAlign w:val="center"/>
          </w:tcPr>
          <w:p>
            <w:pPr>
              <w:pStyle w:val="TableContents"/>
              <w:bidi w:val="0"/>
              <w:spacing w:before="0" w:after="0"/>
              <w:jc w:val="left"/>
              <w:rPr/>
            </w:pPr>
            <w:r>
              <w:rPr/>
              <w:t> </w:t>
            </w:r>
          </w:p>
        </w:tc>
        <w:tc>
          <w:tcPr>
            <w:tcW w:w="152" w:type="dxa"/>
            <w:tcBorders/>
            <w:shd w:fill="CCEEFF" w:val="clear"/>
            <w:tcMar>
              <w:bottom w:w="0" w:type="dxa"/>
            </w:tcMar>
            <w:vAlign w:val="center"/>
          </w:tcPr>
          <w:p>
            <w:pPr>
              <w:pStyle w:val="TableContents"/>
              <w:bidi w:val="0"/>
              <w:spacing w:before="0" w:after="0"/>
              <w:jc w:val="left"/>
              <w:rPr/>
            </w:pPr>
            <w:r>
              <w:rPr/>
              <w:t> </w:t>
            </w:r>
          </w:p>
        </w:tc>
        <w:tc>
          <w:tcPr>
            <w:tcW w:w="1049"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757,391</w:t>
            </w:r>
          </w:p>
        </w:tc>
      </w:tr>
      <w:tr>
        <w:trPr/>
        <w:tc>
          <w:tcPr>
            <w:tcW w:w="7894" w:type="dxa"/>
            <w:tcBorders/>
            <w:shd w:fill="FFFF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Retained Earnings</w:t>
            </w:r>
          </w:p>
        </w:tc>
        <w:tc>
          <w:tcPr>
            <w:tcW w:w="133" w:type="dxa"/>
            <w:tcBorders/>
            <w:shd w:fill="FFFFFF" w:val="clear"/>
            <w:tcMar>
              <w:bottom w:w="0" w:type="dxa"/>
            </w:tcMar>
            <w:vAlign w:val="center"/>
          </w:tcPr>
          <w:p>
            <w:pPr>
              <w:pStyle w:val="TableContents"/>
              <w:bidi w:val="0"/>
              <w:spacing w:before="0" w:after="0"/>
              <w:jc w:val="left"/>
              <w:rPr/>
            </w:pPr>
            <w:r>
              <w:rPr/>
              <w:t> </w:t>
            </w:r>
          </w:p>
        </w:tc>
        <w:tc>
          <w:tcPr>
            <w:tcW w:w="917"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138,093</w:t>
            </w:r>
          </w:p>
        </w:tc>
        <w:tc>
          <w:tcPr>
            <w:tcW w:w="60" w:type="dxa"/>
            <w:tcBorders/>
            <w:shd w:fill="FFFFFF" w:val="clear"/>
            <w:tcMar>
              <w:bottom w:w="0" w:type="dxa"/>
            </w:tcMar>
            <w:vAlign w:val="center"/>
          </w:tcPr>
          <w:p>
            <w:pPr>
              <w:pStyle w:val="TableContents"/>
              <w:bidi w:val="0"/>
              <w:spacing w:before="0" w:after="0"/>
              <w:jc w:val="left"/>
              <w:rPr/>
            </w:pPr>
            <w:r>
              <w:rPr/>
              <w:t> </w:t>
            </w:r>
          </w:p>
        </w:tc>
        <w:tc>
          <w:tcPr>
            <w:tcW w:w="152" w:type="dxa"/>
            <w:tcBorders/>
            <w:shd w:fill="FFFFFF" w:val="clear"/>
            <w:tcMar>
              <w:bottom w:w="0" w:type="dxa"/>
            </w:tcMar>
            <w:vAlign w:val="center"/>
          </w:tcPr>
          <w:p>
            <w:pPr>
              <w:pStyle w:val="TableContents"/>
              <w:bidi w:val="0"/>
              <w:spacing w:before="0" w:after="0"/>
              <w:jc w:val="left"/>
              <w:rPr/>
            </w:pPr>
            <w:r>
              <w:rPr/>
              <w:t> </w:t>
            </w:r>
          </w:p>
        </w:tc>
        <w:tc>
          <w:tcPr>
            <w:tcW w:w="1049"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127,326</w:t>
            </w:r>
          </w:p>
        </w:tc>
      </w:tr>
      <w:tr>
        <w:trPr/>
        <w:tc>
          <w:tcPr>
            <w:tcW w:w="7894" w:type="dxa"/>
            <w:tcBorders>
              <w:bottom w:val="double" w:sz="6" w:space="0" w:color="000000"/>
            </w:tcBorders>
            <w:shd w:fill="CCEEFF" w:val="clear"/>
            <w:vAlign w:val="center"/>
          </w:tcPr>
          <w:p>
            <w:pPr>
              <w:pStyle w:val="TableContents"/>
              <w:bidi w:val="0"/>
              <w:spacing w:before="0" w:after="0"/>
              <w:ind w:left="144" w:right="0" w:hanging="0"/>
              <w:jc w:val="left"/>
              <w:rPr>
                <w:sz w:val="20"/>
              </w:rPr>
            </w:pPr>
            <w:r>
              <w:rPr>
                <w:rFonts w:ascii="Times New Roman" w:hAnsi="Times New Roman"/>
                <w:sz w:val="20"/>
              </w:rPr>
              <w:t>Treasury stock - at cost – 1,523,992</w:t>
            </w:r>
            <w:r>
              <w:rPr>
                <w:sz w:val="20"/>
              </w:rPr>
              <w:t xml:space="preserve"> </w:t>
            </w:r>
            <w:r>
              <w:rPr>
                <w:rFonts w:ascii="Times New Roman" w:hAnsi="Times New Roman"/>
                <w:sz w:val="20"/>
              </w:rPr>
              <w:t>shares of Class A common stock at July 31, 2026 and 1,348,087</w:t>
            </w:r>
            <w:r>
              <w:rPr>
                <w:sz w:val="20"/>
              </w:rPr>
              <w:t xml:space="preserve"> </w:t>
            </w:r>
            <w:r>
              <w:rPr>
                <w:rFonts w:ascii="Times New Roman" w:hAnsi="Times New Roman"/>
                <w:sz w:val="20"/>
              </w:rPr>
              <w:t>shares at October 31, 2025; 27,669</w:t>
            </w:r>
            <w:r>
              <w:rPr>
                <w:sz w:val="20"/>
              </w:rPr>
              <w:t xml:space="preserve"> </w:t>
            </w:r>
            <w:r>
              <w:rPr>
                <w:rFonts w:ascii="Times New Roman" w:hAnsi="Times New Roman"/>
                <w:sz w:val="20"/>
              </w:rPr>
              <w:t>shares of Class B common stock at July 31, 2026 and October 31, 2025</w:t>
            </w:r>
          </w:p>
        </w:tc>
        <w:tc>
          <w:tcPr>
            <w:tcW w:w="133" w:type="dxa"/>
            <w:tcBorders>
              <w:bottom w:val="double" w:sz="6" w:space="0" w:color="000000"/>
            </w:tcBorders>
            <w:shd w:fill="CCEEFF" w:val="clear"/>
            <w:vAlign w:val="center"/>
          </w:tcPr>
          <w:p>
            <w:pPr>
              <w:pStyle w:val="TableContents"/>
              <w:bidi w:val="0"/>
              <w:spacing w:before="0" w:after="0"/>
              <w:jc w:val="left"/>
              <w:rPr/>
            </w:pPr>
            <w:r>
              <w:rPr/>
              <w:t> </w:t>
            </w:r>
          </w:p>
        </w:tc>
        <w:tc>
          <w:tcPr>
            <w:tcW w:w="917" w:type="dxa"/>
            <w:tcBorders>
              <w:bottom w:val="double" w:sz="6"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(207,621)</w:t>
            </w:r>
          </w:p>
        </w:tc>
        <w:tc>
          <w:tcPr>
            <w:tcW w:w="60" w:type="dxa"/>
            <w:tcBorders>
              <w:bottom w:val="double" w:sz="6" w:space="0" w:color="000000"/>
            </w:tcBorders>
            <w:shd w:fill="CCEEFF" w:val="clear"/>
            <w:vAlign w:val="center"/>
          </w:tcPr>
          <w:p>
            <w:pPr>
              <w:pStyle w:val="TableContents"/>
              <w:bidi w:val="0"/>
              <w:spacing w:before="0" w:after="0"/>
              <w:jc w:val="left"/>
              <w:rPr/>
            </w:pPr>
            <w:r>
              <w:rPr/>
              <w:t> </w:t>
            </w:r>
          </w:p>
        </w:tc>
        <w:tc>
          <w:tcPr>
            <w:tcW w:w="152" w:type="dxa"/>
            <w:tcBorders>
              <w:bottom w:val="double" w:sz="6" w:space="0" w:color="000000"/>
            </w:tcBorders>
            <w:shd w:fill="CCEEFF" w:val="clear"/>
            <w:vAlign w:val="center"/>
          </w:tcPr>
          <w:p>
            <w:pPr>
              <w:pStyle w:val="TableContents"/>
              <w:bidi w:val="0"/>
              <w:spacing w:before="0" w:after="0"/>
              <w:jc w:val="left"/>
              <w:rPr/>
            </w:pPr>
            <w:r>
              <w:rPr/>
              <w:t> </w:t>
            </w:r>
          </w:p>
        </w:tc>
        <w:tc>
          <w:tcPr>
            <w:tcW w:w="1049" w:type="dxa"/>
            <w:tcBorders>
              <w:bottom w:val="double" w:sz="6"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(189,154)</w:t>
            </w:r>
          </w:p>
        </w:tc>
      </w:tr>
      <w:tr>
        <w:trPr/>
        <w:tc>
          <w:tcPr>
            <w:tcW w:w="7894" w:type="dxa"/>
            <w:tcBorders>
              <w:top w:val="double" w:sz="6" w:space="0" w:color="000000"/>
              <w:bottom w:val="double" w:sz="6" w:space="0" w:color="000000"/>
            </w:tcBorders>
            <w:shd w:fill="FFFFFF" w:val="clear"/>
            <w:tcMar>
              <w:top w:w="28" w:type="dxa"/>
            </w:tcM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Total Hovnanian Enterprises Inc. stockholders’ equity</w:t>
            </w:r>
          </w:p>
        </w:tc>
        <w:tc>
          <w:tcPr>
            <w:tcW w:w="133" w:type="dxa"/>
            <w:tcBorders>
              <w:top w:val="double" w:sz="6" w:space="0" w:color="000000"/>
              <w:bottom w:val="double" w:sz="6" w:space="0" w:color="000000"/>
            </w:tcBorders>
            <w:shd w:fill="FFFFFF" w:val="clear"/>
            <w:tcMar>
              <w:top w:w="28" w:type="dxa"/>
            </w:tcMar>
            <w:vAlign w:val="center"/>
          </w:tcPr>
          <w:p>
            <w:pPr>
              <w:pStyle w:val="TableContents"/>
              <w:bidi w:val="0"/>
              <w:spacing w:before="0" w:after="0"/>
              <w:jc w:val="left"/>
              <w:rPr/>
            </w:pPr>
            <w:r>
              <w:rPr/>
              <w:t> </w:t>
            </w:r>
          </w:p>
        </w:tc>
        <w:tc>
          <w:tcPr>
            <w:tcW w:w="917" w:type="dxa"/>
            <w:tcBorders>
              <w:top w:val="double" w:sz="6" w:space="0" w:color="000000"/>
              <w:bottom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818,666</w:t>
            </w:r>
          </w:p>
        </w:tc>
        <w:tc>
          <w:tcPr>
            <w:tcW w:w="60" w:type="dxa"/>
            <w:tcBorders>
              <w:top w:val="double" w:sz="6" w:space="0" w:color="000000"/>
              <w:bottom w:val="double" w:sz="6" w:space="0" w:color="000000"/>
            </w:tcBorders>
            <w:shd w:fill="FFFFFF" w:val="clear"/>
            <w:tcMar>
              <w:top w:w="28" w:type="dxa"/>
            </w:tcMar>
            <w:vAlign w:val="center"/>
          </w:tcPr>
          <w:p>
            <w:pPr>
              <w:pStyle w:val="TableContents"/>
              <w:bidi w:val="0"/>
              <w:spacing w:before="0" w:after="0"/>
              <w:jc w:val="left"/>
              <w:rPr/>
            </w:pPr>
            <w:r>
              <w:rPr/>
              <w:t> </w:t>
            </w:r>
          </w:p>
        </w:tc>
        <w:tc>
          <w:tcPr>
            <w:tcW w:w="152" w:type="dxa"/>
            <w:tcBorders>
              <w:top w:val="double" w:sz="6" w:space="0" w:color="000000"/>
              <w:bottom w:val="double" w:sz="6" w:space="0" w:color="000000"/>
            </w:tcBorders>
            <w:shd w:fill="FFFFFF" w:val="clear"/>
            <w:tcMar>
              <w:top w:w="28" w:type="dxa"/>
            </w:tcMar>
            <w:vAlign w:val="center"/>
          </w:tcPr>
          <w:p>
            <w:pPr>
              <w:pStyle w:val="TableContents"/>
              <w:bidi w:val="0"/>
              <w:spacing w:before="0" w:after="0"/>
              <w:jc w:val="left"/>
              <w:rPr/>
            </w:pPr>
            <w:r>
              <w:rPr/>
              <w:t> </w:t>
            </w:r>
          </w:p>
        </w:tc>
        <w:tc>
          <w:tcPr>
            <w:tcW w:w="1049" w:type="dxa"/>
            <w:tcBorders>
              <w:top w:val="double" w:sz="6" w:space="0" w:color="000000"/>
              <w:bottom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830,935</w:t>
            </w:r>
          </w:p>
        </w:tc>
      </w:tr>
      <w:tr>
        <w:trPr/>
        <w:tc>
          <w:tcPr>
            <w:tcW w:w="7894" w:type="dxa"/>
            <w:tcBorders>
              <w:top w:val="double" w:sz="6"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133" w:type="dxa"/>
            <w:tcBorders>
              <w:top w:val="double" w:sz="6"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917" w:type="dxa"/>
            <w:tcBorders>
              <w:top w:val="double" w:sz="6"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2,290</w:t>
            </w:r>
          </w:p>
        </w:tc>
        <w:tc>
          <w:tcPr>
            <w:tcW w:w="60" w:type="dxa"/>
            <w:tcBorders>
              <w:top w:val="double" w:sz="6"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152" w:type="dxa"/>
            <w:tcBorders>
              <w:top w:val="double" w:sz="6"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1049" w:type="dxa"/>
            <w:tcBorders>
              <w:top w:val="double" w:sz="6"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7894" w:type="dxa"/>
            <w:tcBorders>
              <w:top w:val="double" w:sz="6" w:space="0" w:color="000000"/>
              <w:bottom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133" w:type="dxa"/>
            <w:tcBorders>
              <w:top w:val="double" w:sz="6" w:space="0" w:color="000000"/>
              <w:bottom w:val="double" w:sz="6" w:space="0" w:color="000000"/>
            </w:tcBorders>
            <w:shd w:fill="FFFFFF" w:val="clear"/>
            <w:tcMar>
              <w:top w:w="28" w:type="dxa"/>
            </w:tcMar>
            <w:vAlign w:val="center"/>
          </w:tcPr>
          <w:p>
            <w:pPr>
              <w:pStyle w:val="TableContents"/>
              <w:bidi w:val="0"/>
              <w:spacing w:before="0" w:after="0"/>
              <w:jc w:val="left"/>
              <w:rPr/>
            </w:pPr>
            <w:r>
              <w:rPr/>
              <w:t> </w:t>
            </w:r>
          </w:p>
        </w:tc>
        <w:tc>
          <w:tcPr>
            <w:tcW w:w="917" w:type="dxa"/>
            <w:tcBorders>
              <w:top w:val="double" w:sz="6" w:space="0" w:color="000000"/>
              <w:bottom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820,956</w:t>
            </w:r>
          </w:p>
        </w:tc>
        <w:tc>
          <w:tcPr>
            <w:tcW w:w="60" w:type="dxa"/>
            <w:tcBorders>
              <w:top w:val="double" w:sz="6" w:space="0" w:color="000000"/>
              <w:bottom w:val="double" w:sz="6" w:space="0" w:color="000000"/>
            </w:tcBorders>
            <w:shd w:fill="FFFFFF" w:val="clear"/>
            <w:tcMar>
              <w:top w:w="28" w:type="dxa"/>
            </w:tcMar>
            <w:vAlign w:val="center"/>
          </w:tcPr>
          <w:p>
            <w:pPr>
              <w:pStyle w:val="TableContents"/>
              <w:bidi w:val="0"/>
              <w:spacing w:before="0" w:after="0"/>
              <w:jc w:val="left"/>
              <w:rPr/>
            </w:pPr>
            <w:r>
              <w:rPr/>
              <w:t> </w:t>
            </w:r>
          </w:p>
        </w:tc>
        <w:tc>
          <w:tcPr>
            <w:tcW w:w="152" w:type="dxa"/>
            <w:tcBorders>
              <w:top w:val="double" w:sz="6" w:space="0" w:color="000000"/>
              <w:bottom w:val="double" w:sz="6" w:space="0" w:color="000000"/>
            </w:tcBorders>
            <w:shd w:fill="FFFFFF" w:val="clear"/>
            <w:tcMar>
              <w:top w:w="28" w:type="dxa"/>
            </w:tcMar>
            <w:vAlign w:val="center"/>
          </w:tcPr>
          <w:p>
            <w:pPr>
              <w:pStyle w:val="TableContents"/>
              <w:bidi w:val="0"/>
              <w:spacing w:before="0" w:after="0"/>
              <w:jc w:val="left"/>
              <w:rPr/>
            </w:pPr>
            <w:r>
              <w:rPr/>
              <w:t> </w:t>
            </w:r>
          </w:p>
        </w:tc>
        <w:tc>
          <w:tcPr>
            <w:tcW w:w="1049" w:type="dxa"/>
            <w:tcBorders>
              <w:top w:val="double" w:sz="6" w:space="0" w:color="000000"/>
              <w:bottom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830,935</w:t>
            </w:r>
          </w:p>
        </w:tc>
      </w:tr>
      <w:tr>
        <w:trPr/>
        <w:tc>
          <w:tcPr>
            <w:tcW w:w="7894" w:type="dxa"/>
            <w:tcBorders>
              <w:top w:val="double" w:sz="6"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and equity</w:t>
            </w:r>
          </w:p>
        </w:tc>
        <w:tc>
          <w:tcPr>
            <w:tcW w:w="133" w:type="dxa"/>
            <w:tcBorders>
              <w:top w:val="double" w:sz="6"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17" w:type="dxa"/>
            <w:tcBorders>
              <w:top w:val="double" w:sz="6"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2,861,058</w:t>
            </w:r>
          </w:p>
        </w:tc>
        <w:tc>
          <w:tcPr>
            <w:tcW w:w="60" w:type="dxa"/>
            <w:tcBorders>
              <w:top w:val="double" w:sz="6"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152" w:type="dxa"/>
            <w:tcBorders>
              <w:top w:val="double" w:sz="6"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9" w:type="dxa"/>
            <w:tcBorders>
              <w:top w:val="double" w:sz="6"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2,633,913</w:t>
            </w:r>
          </w:p>
        </w:tc>
      </w:tr>
    </w:tbl>
    <w:p>
      <w:pPr>
        <w:pStyle w:val="TextBody"/>
        <w:bidi w:val="0"/>
        <w:spacing w:lineRule="atLeast" w:line="240" w:before="200" w:after="200"/>
        <w:jc w:val="left"/>
        <w:rPr>
          <w:sz w:val="20"/>
        </w:rPr>
      </w:pPr>
      <w:r>
        <w:rPr>
          <w:sz w:val="20"/>
        </w:rPr>
        <w:t>See notes to condensed consolidated financial statements (unaudited).</w:t>
      </w:r>
    </w:p>
    <w:p>
      <w:pPr>
        <w:pStyle w:val="TextBody"/>
        <w:bidi w:val="0"/>
        <w:spacing w:before="0" w:after="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r>
        <w:br w:type="page"/>
      </w:r>
    </w:p>
    <w:p>
      <w:pPr>
        <w:pStyle w:val="TextBody"/>
        <w:bidi w:val="0"/>
        <w:spacing w:lineRule="atLeast" w:line="240" w:before="0" w:after="0"/>
        <w:jc w:val="left"/>
        <w:rPr/>
      </w:pPr>
      <w:hyperlink w:anchor="TOC">
        <w:r>
          <w:rPr>
            <w:rStyle w:val="InternetLink"/>
            <w:strike w:val="false"/>
            <w:dstrike w:val="false"/>
            <w:sz w:val="20"/>
            <w:u w:val="single"/>
            <w:effect w:val="none"/>
          </w:rPr>
          <w:t>Table of Contents</w:t>
        </w:r>
      </w:hyperlink>
    </w:p>
    <w:p>
      <w:pPr>
        <w:pStyle w:val="TextBody"/>
        <w:bidi w:val="0"/>
        <w:spacing w:lineRule="atLeast" w:line="240" w:before="200" w:after="0"/>
        <w:jc w:val="center"/>
        <w:rPr>
          <w:sz w:val="20"/>
        </w:rPr>
      </w:pPr>
      <w:r>
        <w:rPr>
          <w:sz w:val="20"/>
        </w:rPr>
        <w:t>HOVNANIAN ENTERPRISES, INC. AND SUBSIDIARIES</w:t>
      </w:r>
    </w:p>
    <w:p>
      <w:pPr>
        <w:pStyle w:val="TextBody"/>
        <w:bidi w:val="0"/>
        <w:spacing w:before="0" w:after="0"/>
        <w:jc w:val="center"/>
        <w:rPr/>
      </w:pPr>
      <w:hyperlink w:anchor="TOC">
        <w:bookmarkStart w:id="6" w:name="bm_dcbbf59c9fcc0788"/>
        <w:bookmarkEnd w:id="6"/>
        <w:r>
          <w:rPr>
            <w:rStyle w:val="InternetLink"/>
            <w:strike w:val="false"/>
            <w:dstrike w:val="false"/>
            <w:color w:val="000000"/>
            <w:sz w:val="20"/>
            <w:u w:val="none"/>
            <w:effect w:val="none"/>
          </w:rPr>
          <w:t>CONDENSED CONSOLIDATED STATEMENTS OF OPERATIONS</w:t>
        </w:r>
      </w:hyperlink>
    </w:p>
    <w:p>
      <w:pPr>
        <w:pStyle w:val="TextBody"/>
        <w:bidi w:val="0"/>
        <w:spacing w:lineRule="atLeast" w:line="240" w:before="0" w:after="0"/>
        <w:jc w:val="center"/>
        <w:rPr>
          <w:sz w:val="20"/>
        </w:rPr>
      </w:pPr>
      <w:r>
        <w:rPr>
          <w:sz w:val="20"/>
        </w:rPr>
        <w:t>(In thousands, except per share data)</w:t>
      </w:r>
    </w:p>
    <w:p>
      <w:pPr>
        <w:pStyle w:val="TextBody"/>
        <w:bidi w:val="0"/>
        <w:spacing w:lineRule="atLeast" w:line="240" w:before="0" w:after="0"/>
        <w:jc w:val="center"/>
        <w:rPr>
          <w:sz w:val="20"/>
        </w:rPr>
      </w:pPr>
      <w:r>
        <w:rPr>
          <w:sz w:val="20"/>
        </w:rPr>
        <w:t>(Unaudited)</w:t>
      </w:r>
    </w:p>
    <w:p>
      <w:pPr>
        <w:pStyle w:val="TextBody"/>
        <w:bidi w:val="0"/>
        <w:spacing w:lineRule="atLeast" w:line="240" w:before="0" w:after="0"/>
        <w:jc w:val="center"/>
        <w:rPr/>
      </w:pPr>
      <w:r>
        <w:rPr/>
        <w:t> </w:t>
      </w:r>
    </w:p>
    <w:tbl>
      <w:tblPr>
        <w:tblW w:w="10091" w:type="dxa"/>
        <w:jc w:val="left"/>
        <w:tblInd w:w="0" w:type="dxa"/>
        <w:tblLayout w:type="fixed"/>
        <w:tblCellMar>
          <w:top w:w="0" w:type="dxa"/>
          <w:left w:w="0" w:type="dxa"/>
          <w:bottom w:w="0" w:type="dxa"/>
          <w:right w:w="0" w:type="dxa"/>
        </w:tblCellMar>
      </w:tblPr>
      <w:tblGrid>
        <w:gridCol w:w="5120"/>
        <w:gridCol w:w="184"/>
        <w:gridCol w:w="1026"/>
        <w:gridCol w:w="88"/>
        <w:gridCol w:w="184"/>
        <w:gridCol w:w="1026"/>
        <w:gridCol w:w="60"/>
        <w:gridCol w:w="149"/>
        <w:gridCol w:w="1008"/>
        <w:gridCol w:w="71"/>
        <w:gridCol w:w="149"/>
        <w:gridCol w:w="1026"/>
      </w:tblGrid>
      <w:tr>
        <w:trPr/>
        <w:tc>
          <w:tcPr>
            <w:tcW w:w="5120" w:type="dxa"/>
            <w:tcBorders/>
            <w:vAlign w:val="center"/>
          </w:tcPr>
          <w:p>
            <w:pPr>
              <w:pStyle w:val="TableContents"/>
              <w:bidi w:val="0"/>
              <w:spacing w:before="0" w:after="0"/>
              <w:jc w:val="left"/>
              <w:rPr/>
            </w:pPr>
            <w:r>
              <w:rPr/>
              <w:t> </w:t>
            </w:r>
          </w:p>
        </w:tc>
        <w:tc>
          <w:tcPr>
            <w:tcW w:w="2508" w:type="dxa"/>
            <w:gridSpan w:val="5"/>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Three Months Ended July 31,</w:t>
            </w:r>
          </w:p>
        </w:tc>
        <w:tc>
          <w:tcPr>
            <w:tcW w:w="60" w:type="dxa"/>
            <w:tcBorders/>
            <w:vAlign w:val="center"/>
          </w:tcPr>
          <w:p>
            <w:pPr>
              <w:pStyle w:val="TableContents"/>
              <w:bidi w:val="0"/>
              <w:spacing w:before="0" w:after="0"/>
              <w:jc w:val="left"/>
              <w:rPr/>
            </w:pPr>
            <w:r>
              <w:rPr/>
              <w:t> </w:t>
            </w:r>
          </w:p>
        </w:tc>
        <w:tc>
          <w:tcPr>
            <w:tcW w:w="2403" w:type="dxa"/>
            <w:gridSpan w:val="5"/>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Nine Months Ended July 31,</w:t>
            </w:r>
          </w:p>
        </w:tc>
      </w:tr>
      <w:tr>
        <w:trPr/>
        <w:tc>
          <w:tcPr>
            <w:tcW w:w="5120" w:type="dxa"/>
            <w:tcBorders>
              <w:bottom w:val="single" w:sz="8" w:space="0" w:color="000000"/>
            </w:tcBorders>
            <w:tcMar>
              <w:bottom w:w="28" w:type="dxa"/>
            </w:tcMar>
            <w:vAlign w:val="center"/>
          </w:tcPr>
          <w:p>
            <w:pPr>
              <w:pStyle w:val="TableContents"/>
              <w:bidi w:val="0"/>
              <w:spacing w:before="0" w:after="0"/>
              <w:jc w:val="left"/>
              <w:rPr/>
            </w:pPr>
            <w:r>
              <w:rPr/>
              <w:t> </w:t>
            </w:r>
          </w:p>
        </w:tc>
        <w:tc>
          <w:tcPr>
            <w:tcW w:w="1210" w:type="dxa"/>
            <w:gridSpan w:val="2"/>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8" w:type="dxa"/>
            <w:tcBorders>
              <w:bottom w:val="single" w:sz="8" w:space="0" w:color="000000"/>
            </w:tcBorders>
            <w:tcMar>
              <w:bottom w:w="28" w:type="dxa"/>
            </w:tcMar>
            <w:vAlign w:val="center"/>
          </w:tcPr>
          <w:p>
            <w:pPr>
              <w:pStyle w:val="TableContents"/>
              <w:bidi w:val="0"/>
              <w:spacing w:before="0" w:after="0"/>
              <w:jc w:val="left"/>
              <w:rPr/>
            </w:pPr>
            <w:r>
              <w:rPr/>
              <w:t> </w:t>
            </w:r>
          </w:p>
        </w:tc>
        <w:tc>
          <w:tcPr>
            <w:tcW w:w="1210" w:type="dxa"/>
            <w:gridSpan w:val="2"/>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bottom w:val="single" w:sz="8" w:space="0" w:color="000000"/>
            </w:tcBorders>
            <w:tcMar>
              <w:bottom w:w="28" w:type="dxa"/>
            </w:tcMar>
            <w:vAlign w:val="center"/>
          </w:tcPr>
          <w:p>
            <w:pPr>
              <w:pStyle w:val="TableContents"/>
              <w:bidi w:val="0"/>
              <w:spacing w:before="0" w:after="0"/>
              <w:jc w:val="left"/>
              <w:rPr/>
            </w:pPr>
            <w:r>
              <w:rPr/>
              <w:t> </w:t>
            </w:r>
          </w:p>
        </w:tc>
        <w:tc>
          <w:tcPr>
            <w:tcW w:w="1157" w:type="dxa"/>
            <w:gridSpan w:val="2"/>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71" w:type="dxa"/>
            <w:tcBorders>
              <w:bottom w:val="single" w:sz="8" w:space="0" w:color="000000"/>
            </w:tcBorders>
            <w:tcMar>
              <w:bottom w:w="28" w:type="dxa"/>
            </w:tcMar>
            <w:vAlign w:val="center"/>
          </w:tcPr>
          <w:p>
            <w:pPr>
              <w:pStyle w:val="TableContents"/>
              <w:bidi w:val="0"/>
              <w:spacing w:before="0" w:after="0"/>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r>
      <w:tr>
        <w:trPr/>
        <w:tc>
          <w:tcPr>
            <w:tcW w:w="512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84"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88"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84"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4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08"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71"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4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r>
      <w:tr>
        <w:trPr/>
        <w:tc>
          <w:tcPr>
            <w:tcW w:w="5120" w:type="dxa"/>
            <w:tcBorders/>
            <w:shd w:fill="FFFFFF" w:val="clear"/>
            <w:vAlign w:val="center"/>
          </w:tcPr>
          <w:p>
            <w:pPr>
              <w:pStyle w:val="TableContents"/>
              <w:bidi w:val="0"/>
              <w:spacing w:before="0" w:after="0"/>
              <w:jc w:val="left"/>
              <w:rPr/>
            </w:pPr>
            <w:r>
              <w:rPr/>
              <w:t xml:space="preserve">  </w:t>
            </w:r>
            <w:r>
              <w:rPr>
                <w:rFonts w:ascii="Times New Roman" w:hAnsi="Times New Roman"/>
                <w:sz w:val="20"/>
              </w:rPr>
              <w:t>Homebuilding:</w:t>
            </w:r>
          </w:p>
        </w:tc>
        <w:tc>
          <w:tcPr>
            <w:tcW w:w="184"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left"/>
              <w:rPr/>
            </w:pPr>
            <w:r>
              <w:rPr/>
              <w:t> </w:t>
            </w:r>
          </w:p>
        </w:tc>
        <w:tc>
          <w:tcPr>
            <w:tcW w:w="88" w:type="dxa"/>
            <w:tcBorders/>
            <w:shd w:fill="FFFFFF" w:val="clear"/>
            <w:vAlign w:val="center"/>
          </w:tcPr>
          <w:p>
            <w:pPr>
              <w:pStyle w:val="TableContents"/>
              <w:bidi w:val="0"/>
              <w:spacing w:before="0" w:after="0"/>
              <w:jc w:val="left"/>
              <w:rPr/>
            </w:pPr>
            <w:r>
              <w:rPr/>
              <w:t> </w:t>
            </w:r>
          </w:p>
        </w:tc>
        <w:tc>
          <w:tcPr>
            <w:tcW w:w="184"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1008" w:type="dxa"/>
            <w:tcBorders/>
            <w:shd w:fill="FFFFFF" w:val="clear"/>
            <w:vAlign w:val="center"/>
          </w:tcPr>
          <w:p>
            <w:pPr>
              <w:pStyle w:val="TableContents"/>
              <w:bidi w:val="0"/>
              <w:spacing w:before="0" w:after="0"/>
              <w:jc w:val="left"/>
              <w:rPr/>
            </w:pPr>
            <w:r>
              <w:rPr/>
              <w:t> </w:t>
            </w:r>
          </w:p>
        </w:tc>
        <w:tc>
          <w:tcPr>
            <w:tcW w:w="71"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left"/>
              <w:rPr/>
            </w:pPr>
            <w:r>
              <w:rPr/>
              <w:t> </w:t>
            </w:r>
          </w:p>
        </w:tc>
      </w:tr>
      <w:tr>
        <w:trPr/>
        <w:tc>
          <w:tcPr>
            <w:tcW w:w="5120" w:type="dxa"/>
            <w:tcBorders/>
            <w:shd w:fill="CCEEFF" w:val="clear"/>
            <w:vAlign w:val="center"/>
          </w:tcPr>
          <w:p>
            <w:pPr>
              <w:pStyle w:val="TableContents"/>
              <w:bidi w:val="0"/>
              <w:spacing w:before="0" w:after="0"/>
              <w:jc w:val="left"/>
              <w:rPr/>
            </w:pPr>
            <w:r>
              <w:rPr/>
              <w:t xml:space="preserve">    </w:t>
            </w:r>
            <w:r>
              <w:rPr>
                <w:rFonts w:ascii="Times New Roman" w:hAnsi="Times New Roman"/>
                <w:sz w:val="20"/>
              </w:rPr>
              <w:t>Sale of homes</w:t>
            </w:r>
          </w:p>
        </w:tc>
        <w:tc>
          <w:tcPr>
            <w:tcW w:w="18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679,042</w:t>
            </w:r>
          </w:p>
        </w:tc>
        <w:tc>
          <w:tcPr>
            <w:tcW w:w="88" w:type="dxa"/>
            <w:tcBorders/>
            <w:shd w:fill="CCEEFF" w:val="clear"/>
            <w:vAlign w:val="center"/>
          </w:tcPr>
          <w:p>
            <w:pPr>
              <w:pStyle w:val="TableContents"/>
              <w:bidi w:val="0"/>
              <w:spacing w:before="0" w:after="0"/>
              <w:jc w:val="left"/>
              <w:rPr/>
            </w:pPr>
            <w:r>
              <w:rPr/>
              <w:t> </w:t>
            </w:r>
          </w:p>
        </w:tc>
        <w:tc>
          <w:tcPr>
            <w:tcW w:w="18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769,050</w:t>
            </w:r>
          </w:p>
        </w:tc>
        <w:tc>
          <w:tcPr>
            <w:tcW w:w="60"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1,858,989</w:t>
            </w:r>
          </w:p>
        </w:tc>
        <w:tc>
          <w:tcPr>
            <w:tcW w:w="71"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2,066,278</w:t>
            </w:r>
          </w:p>
        </w:tc>
      </w:tr>
      <w:tr>
        <w:trPr/>
        <w:tc>
          <w:tcPr>
            <w:tcW w:w="5120" w:type="dxa"/>
            <w:tcBorders>
              <w:bottom w:val="single" w:sz="8" w:space="0" w:color="000000"/>
            </w:tcBorders>
            <w:shd w:fill="FFFFFF" w:val="clear"/>
            <w:tcMar>
              <w:bottom w:w="28" w:type="dxa"/>
            </w:tcMar>
            <w:vAlign w:val="center"/>
          </w:tcPr>
          <w:p>
            <w:pPr>
              <w:pStyle w:val="TableContents"/>
              <w:bidi w:val="0"/>
              <w:spacing w:before="0" w:after="0"/>
              <w:jc w:val="left"/>
              <w:rPr/>
            </w:pPr>
            <w:r>
              <w:rPr/>
              <w:t xml:space="preserve">    </w:t>
            </w:r>
            <w:r>
              <w:rPr>
                <w:rFonts w:ascii="Times New Roman" w:hAnsi="Times New Roman"/>
                <w:sz w:val="20"/>
              </w:rPr>
              <w:t>Land sales and other revenues</w:t>
            </w:r>
          </w:p>
        </w:tc>
        <w:tc>
          <w:tcPr>
            <w:tcW w:w="184"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3,032</w:t>
            </w:r>
          </w:p>
        </w:tc>
        <w:tc>
          <w:tcPr>
            <w:tcW w:w="88"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2,967</w:t>
            </w:r>
          </w:p>
        </w:tc>
        <w:tc>
          <w:tcPr>
            <w:tcW w:w="60"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08"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80,276</w:t>
            </w:r>
          </w:p>
        </w:tc>
        <w:tc>
          <w:tcPr>
            <w:tcW w:w="71" w:type="dxa"/>
            <w:tcBorders>
              <w:bottom w:val="single" w:sz="8" w:space="0" w:color="000000"/>
            </w:tcBorders>
            <w:shd w:fill="FFFFFF" w:val="clear"/>
            <w:tcMar>
              <w:bottom w:w="28" w:type="dxa"/>
            </w:tcMar>
            <w:vAlign w:val="center"/>
          </w:tcPr>
          <w:p>
            <w:pPr>
              <w:pStyle w:val="TableContents"/>
              <w:bidi w:val="0"/>
              <w:spacing w:before="0" w:after="0"/>
              <w:jc w:val="left"/>
              <w:rPr>
                <w:color w:val="333333"/>
              </w:rPr>
            </w:pPr>
            <w:r>
              <w:rPr>
                <w:color w:val="333333"/>
              </w:rPr>
              <w:t> </w:t>
            </w:r>
          </w:p>
        </w:tc>
        <w:tc>
          <w:tcPr>
            <w:tcW w:w="149"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27,573</w:t>
            </w:r>
          </w:p>
        </w:tc>
      </w:tr>
      <w:tr>
        <w:trPr/>
        <w:tc>
          <w:tcPr>
            <w:tcW w:w="5120" w:type="dxa"/>
            <w:tcBorders>
              <w:top w:val="single" w:sz="8" w:space="0" w:color="000000"/>
            </w:tcBorders>
            <w:shd w:fill="CCEEFF" w:val="clear"/>
            <w:tcMar>
              <w:top w:w="28" w:type="dxa"/>
            </w:tcM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Total homebuilding</w:t>
            </w:r>
          </w:p>
        </w:tc>
        <w:tc>
          <w:tcPr>
            <w:tcW w:w="184"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682,074</w:t>
            </w:r>
          </w:p>
        </w:tc>
        <w:tc>
          <w:tcPr>
            <w:tcW w:w="88"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84"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772,017</w:t>
            </w:r>
          </w:p>
        </w:tc>
        <w:tc>
          <w:tcPr>
            <w:tcW w:w="6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4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0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1,939,265</w:t>
            </w:r>
          </w:p>
        </w:tc>
        <w:tc>
          <w:tcPr>
            <w:tcW w:w="71"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4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2,093,851</w:t>
            </w:r>
          </w:p>
        </w:tc>
      </w:tr>
      <w:tr>
        <w:trPr/>
        <w:tc>
          <w:tcPr>
            <w:tcW w:w="5120" w:type="dxa"/>
            <w:tcBorders>
              <w:bottom w:val="single" w:sz="8" w:space="0" w:color="000000"/>
            </w:tcBorders>
            <w:shd w:fill="FFFFFF" w:val="clear"/>
            <w:tcMar>
              <w:bottom w:w="28" w:type="dxa"/>
            </w:tcMar>
            <w:vAlign w:val="center"/>
          </w:tcPr>
          <w:p>
            <w:pPr>
              <w:pStyle w:val="TableContents"/>
              <w:bidi w:val="0"/>
              <w:spacing w:before="0" w:after="0"/>
              <w:jc w:val="left"/>
              <w:rPr/>
            </w:pPr>
            <w:r>
              <w:rPr/>
              <w:t xml:space="preserve">  </w:t>
            </w:r>
            <w:r>
              <w:rPr>
                <w:rFonts w:ascii="Times New Roman" w:hAnsi="Times New Roman"/>
                <w:sz w:val="20"/>
              </w:rPr>
              <w:t>Financial services</w:t>
            </w:r>
          </w:p>
        </w:tc>
        <w:tc>
          <w:tcPr>
            <w:tcW w:w="184"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23,672</w:t>
            </w:r>
          </w:p>
        </w:tc>
        <w:tc>
          <w:tcPr>
            <w:tcW w:w="88"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28,566</w:t>
            </w:r>
          </w:p>
        </w:tc>
        <w:tc>
          <w:tcPr>
            <w:tcW w:w="60"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08"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66,078</w:t>
            </w:r>
          </w:p>
        </w:tc>
        <w:tc>
          <w:tcPr>
            <w:tcW w:w="71"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66,826</w:t>
            </w:r>
          </w:p>
        </w:tc>
      </w:tr>
      <w:tr>
        <w:trPr/>
        <w:tc>
          <w:tcPr>
            <w:tcW w:w="512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ind w:left="432" w:right="0" w:hanging="0"/>
              <w:jc w:val="left"/>
              <w:rPr>
                <w:rFonts w:ascii="Times New Roman" w:hAnsi="Times New Roman"/>
                <w:sz w:val="20"/>
              </w:rPr>
            </w:pPr>
            <w:r>
              <w:rPr>
                <w:rFonts w:ascii="Times New Roman" w:hAnsi="Times New Roman"/>
                <w:sz w:val="20"/>
              </w:rPr>
              <w:t>Total revenues</w:t>
            </w:r>
          </w:p>
        </w:tc>
        <w:tc>
          <w:tcPr>
            <w:tcW w:w="18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705,746</w:t>
            </w:r>
          </w:p>
        </w:tc>
        <w:tc>
          <w:tcPr>
            <w:tcW w:w="8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8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800,583</w:t>
            </w:r>
          </w:p>
        </w:tc>
        <w:tc>
          <w:tcPr>
            <w:tcW w:w="6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2,005,343</w:t>
            </w:r>
          </w:p>
        </w:tc>
        <w:tc>
          <w:tcPr>
            <w:tcW w:w="7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2,160,677</w:t>
            </w:r>
          </w:p>
        </w:tc>
      </w:tr>
      <w:tr>
        <w:trPr/>
        <w:tc>
          <w:tcPr>
            <w:tcW w:w="5120"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84"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88"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84"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49"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08"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71"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49"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r>
      <w:tr>
        <w:trPr/>
        <w:tc>
          <w:tcPr>
            <w:tcW w:w="51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Expenses:</w:t>
            </w:r>
          </w:p>
        </w:tc>
        <w:tc>
          <w:tcPr>
            <w:tcW w:w="184"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right"/>
              <w:rPr/>
            </w:pPr>
            <w:r>
              <w:rPr/>
              <w:t> </w:t>
            </w:r>
          </w:p>
        </w:tc>
        <w:tc>
          <w:tcPr>
            <w:tcW w:w="88" w:type="dxa"/>
            <w:tcBorders/>
            <w:shd w:fill="CCEEFF" w:val="clear"/>
            <w:vAlign w:val="center"/>
          </w:tcPr>
          <w:p>
            <w:pPr>
              <w:pStyle w:val="TableContents"/>
              <w:bidi w:val="0"/>
              <w:spacing w:before="0" w:after="0"/>
              <w:jc w:val="left"/>
              <w:rPr/>
            </w:pPr>
            <w:r>
              <w:rPr/>
              <w:t> </w:t>
            </w:r>
          </w:p>
        </w:tc>
        <w:tc>
          <w:tcPr>
            <w:tcW w:w="184"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0"/>
              <w:jc w:val="right"/>
              <w:rPr/>
            </w:pPr>
            <w:r>
              <w:rPr/>
              <w:t> </w:t>
            </w:r>
          </w:p>
        </w:tc>
        <w:tc>
          <w:tcPr>
            <w:tcW w:w="71"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right"/>
              <w:rPr/>
            </w:pPr>
            <w:r>
              <w:rPr/>
              <w:t> </w:t>
            </w:r>
          </w:p>
        </w:tc>
      </w:tr>
      <w:tr>
        <w:trPr/>
        <w:tc>
          <w:tcPr>
            <w:tcW w:w="5120" w:type="dxa"/>
            <w:tcBorders/>
            <w:shd w:fill="FFFFFF" w:val="clear"/>
            <w:vAlign w:val="center"/>
          </w:tcPr>
          <w:p>
            <w:pPr>
              <w:pStyle w:val="TableContents"/>
              <w:bidi w:val="0"/>
              <w:spacing w:before="0" w:after="0"/>
              <w:jc w:val="left"/>
              <w:rPr/>
            </w:pPr>
            <w:r>
              <w:rPr/>
              <w:t xml:space="preserve">  </w:t>
            </w:r>
            <w:r>
              <w:rPr>
                <w:rFonts w:ascii="Times New Roman" w:hAnsi="Times New Roman"/>
                <w:sz w:val="20"/>
              </w:rPr>
              <w:t>Homebuilding:</w:t>
            </w:r>
          </w:p>
        </w:tc>
        <w:tc>
          <w:tcPr>
            <w:tcW w:w="184"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pPr>
            <w:r>
              <w:rPr/>
              <w:t> </w:t>
            </w:r>
          </w:p>
        </w:tc>
        <w:tc>
          <w:tcPr>
            <w:tcW w:w="88" w:type="dxa"/>
            <w:tcBorders/>
            <w:shd w:fill="FFFFFF" w:val="clear"/>
            <w:vAlign w:val="center"/>
          </w:tcPr>
          <w:p>
            <w:pPr>
              <w:pStyle w:val="TableContents"/>
              <w:bidi w:val="0"/>
              <w:spacing w:before="0" w:after="0"/>
              <w:jc w:val="left"/>
              <w:rPr/>
            </w:pPr>
            <w:r>
              <w:rPr/>
              <w:t> </w:t>
            </w:r>
          </w:p>
        </w:tc>
        <w:tc>
          <w:tcPr>
            <w:tcW w:w="184"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1008" w:type="dxa"/>
            <w:tcBorders/>
            <w:shd w:fill="FFFFFF" w:val="clear"/>
            <w:vAlign w:val="center"/>
          </w:tcPr>
          <w:p>
            <w:pPr>
              <w:pStyle w:val="TableContents"/>
              <w:bidi w:val="0"/>
              <w:spacing w:before="0" w:after="0"/>
              <w:jc w:val="right"/>
              <w:rPr/>
            </w:pPr>
            <w:r>
              <w:rPr/>
              <w:t> </w:t>
            </w:r>
          </w:p>
        </w:tc>
        <w:tc>
          <w:tcPr>
            <w:tcW w:w="71"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pPr>
            <w:r>
              <w:rPr/>
              <w:t> </w:t>
            </w:r>
          </w:p>
        </w:tc>
      </w:tr>
      <w:tr>
        <w:trPr/>
        <w:tc>
          <w:tcPr>
            <w:tcW w:w="5120" w:type="dxa"/>
            <w:tcBorders/>
            <w:shd w:fill="CCEEFF" w:val="clear"/>
            <w:vAlign w:val="center"/>
          </w:tcPr>
          <w:p>
            <w:pPr>
              <w:pStyle w:val="TableContents"/>
              <w:bidi w:val="0"/>
              <w:spacing w:before="0" w:after="0"/>
              <w:jc w:val="left"/>
              <w:rPr/>
            </w:pPr>
            <w:r>
              <w:rPr/>
              <w:t xml:space="preserve">    </w:t>
            </w:r>
            <w:r>
              <w:rPr>
                <w:rFonts w:ascii="Times New Roman" w:hAnsi="Times New Roman"/>
                <w:sz w:val="20"/>
              </w:rPr>
              <w:t>Cost of sales, excluding interest</w:t>
            </w:r>
          </w:p>
        </w:tc>
        <w:tc>
          <w:tcPr>
            <w:tcW w:w="184"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579,576</w:t>
            </w:r>
          </w:p>
        </w:tc>
        <w:tc>
          <w:tcPr>
            <w:tcW w:w="88" w:type="dxa"/>
            <w:tcBorders/>
            <w:shd w:fill="CCEEFF" w:val="clear"/>
            <w:vAlign w:val="center"/>
          </w:tcPr>
          <w:p>
            <w:pPr>
              <w:pStyle w:val="TableContents"/>
              <w:bidi w:val="0"/>
              <w:spacing w:before="0" w:after="0"/>
              <w:jc w:val="left"/>
              <w:rPr/>
            </w:pPr>
            <w:r>
              <w:rPr/>
              <w:t> </w:t>
            </w:r>
          </w:p>
        </w:tc>
        <w:tc>
          <w:tcPr>
            <w:tcW w:w="184"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636,256</w:t>
            </w:r>
          </w:p>
        </w:tc>
        <w:tc>
          <w:tcPr>
            <w:tcW w:w="60"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1,620,268</w:t>
            </w:r>
          </w:p>
        </w:tc>
        <w:tc>
          <w:tcPr>
            <w:tcW w:w="71"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1,712,835</w:t>
            </w:r>
          </w:p>
        </w:tc>
      </w:tr>
      <w:tr>
        <w:trPr/>
        <w:tc>
          <w:tcPr>
            <w:tcW w:w="5120" w:type="dxa"/>
            <w:tcBorders/>
            <w:shd w:fill="FFFFFF" w:val="clear"/>
            <w:vAlign w:val="center"/>
          </w:tcPr>
          <w:p>
            <w:pPr>
              <w:pStyle w:val="TableContents"/>
              <w:bidi w:val="0"/>
              <w:spacing w:before="0" w:after="0"/>
              <w:jc w:val="left"/>
              <w:rPr/>
            </w:pPr>
            <w:r>
              <w:rPr/>
              <w:t xml:space="preserve">    </w:t>
            </w:r>
            <w:r>
              <w:rPr>
                <w:rFonts w:ascii="Times New Roman" w:hAnsi="Times New Roman"/>
                <w:sz w:val="20"/>
              </w:rPr>
              <w:t>Cost of sales interest</w:t>
            </w:r>
          </w:p>
        </w:tc>
        <w:tc>
          <w:tcPr>
            <w:tcW w:w="184"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19,098</w:t>
            </w:r>
          </w:p>
        </w:tc>
        <w:tc>
          <w:tcPr>
            <w:tcW w:w="88" w:type="dxa"/>
            <w:tcBorders/>
            <w:shd w:fill="FFFFFF" w:val="clear"/>
            <w:vAlign w:val="center"/>
          </w:tcPr>
          <w:p>
            <w:pPr>
              <w:pStyle w:val="TableContents"/>
              <w:bidi w:val="0"/>
              <w:spacing w:before="0" w:after="0"/>
              <w:jc w:val="left"/>
              <w:rPr/>
            </w:pPr>
            <w:r>
              <w:rPr/>
              <w:t> </w:t>
            </w:r>
          </w:p>
        </w:tc>
        <w:tc>
          <w:tcPr>
            <w:tcW w:w="184"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26,868</w:t>
            </w:r>
          </w:p>
        </w:tc>
        <w:tc>
          <w:tcPr>
            <w:tcW w:w="60"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10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51,655</w:t>
            </w:r>
          </w:p>
        </w:tc>
        <w:tc>
          <w:tcPr>
            <w:tcW w:w="71"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66,162</w:t>
            </w:r>
          </w:p>
        </w:tc>
      </w:tr>
      <w:tr>
        <w:trPr/>
        <w:tc>
          <w:tcPr>
            <w:tcW w:w="5120" w:type="dxa"/>
            <w:tcBorders>
              <w:bottom w:val="single" w:sz="8" w:space="0" w:color="000000"/>
            </w:tcBorders>
            <w:shd w:fill="CCEEFF" w:val="clear"/>
            <w:tcMar>
              <w:bottom w:w="28" w:type="dxa"/>
            </w:tcMar>
            <w:vAlign w:val="center"/>
          </w:tcPr>
          <w:p>
            <w:pPr>
              <w:pStyle w:val="TableContents"/>
              <w:bidi w:val="0"/>
              <w:spacing w:before="0" w:after="0"/>
              <w:jc w:val="left"/>
              <w:rPr/>
            </w:pPr>
            <w:r>
              <w:rPr/>
              <w:t xml:space="preserve">    </w:t>
            </w:r>
            <w:r>
              <w:rPr>
                <w:rFonts w:ascii="Times New Roman" w:hAnsi="Times New Roman"/>
                <w:sz w:val="20"/>
              </w:rPr>
              <w:t>Inventory impairments and land option write-offs</w:t>
            </w:r>
          </w:p>
        </w:tc>
        <w:tc>
          <w:tcPr>
            <w:tcW w:w="184"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493</w:t>
            </w:r>
          </w:p>
        </w:tc>
        <w:tc>
          <w:tcPr>
            <w:tcW w:w="88"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16,045</w:t>
            </w:r>
          </w:p>
        </w:tc>
        <w:tc>
          <w:tcPr>
            <w:tcW w:w="6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11,602</w:t>
            </w:r>
          </w:p>
        </w:tc>
        <w:tc>
          <w:tcPr>
            <w:tcW w:w="71"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20,141</w:t>
            </w:r>
          </w:p>
        </w:tc>
      </w:tr>
      <w:tr>
        <w:trPr/>
        <w:tc>
          <w:tcPr>
            <w:tcW w:w="5120" w:type="dxa"/>
            <w:tcBorders>
              <w:top w:val="single" w:sz="8" w:space="0" w:color="000000"/>
            </w:tcBorders>
            <w:shd w:fill="FFFFFF" w:val="clear"/>
            <w:tcMar>
              <w:top w:w="28" w:type="dxa"/>
            </w:tcMar>
            <w:vAlign w:val="center"/>
          </w:tcPr>
          <w:p>
            <w:pPr>
              <w:pStyle w:val="TableContents"/>
              <w:bidi w:val="0"/>
              <w:spacing w:before="0" w:after="0"/>
              <w:jc w:val="left"/>
              <w:rPr/>
            </w:pPr>
            <w:r>
              <w:rPr/>
              <w:t xml:space="preserve">        </w:t>
            </w:r>
            <w:r>
              <w:rPr>
                <w:rFonts w:ascii="Times New Roman" w:hAnsi="Times New Roman"/>
                <w:sz w:val="20"/>
              </w:rPr>
              <w:t>Total cost of sales</w:t>
            </w:r>
          </w:p>
        </w:tc>
        <w:tc>
          <w:tcPr>
            <w:tcW w:w="184"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599,167</w:t>
            </w:r>
          </w:p>
        </w:tc>
        <w:tc>
          <w:tcPr>
            <w:tcW w:w="88"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84"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679,169</w:t>
            </w:r>
          </w:p>
        </w:tc>
        <w:tc>
          <w:tcPr>
            <w:tcW w:w="60"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49"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08"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1,683,525</w:t>
            </w:r>
          </w:p>
        </w:tc>
        <w:tc>
          <w:tcPr>
            <w:tcW w:w="71"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49"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1,799,138</w:t>
            </w:r>
          </w:p>
        </w:tc>
      </w:tr>
      <w:tr>
        <w:trPr/>
        <w:tc>
          <w:tcPr>
            <w:tcW w:w="5120" w:type="dxa"/>
            <w:tcBorders>
              <w:bottom w:val="single" w:sz="8" w:space="0" w:color="000000"/>
            </w:tcBorders>
            <w:shd w:fill="CCEEFF" w:val="clear"/>
            <w:tcMar>
              <w:bottom w:w="28" w:type="dxa"/>
            </w:tcMar>
            <w:vAlign w:val="center"/>
          </w:tcPr>
          <w:p>
            <w:pPr>
              <w:pStyle w:val="TableContents"/>
              <w:bidi w:val="0"/>
              <w:spacing w:before="0" w:after="0"/>
              <w:jc w:val="left"/>
              <w:rPr/>
            </w:pPr>
            <w:r>
              <w:rPr/>
              <w:t xml:space="preserve">   </w:t>
            </w:r>
            <w:r>
              <w:rPr>
                <w:rFonts w:ascii="Times New Roman" w:hAnsi="Times New Roman"/>
                <w:sz w:val="20"/>
              </w:rPr>
              <w:t>Selling, general and administrative</w:t>
            </w:r>
          </w:p>
        </w:tc>
        <w:tc>
          <w:tcPr>
            <w:tcW w:w="184"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49,469</w:t>
            </w:r>
          </w:p>
        </w:tc>
        <w:tc>
          <w:tcPr>
            <w:tcW w:w="88"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55,770</w:t>
            </w:r>
          </w:p>
        </w:tc>
        <w:tc>
          <w:tcPr>
            <w:tcW w:w="6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156,748</w:t>
            </w:r>
          </w:p>
        </w:tc>
        <w:tc>
          <w:tcPr>
            <w:tcW w:w="71"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161,087</w:t>
            </w:r>
          </w:p>
        </w:tc>
      </w:tr>
      <w:tr>
        <w:trPr/>
        <w:tc>
          <w:tcPr>
            <w:tcW w:w="5120" w:type="dxa"/>
            <w:tcBorders>
              <w:top w:val="single" w:sz="8" w:space="0" w:color="000000"/>
            </w:tcBorders>
            <w:shd w:fill="FFFFFF" w:val="clear"/>
            <w:tcMar>
              <w:top w:w="28" w:type="dxa"/>
            </w:tcMar>
            <w:vAlign w:val="center"/>
          </w:tcPr>
          <w:p>
            <w:pPr>
              <w:pStyle w:val="TableContents"/>
              <w:bidi w:val="0"/>
              <w:spacing w:before="0" w:after="0"/>
              <w:jc w:val="left"/>
              <w:rPr/>
            </w:pPr>
            <w:r>
              <w:rPr/>
              <w:t>        </w:t>
            </w:r>
            <w:r>
              <w:rPr>
                <w:rFonts w:ascii="Times New Roman" w:hAnsi="Times New Roman"/>
                <w:sz w:val="20"/>
              </w:rPr>
              <w:t>Total homebuilding expenses</w:t>
            </w:r>
          </w:p>
        </w:tc>
        <w:tc>
          <w:tcPr>
            <w:tcW w:w="184"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648,636</w:t>
            </w:r>
          </w:p>
        </w:tc>
        <w:tc>
          <w:tcPr>
            <w:tcW w:w="88"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84"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734,939</w:t>
            </w:r>
          </w:p>
        </w:tc>
        <w:tc>
          <w:tcPr>
            <w:tcW w:w="60"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49"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08"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1,840,273</w:t>
            </w:r>
          </w:p>
        </w:tc>
        <w:tc>
          <w:tcPr>
            <w:tcW w:w="71"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49"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1,960,225</w:t>
            </w:r>
          </w:p>
        </w:tc>
      </w:tr>
      <w:tr>
        <w:trPr/>
        <w:tc>
          <w:tcPr>
            <w:tcW w:w="5120" w:type="dxa"/>
            <w:tcBorders/>
            <w:shd w:fill="CCEEFF" w:val="clear"/>
            <w:vAlign w:val="center"/>
          </w:tcPr>
          <w:p>
            <w:pPr>
              <w:pStyle w:val="TableContents"/>
              <w:bidi w:val="0"/>
              <w:spacing w:before="0" w:after="0"/>
              <w:jc w:val="left"/>
              <w:rPr/>
            </w:pPr>
            <w:r>
              <w:rPr/>
              <w:t> </w:t>
            </w:r>
          </w:p>
        </w:tc>
        <w:tc>
          <w:tcPr>
            <w:tcW w:w="184"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right"/>
              <w:rPr/>
            </w:pPr>
            <w:r>
              <w:rPr/>
              <w:t> </w:t>
            </w:r>
          </w:p>
        </w:tc>
        <w:tc>
          <w:tcPr>
            <w:tcW w:w="88" w:type="dxa"/>
            <w:tcBorders/>
            <w:shd w:fill="CCEEFF" w:val="clear"/>
            <w:vAlign w:val="center"/>
          </w:tcPr>
          <w:p>
            <w:pPr>
              <w:pStyle w:val="TableContents"/>
              <w:bidi w:val="0"/>
              <w:spacing w:before="0" w:after="0"/>
              <w:jc w:val="left"/>
              <w:rPr/>
            </w:pPr>
            <w:r>
              <w:rPr/>
              <w:t> </w:t>
            </w:r>
          </w:p>
        </w:tc>
        <w:tc>
          <w:tcPr>
            <w:tcW w:w="184"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0"/>
              <w:jc w:val="right"/>
              <w:rPr/>
            </w:pPr>
            <w:r>
              <w:rPr/>
              <w:t> </w:t>
            </w:r>
          </w:p>
        </w:tc>
        <w:tc>
          <w:tcPr>
            <w:tcW w:w="71"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right"/>
              <w:rPr/>
            </w:pPr>
            <w:r>
              <w:rPr/>
              <w:t> </w:t>
            </w:r>
          </w:p>
        </w:tc>
      </w:tr>
      <w:tr>
        <w:trPr/>
        <w:tc>
          <w:tcPr>
            <w:tcW w:w="5120" w:type="dxa"/>
            <w:tcBorders/>
            <w:shd w:fill="FFFFFF" w:val="clear"/>
            <w:vAlign w:val="center"/>
          </w:tcPr>
          <w:p>
            <w:pPr>
              <w:pStyle w:val="TableContents"/>
              <w:bidi w:val="0"/>
              <w:spacing w:before="0" w:after="0"/>
              <w:jc w:val="left"/>
              <w:rPr/>
            </w:pPr>
            <w:r>
              <w:rPr/>
              <w:t xml:space="preserve">  </w:t>
            </w:r>
            <w:r>
              <w:rPr>
                <w:rFonts w:ascii="Times New Roman" w:hAnsi="Times New Roman"/>
                <w:sz w:val="20"/>
              </w:rPr>
              <w:t>Financial services</w:t>
            </w:r>
          </w:p>
        </w:tc>
        <w:tc>
          <w:tcPr>
            <w:tcW w:w="184"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13,980</w:t>
            </w:r>
          </w:p>
        </w:tc>
        <w:tc>
          <w:tcPr>
            <w:tcW w:w="88" w:type="dxa"/>
            <w:tcBorders/>
            <w:shd w:fill="FFFFFF" w:val="clear"/>
            <w:vAlign w:val="center"/>
          </w:tcPr>
          <w:p>
            <w:pPr>
              <w:pStyle w:val="TableContents"/>
              <w:bidi w:val="0"/>
              <w:spacing w:before="0" w:after="0"/>
              <w:jc w:val="left"/>
              <w:rPr/>
            </w:pPr>
            <w:r>
              <w:rPr/>
              <w:t> </w:t>
            </w:r>
          </w:p>
        </w:tc>
        <w:tc>
          <w:tcPr>
            <w:tcW w:w="184"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14,715</w:t>
            </w:r>
          </w:p>
        </w:tc>
        <w:tc>
          <w:tcPr>
            <w:tcW w:w="60"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10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40,576</w:t>
            </w:r>
          </w:p>
        </w:tc>
        <w:tc>
          <w:tcPr>
            <w:tcW w:w="71"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41,043</w:t>
            </w:r>
          </w:p>
        </w:tc>
      </w:tr>
      <w:tr>
        <w:trPr/>
        <w:tc>
          <w:tcPr>
            <w:tcW w:w="5120" w:type="dxa"/>
            <w:tcBorders/>
            <w:shd w:fill="CCEEFF" w:val="clear"/>
            <w:vAlign w:val="center"/>
          </w:tcPr>
          <w:p>
            <w:pPr>
              <w:pStyle w:val="TableContents"/>
              <w:bidi w:val="0"/>
              <w:spacing w:before="0" w:after="0"/>
              <w:jc w:val="left"/>
              <w:rPr/>
            </w:pPr>
            <w:r>
              <w:rPr/>
              <w:t xml:space="preserve">  </w:t>
            </w:r>
            <w:r>
              <w:rPr>
                <w:rFonts w:ascii="Times New Roman" w:hAnsi="Times New Roman"/>
                <w:sz w:val="20"/>
              </w:rPr>
              <w:t>Corporate general and administrative</w:t>
            </w:r>
          </w:p>
        </w:tc>
        <w:tc>
          <w:tcPr>
            <w:tcW w:w="184"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37,399</w:t>
            </w:r>
          </w:p>
        </w:tc>
        <w:tc>
          <w:tcPr>
            <w:tcW w:w="88" w:type="dxa"/>
            <w:tcBorders/>
            <w:shd w:fill="CCEEFF" w:val="clear"/>
            <w:vAlign w:val="center"/>
          </w:tcPr>
          <w:p>
            <w:pPr>
              <w:pStyle w:val="TableContents"/>
              <w:bidi w:val="0"/>
              <w:spacing w:before="0" w:after="0"/>
              <w:jc w:val="left"/>
              <w:rPr/>
            </w:pPr>
            <w:r>
              <w:rPr/>
              <w:t> </w:t>
            </w:r>
          </w:p>
        </w:tc>
        <w:tc>
          <w:tcPr>
            <w:tcW w:w="184"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35,029</w:t>
            </w:r>
          </w:p>
        </w:tc>
        <w:tc>
          <w:tcPr>
            <w:tcW w:w="60"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98,116</w:t>
            </w:r>
          </w:p>
        </w:tc>
        <w:tc>
          <w:tcPr>
            <w:tcW w:w="71"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97,221</w:t>
            </w:r>
          </w:p>
        </w:tc>
      </w:tr>
      <w:tr>
        <w:trPr/>
        <w:tc>
          <w:tcPr>
            <w:tcW w:w="5120" w:type="dxa"/>
            <w:tcBorders/>
            <w:shd w:fill="FFFFFF" w:val="clear"/>
            <w:vAlign w:val="center"/>
          </w:tcPr>
          <w:p>
            <w:pPr>
              <w:pStyle w:val="TableContents"/>
              <w:bidi w:val="0"/>
              <w:spacing w:before="0" w:after="0"/>
              <w:jc w:val="left"/>
              <w:rPr/>
            </w:pPr>
            <w:r>
              <w:rPr/>
              <w:t xml:space="preserve">  </w:t>
            </w:r>
            <w:r>
              <w:rPr>
                <w:rFonts w:ascii="Times New Roman" w:hAnsi="Times New Roman"/>
                <w:sz w:val="20"/>
              </w:rPr>
              <w:t>Other interest</w:t>
            </w:r>
          </w:p>
        </w:tc>
        <w:tc>
          <w:tcPr>
            <w:tcW w:w="184"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11,377</w:t>
            </w:r>
          </w:p>
        </w:tc>
        <w:tc>
          <w:tcPr>
            <w:tcW w:w="88" w:type="dxa"/>
            <w:tcBorders/>
            <w:shd w:fill="FFFFFF" w:val="clear"/>
            <w:vAlign w:val="center"/>
          </w:tcPr>
          <w:p>
            <w:pPr>
              <w:pStyle w:val="TableContents"/>
              <w:bidi w:val="0"/>
              <w:spacing w:before="0" w:after="0"/>
              <w:jc w:val="left"/>
              <w:rPr/>
            </w:pPr>
            <w:r>
              <w:rPr/>
              <w:t> </w:t>
            </w:r>
          </w:p>
        </w:tc>
        <w:tc>
          <w:tcPr>
            <w:tcW w:w="184"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7,149</w:t>
            </w:r>
          </w:p>
        </w:tc>
        <w:tc>
          <w:tcPr>
            <w:tcW w:w="60"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10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36,025</w:t>
            </w:r>
          </w:p>
        </w:tc>
        <w:tc>
          <w:tcPr>
            <w:tcW w:w="71"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25,811</w:t>
            </w:r>
          </w:p>
        </w:tc>
      </w:tr>
      <w:tr>
        <w:trPr/>
        <w:tc>
          <w:tcPr>
            <w:tcW w:w="5120" w:type="dxa"/>
            <w:tcBorders>
              <w:bottom w:val="single" w:sz="8" w:space="0" w:color="000000"/>
            </w:tcBorders>
            <w:shd w:fill="CCEEFF" w:val="clear"/>
            <w:tcMar>
              <w:bottom w:w="28" w:type="dxa"/>
            </w:tcMar>
            <w:vAlign w:val="center"/>
          </w:tcPr>
          <w:p>
            <w:pPr>
              <w:pStyle w:val="TableContents"/>
              <w:bidi w:val="0"/>
              <w:spacing w:before="0" w:after="0"/>
              <w:jc w:val="left"/>
              <w:rPr/>
            </w:pPr>
            <w:r>
              <w:rPr/>
              <w:t xml:space="preserve">  </w:t>
            </w:r>
            <w:r>
              <w:rPr>
                <w:rFonts w:ascii="Times New Roman" w:hAnsi="Times New Roman"/>
                <w:sz w:val="20"/>
              </w:rPr>
              <w:t>Other expense (income), net (1)</w:t>
            </w:r>
          </w:p>
        </w:tc>
        <w:tc>
          <w:tcPr>
            <w:tcW w:w="184"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526</w:t>
            </w:r>
          </w:p>
        </w:tc>
        <w:tc>
          <w:tcPr>
            <w:tcW w:w="88"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460</w:t>
            </w:r>
          </w:p>
        </w:tc>
        <w:tc>
          <w:tcPr>
            <w:tcW w:w="6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(30,182)</w:t>
            </w:r>
          </w:p>
        </w:tc>
        <w:tc>
          <w:tcPr>
            <w:tcW w:w="71"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(19,660)</w:t>
            </w:r>
          </w:p>
        </w:tc>
      </w:tr>
      <w:tr>
        <w:trPr/>
        <w:tc>
          <w:tcPr>
            <w:tcW w:w="512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xml:space="preserve">        </w:t>
            </w:r>
            <w:r>
              <w:rPr>
                <w:rFonts w:ascii="Times New Roman" w:hAnsi="Times New Roman"/>
                <w:sz w:val="20"/>
              </w:rPr>
              <w:t>Total expenses</w:t>
            </w:r>
          </w:p>
        </w:tc>
        <w:tc>
          <w:tcPr>
            <w:tcW w:w="184"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711,918</w:t>
            </w:r>
          </w:p>
        </w:tc>
        <w:tc>
          <w:tcPr>
            <w:tcW w:w="88"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84"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792,292</w:t>
            </w:r>
          </w:p>
        </w:tc>
        <w:tc>
          <w:tcPr>
            <w:tcW w:w="6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08"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1,984,808</w:t>
            </w:r>
          </w:p>
        </w:tc>
        <w:tc>
          <w:tcPr>
            <w:tcW w:w="7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2,104,640</w:t>
            </w:r>
          </w:p>
        </w:tc>
      </w:tr>
      <w:tr>
        <w:trPr/>
        <w:tc>
          <w:tcPr>
            <w:tcW w:w="512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Gain on extinguishment of debt, net</w:t>
            </w:r>
          </w:p>
        </w:tc>
        <w:tc>
          <w:tcPr>
            <w:tcW w:w="18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8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399</w:t>
            </w:r>
          </w:p>
        </w:tc>
      </w:tr>
      <w:tr>
        <w:trPr/>
        <w:tc>
          <w:tcPr>
            <w:tcW w:w="512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Income from unconsolidated joint ventures</w:t>
            </w:r>
          </w:p>
        </w:tc>
        <w:tc>
          <w:tcPr>
            <w:tcW w:w="184"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3,397</w:t>
            </w:r>
          </w:p>
        </w:tc>
        <w:tc>
          <w:tcPr>
            <w:tcW w:w="88"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84"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15,511</w:t>
            </w:r>
          </w:p>
        </w:tc>
        <w:tc>
          <w:tcPr>
            <w:tcW w:w="6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08"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5,731</w:t>
            </w:r>
          </w:p>
        </w:tc>
        <w:tc>
          <w:tcPr>
            <w:tcW w:w="7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33,759</w:t>
            </w:r>
          </w:p>
        </w:tc>
      </w:tr>
      <w:tr>
        <w:trPr/>
        <w:tc>
          <w:tcPr>
            <w:tcW w:w="512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(Loss) income before income taxes</w:t>
            </w:r>
          </w:p>
        </w:tc>
        <w:tc>
          <w:tcPr>
            <w:tcW w:w="18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(2,775)</w:t>
            </w:r>
          </w:p>
        </w:tc>
        <w:tc>
          <w:tcPr>
            <w:tcW w:w="8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8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23,802</w:t>
            </w:r>
          </w:p>
        </w:tc>
        <w:tc>
          <w:tcPr>
            <w:tcW w:w="6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26,266</w:t>
            </w:r>
          </w:p>
        </w:tc>
        <w:tc>
          <w:tcPr>
            <w:tcW w:w="7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90,195</w:t>
            </w:r>
          </w:p>
        </w:tc>
      </w:tr>
      <w:tr>
        <w:trPr/>
        <w:tc>
          <w:tcPr>
            <w:tcW w:w="5120" w:type="dxa"/>
            <w:tcBorders>
              <w:bottom w:val="single" w:sz="8" w:space="0" w:color="000000"/>
            </w:tcBorders>
            <w:shd w:fill="FFFFFF" w:val="clear"/>
            <w:tcMar>
              <w:bottom w:w="28" w:type="dxa"/>
            </w:tcMar>
            <w:vAlign w:val="center"/>
          </w:tcPr>
          <w:p>
            <w:pPr>
              <w:pStyle w:val="TableContents"/>
              <w:bidi w:val="0"/>
              <w:spacing w:before="0" w:after="0"/>
              <w:jc w:val="left"/>
              <w:rPr/>
            </w:pPr>
            <w:r>
              <w:rPr/>
              <w:t xml:space="preserve">  </w:t>
            </w:r>
            <w:r>
              <w:rPr>
                <w:rFonts w:ascii="Times New Roman" w:hAnsi="Times New Roman"/>
                <w:sz w:val="20"/>
              </w:rPr>
              <w:t>(Benefit) provision for income taxes</w:t>
            </w:r>
          </w:p>
        </w:tc>
        <w:tc>
          <w:tcPr>
            <w:tcW w:w="184"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(560)</w:t>
            </w:r>
          </w:p>
        </w:tc>
        <w:tc>
          <w:tcPr>
            <w:tcW w:w="88"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84"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7,187</w:t>
            </w:r>
          </w:p>
        </w:tc>
        <w:tc>
          <w:tcPr>
            <w:tcW w:w="6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08"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8,217</w:t>
            </w:r>
          </w:p>
        </w:tc>
        <w:tc>
          <w:tcPr>
            <w:tcW w:w="71"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25,663</w:t>
            </w:r>
          </w:p>
        </w:tc>
      </w:tr>
      <w:tr>
        <w:trPr/>
        <w:tc>
          <w:tcPr>
            <w:tcW w:w="512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Net (loss) income</w:t>
            </w:r>
          </w:p>
        </w:tc>
        <w:tc>
          <w:tcPr>
            <w:tcW w:w="184"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(2,215)</w:t>
            </w:r>
          </w:p>
        </w:tc>
        <w:tc>
          <w:tcPr>
            <w:tcW w:w="88"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84"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16,615</w:t>
            </w:r>
          </w:p>
        </w:tc>
        <w:tc>
          <w:tcPr>
            <w:tcW w:w="6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4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0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18,049</w:t>
            </w:r>
          </w:p>
        </w:tc>
        <w:tc>
          <w:tcPr>
            <w:tcW w:w="71"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4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64,532</w:t>
            </w:r>
          </w:p>
        </w:tc>
      </w:tr>
      <w:tr>
        <w:trPr/>
        <w:tc>
          <w:tcPr>
            <w:tcW w:w="5120" w:type="dxa"/>
            <w:tcBorders>
              <w:bottom w:val="single" w:sz="8" w:space="0" w:color="000000"/>
            </w:tcBorders>
            <w:shd w:fill="FFFFFF" w:val="clear"/>
            <w:tcMar>
              <w:bottom w:w="28" w:type="dxa"/>
            </w:tcMar>
            <w:vAlign w:val="center"/>
          </w:tcPr>
          <w:p>
            <w:pPr>
              <w:pStyle w:val="TableContents"/>
              <w:bidi w:val="0"/>
              <w:spacing w:before="0" w:after="0"/>
              <w:jc w:val="left"/>
              <w:rPr/>
            </w:pPr>
            <w:r>
              <w:rPr/>
              <w:t xml:space="preserve">  </w:t>
            </w:r>
            <w:r>
              <w:rPr>
                <w:rFonts w:ascii="Times New Roman" w:hAnsi="Times New Roman"/>
                <w:sz w:val="20"/>
              </w:rPr>
              <w:t>Less: net (loss) income attributable to noncontrolling interest</w:t>
            </w:r>
          </w:p>
        </w:tc>
        <w:tc>
          <w:tcPr>
            <w:tcW w:w="184"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(414)</w:t>
            </w:r>
          </w:p>
        </w:tc>
        <w:tc>
          <w:tcPr>
            <w:tcW w:w="88"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08"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(725)</w:t>
            </w:r>
          </w:p>
        </w:tc>
        <w:tc>
          <w:tcPr>
            <w:tcW w:w="71"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512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Net (loss) income attributable to Hovnanian Enterprises, Inc.</w:t>
            </w:r>
          </w:p>
        </w:tc>
        <w:tc>
          <w:tcPr>
            <w:tcW w:w="184"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(1,801)</w:t>
            </w:r>
          </w:p>
        </w:tc>
        <w:tc>
          <w:tcPr>
            <w:tcW w:w="88"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84"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16,615</w:t>
            </w:r>
          </w:p>
        </w:tc>
        <w:tc>
          <w:tcPr>
            <w:tcW w:w="6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4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0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18,774</w:t>
            </w:r>
          </w:p>
        </w:tc>
        <w:tc>
          <w:tcPr>
            <w:tcW w:w="71"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4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64,532</w:t>
            </w:r>
          </w:p>
        </w:tc>
      </w:tr>
      <w:tr>
        <w:trPr/>
        <w:tc>
          <w:tcPr>
            <w:tcW w:w="5120" w:type="dxa"/>
            <w:tcBorders>
              <w:bottom w:val="single" w:sz="8" w:space="0" w:color="000000"/>
            </w:tcBorders>
            <w:shd w:fill="FFFFFF" w:val="clear"/>
            <w:tcMar>
              <w:bottom w:w="28" w:type="dxa"/>
            </w:tcMar>
            <w:vAlign w:val="center"/>
          </w:tcPr>
          <w:p>
            <w:pPr>
              <w:pStyle w:val="TableContents"/>
              <w:bidi w:val="0"/>
              <w:spacing w:before="0" w:after="0"/>
              <w:jc w:val="left"/>
              <w:rPr/>
            </w:pPr>
            <w:r>
              <w:rPr/>
              <w:t xml:space="preserve">  </w:t>
            </w:r>
            <w:r>
              <w:rPr>
                <w:rFonts w:ascii="Times New Roman" w:hAnsi="Times New Roman"/>
                <w:sz w:val="20"/>
              </w:rPr>
              <w:t>Less: preferred stock dividends</w:t>
            </w:r>
          </w:p>
        </w:tc>
        <w:tc>
          <w:tcPr>
            <w:tcW w:w="184"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2,669</w:t>
            </w:r>
          </w:p>
        </w:tc>
        <w:tc>
          <w:tcPr>
            <w:tcW w:w="88"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2,669</w:t>
            </w:r>
          </w:p>
        </w:tc>
        <w:tc>
          <w:tcPr>
            <w:tcW w:w="60"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08"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8,007</w:t>
            </w:r>
          </w:p>
        </w:tc>
        <w:tc>
          <w:tcPr>
            <w:tcW w:w="71"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8,007</w:t>
            </w:r>
          </w:p>
        </w:tc>
      </w:tr>
      <w:tr>
        <w:trPr/>
        <w:tc>
          <w:tcPr>
            <w:tcW w:w="512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Net (loss) income available to common stockholders</w:t>
            </w:r>
          </w:p>
        </w:tc>
        <w:tc>
          <w:tcPr>
            <w:tcW w:w="18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(4,470)</w:t>
            </w:r>
          </w:p>
        </w:tc>
        <w:tc>
          <w:tcPr>
            <w:tcW w:w="8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pPr>
            <w:r>
              <w:rPr/>
              <w:t> </w:t>
            </w:r>
          </w:p>
        </w:tc>
        <w:tc>
          <w:tcPr>
            <w:tcW w:w="18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13,946</w:t>
            </w:r>
          </w:p>
        </w:tc>
        <w:tc>
          <w:tcPr>
            <w:tcW w:w="6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pPr>
            <w:r>
              <w:rPr/>
              <w:t> </w:t>
            </w:r>
          </w:p>
        </w:tc>
        <w:tc>
          <w:tcPr>
            <w:tcW w:w="14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10,767</w:t>
            </w:r>
          </w:p>
        </w:tc>
        <w:tc>
          <w:tcPr>
            <w:tcW w:w="7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pPr>
            <w:r>
              <w:rPr/>
              <w:t> </w:t>
            </w:r>
          </w:p>
        </w:tc>
        <w:tc>
          <w:tcPr>
            <w:tcW w:w="14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56,525</w:t>
            </w:r>
          </w:p>
        </w:tc>
      </w:tr>
      <w:tr>
        <w:trPr/>
        <w:tc>
          <w:tcPr>
            <w:tcW w:w="5120"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184"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1026"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88"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184"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1026"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60"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149"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1008"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71"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149"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1026"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r>
      <w:tr>
        <w:trPr/>
        <w:tc>
          <w:tcPr>
            <w:tcW w:w="51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Per share data:</w:t>
            </w:r>
          </w:p>
        </w:tc>
        <w:tc>
          <w:tcPr>
            <w:tcW w:w="184"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right"/>
              <w:rPr/>
            </w:pPr>
            <w:r>
              <w:rPr/>
              <w:t> </w:t>
            </w:r>
          </w:p>
        </w:tc>
        <w:tc>
          <w:tcPr>
            <w:tcW w:w="88" w:type="dxa"/>
            <w:tcBorders/>
            <w:shd w:fill="CCEEFF" w:val="clear"/>
            <w:vAlign w:val="center"/>
          </w:tcPr>
          <w:p>
            <w:pPr>
              <w:pStyle w:val="TableContents"/>
              <w:bidi w:val="0"/>
              <w:spacing w:before="0" w:after="0"/>
              <w:jc w:val="left"/>
              <w:rPr/>
            </w:pPr>
            <w:r>
              <w:rPr/>
              <w:t> </w:t>
            </w:r>
          </w:p>
        </w:tc>
        <w:tc>
          <w:tcPr>
            <w:tcW w:w="184"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1008" w:type="dxa"/>
            <w:tcBorders/>
            <w:shd w:fill="CCEEFF" w:val="clear"/>
            <w:vAlign w:val="center"/>
          </w:tcPr>
          <w:p>
            <w:pPr>
              <w:pStyle w:val="TableContents"/>
              <w:bidi w:val="0"/>
              <w:spacing w:before="0" w:after="0"/>
              <w:jc w:val="right"/>
              <w:rPr/>
            </w:pPr>
            <w:r>
              <w:rPr/>
              <w:t> </w:t>
            </w:r>
          </w:p>
        </w:tc>
        <w:tc>
          <w:tcPr>
            <w:tcW w:w="71" w:type="dxa"/>
            <w:tcBorders/>
            <w:shd w:fill="CCEEFF" w:val="clear"/>
            <w:vAlign w:val="center"/>
          </w:tcPr>
          <w:p>
            <w:pPr>
              <w:pStyle w:val="TableContents"/>
              <w:bidi w:val="0"/>
              <w:spacing w:before="0" w:after="0"/>
              <w:jc w:val="left"/>
              <w:rPr/>
            </w:pPr>
            <w:r>
              <w:rPr/>
              <w:t> </w:t>
            </w:r>
          </w:p>
        </w:tc>
        <w:tc>
          <w:tcPr>
            <w:tcW w:w="149"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right"/>
              <w:rPr/>
            </w:pPr>
            <w:r>
              <w:rPr/>
              <w:t> </w:t>
            </w:r>
          </w:p>
        </w:tc>
      </w:tr>
      <w:tr>
        <w:trPr/>
        <w:tc>
          <w:tcPr>
            <w:tcW w:w="51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84"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pPr>
            <w:r>
              <w:rPr/>
              <w:t> </w:t>
            </w:r>
          </w:p>
        </w:tc>
        <w:tc>
          <w:tcPr>
            <w:tcW w:w="88" w:type="dxa"/>
            <w:tcBorders/>
            <w:shd w:fill="FFFFFF" w:val="clear"/>
            <w:vAlign w:val="center"/>
          </w:tcPr>
          <w:p>
            <w:pPr>
              <w:pStyle w:val="TableContents"/>
              <w:bidi w:val="0"/>
              <w:spacing w:before="0" w:after="0"/>
              <w:jc w:val="left"/>
              <w:rPr/>
            </w:pPr>
            <w:r>
              <w:rPr/>
              <w:t> </w:t>
            </w:r>
          </w:p>
        </w:tc>
        <w:tc>
          <w:tcPr>
            <w:tcW w:w="184"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1008" w:type="dxa"/>
            <w:tcBorders/>
            <w:shd w:fill="FFFFFF" w:val="clear"/>
            <w:vAlign w:val="center"/>
          </w:tcPr>
          <w:p>
            <w:pPr>
              <w:pStyle w:val="TableContents"/>
              <w:bidi w:val="0"/>
              <w:spacing w:before="0" w:after="0"/>
              <w:jc w:val="right"/>
              <w:rPr/>
            </w:pPr>
            <w:r>
              <w:rPr/>
              <w:t> </w:t>
            </w:r>
          </w:p>
        </w:tc>
        <w:tc>
          <w:tcPr>
            <w:tcW w:w="71" w:type="dxa"/>
            <w:tcBorders/>
            <w:shd w:fill="FFFFFF" w:val="clear"/>
            <w:vAlign w:val="center"/>
          </w:tcPr>
          <w:p>
            <w:pPr>
              <w:pStyle w:val="TableContents"/>
              <w:bidi w:val="0"/>
              <w:spacing w:before="0" w:after="0"/>
              <w:jc w:val="left"/>
              <w:rPr/>
            </w:pPr>
            <w:r>
              <w:rPr/>
              <w:t> </w:t>
            </w:r>
          </w:p>
        </w:tc>
        <w:tc>
          <w:tcPr>
            <w:tcW w:w="149" w:type="dxa"/>
            <w:tcBorders/>
            <w:shd w:fill="FFFFFF" w:val="clear"/>
            <w:vAlign w:val="center"/>
          </w:tcPr>
          <w:p>
            <w:pPr>
              <w:pStyle w:val="TableContents"/>
              <w:bidi w:val="0"/>
              <w:spacing w:before="0" w:after="0"/>
              <w:jc w:val="left"/>
              <w:rPr/>
            </w:pPr>
            <w:r>
              <w:rPr/>
              <w:t> </w:t>
            </w:r>
          </w:p>
        </w:tc>
        <w:tc>
          <w:tcPr>
            <w:tcW w:w="1026" w:type="dxa"/>
            <w:tcBorders/>
            <w:shd w:fill="FFFFFF" w:val="clear"/>
            <w:vAlign w:val="center"/>
          </w:tcPr>
          <w:p>
            <w:pPr>
              <w:pStyle w:val="TableContents"/>
              <w:bidi w:val="0"/>
              <w:spacing w:before="0" w:after="0"/>
              <w:jc w:val="right"/>
              <w:rPr/>
            </w:pPr>
            <w:r>
              <w:rPr/>
              <w:t> </w:t>
            </w:r>
          </w:p>
        </w:tc>
      </w:tr>
      <w:tr>
        <w:trPr/>
        <w:tc>
          <w:tcPr>
            <w:tcW w:w="5120" w:type="dxa"/>
            <w:tcBorders>
              <w:bottom w:val="single" w:sz="8" w:space="0" w:color="000000"/>
            </w:tcBorders>
            <w:shd w:fill="CCEEFF" w:val="clear"/>
            <w:tcMar>
              <w:bottom w:w="28" w:type="dxa"/>
            </w:tcMar>
            <w:vAlign w:val="center"/>
          </w:tcPr>
          <w:p>
            <w:pPr>
              <w:pStyle w:val="TableContents"/>
              <w:bidi w:val="0"/>
              <w:spacing w:before="0" w:after="0"/>
              <w:jc w:val="left"/>
              <w:rPr/>
            </w:pPr>
            <w:r>
              <w:rPr/>
              <w:t xml:space="preserve">  </w:t>
            </w:r>
            <w:r>
              <w:rPr>
                <w:rFonts w:ascii="Times New Roman" w:hAnsi="Times New Roman"/>
                <w:sz w:val="20"/>
              </w:rPr>
              <w:t>Net (loss) income per common share</w:t>
            </w:r>
          </w:p>
        </w:tc>
        <w:tc>
          <w:tcPr>
            <w:tcW w:w="184" w:type="dxa"/>
            <w:tcBorders>
              <w:bottom w:val="single" w:sz="8"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6"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(0.70)</w:t>
            </w:r>
          </w:p>
        </w:tc>
        <w:tc>
          <w:tcPr>
            <w:tcW w:w="88"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6"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2.14</w:t>
            </w:r>
          </w:p>
        </w:tc>
        <w:tc>
          <w:tcPr>
            <w:tcW w:w="6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8"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1.65</w:t>
            </w:r>
          </w:p>
        </w:tc>
        <w:tc>
          <w:tcPr>
            <w:tcW w:w="71"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6"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8.55</w:t>
            </w:r>
          </w:p>
        </w:tc>
      </w:tr>
      <w:tr>
        <w:trPr/>
        <w:tc>
          <w:tcPr>
            <w:tcW w:w="512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xml:space="preserve">  </w:t>
            </w:r>
            <w:r>
              <w:rPr>
                <w:rFonts w:ascii="Times New Roman" w:hAnsi="Times New Roman"/>
                <w:sz w:val="20"/>
              </w:rPr>
              <w:t>Weighted-average number of common shares outstanding</w:t>
            </w:r>
          </w:p>
        </w:tc>
        <w:tc>
          <w:tcPr>
            <w:tcW w:w="184"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6,412</w:t>
            </w:r>
          </w:p>
        </w:tc>
        <w:tc>
          <w:tcPr>
            <w:tcW w:w="88"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color w:val="333333"/>
              </w:rPr>
            </w:pPr>
            <w:r>
              <w:rPr>
                <w:color w:val="333333"/>
              </w:rPr>
              <w:t> </w:t>
            </w:r>
          </w:p>
        </w:tc>
        <w:tc>
          <w:tcPr>
            <w:tcW w:w="184"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6,399</w:t>
            </w:r>
          </w:p>
        </w:tc>
        <w:tc>
          <w:tcPr>
            <w:tcW w:w="6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color w:val="333333"/>
              </w:rPr>
            </w:pPr>
            <w:r>
              <w:rPr>
                <w:color w:val="333333"/>
              </w:rPr>
              <w:t> </w:t>
            </w:r>
          </w:p>
        </w:tc>
        <w:tc>
          <w:tcPr>
            <w:tcW w:w="14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08"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6,439</w:t>
            </w:r>
          </w:p>
        </w:tc>
        <w:tc>
          <w:tcPr>
            <w:tcW w:w="7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color w:val="333333"/>
              </w:rPr>
            </w:pPr>
            <w:r>
              <w:rPr>
                <w:color w:val="333333"/>
              </w:rPr>
              <w:t> </w:t>
            </w:r>
          </w:p>
        </w:tc>
        <w:tc>
          <w:tcPr>
            <w:tcW w:w="14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6,442</w:t>
            </w:r>
          </w:p>
        </w:tc>
      </w:tr>
      <w:tr>
        <w:trPr/>
        <w:tc>
          <w:tcPr>
            <w:tcW w:w="512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Assuming dilution:</w:t>
            </w:r>
          </w:p>
        </w:tc>
        <w:tc>
          <w:tcPr>
            <w:tcW w:w="184"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88"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84"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6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4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08"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71"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4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r>
      <w:tr>
        <w:trPr/>
        <w:tc>
          <w:tcPr>
            <w:tcW w:w="5120" w:type="dxa"/>
            <w:tcBorders>
              <w:bottom w:val="single" w:sz="8" w:space="0" w:color="000000"/>
            </w:tcBorders>
            <w:shd w:fill="FFFFFF" w:val="clear"/>
            <w:tcMar>
              <w:bottom w:w="28" w:type="dxa"/>
            </w:tcMar>
            <w:vAlign w:val="center"/>
          </w:tcPr>
          <w:p>
            <w:pPr>
              <w:pStyle w:val="TableContents"/>
              <w:bidi w:val="0"/>
              <w:spacing w:before="0" w:after="0"/>
              <w:jc w:val="left"/>
              <w:rPr/>
            </w:pPr>
            <w:r>
              <w:rPr/>
              <w:t xml:space="preserve">  </w:t>
            </w:r>
            <w:r>
              <w:rPr>
                <w:rFonts w:ascii="Times New Roman" w:hAnsi="Times New Roman"/>
                <w:sz w:val="20"/>
              </w:rPr>
              <w:t>Net (loss) income per common share</w:t>
            </w:r>
          </w:p>
        </w:tc>
        <w:tc>
          <w:tcPr>
            <w:tcW w:w="184" w:type="dxa"/>
            <w:tcBorders>
              <w:bottom w:val="single" w:sz="8"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(0.70)</w:t>
            </w:r>
          </w:p>
        </w:tc>
        <w:tc>
          <w:tcPr>
            <w:tcW w:w="88"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1.99</w:t>
            </w:r>
          </w:p>
        </w:tc>
        <w:tc>
          <w:tcPr>
            <w:tcW w:w="60"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8"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1.55</w:t>
            </w:r>
          </w:p>
        </w:tc>
        <w:tc>
          <w:tcPr>
            <w:tcW w:w="71"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7.94</w:t>
            </w:r>
          </w:p>
        </w:tc>
      </w:tr>
      <w:tr>
        <w:trPr/>
        <w:tc>
          <w:tcPr>
            <w:tcW w:w="512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xml:space="preserve">  </w:t>
            </w:r>
            <w:r>
              <w:rPr>
                <w:rFonts w:ascii="Times New Roman" w:hAnsi="Times New Roman"/>
                <w:sz w:val="20"/>
              </w:rPr>
              <w:t>Weighted-average number of common shares outstanding</w:t>
            </w:r>
          </w:p>
        </w:tc>
        <w:tc>
          <w:tcPr>
            <w:tcW w:w="18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6,412</w:t>
            </w:r>
          </w:p>
        </w:tc>
        <w:tc>
          <w:tcPr>
            <w:tcW w:w="8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8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6,887</w:t>
            </w:r>
          </w:p>
        </w:tc>
        <w:tc>
          <w:tcPr>
            <w:tcW w:w="6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6,840</w:t>
            </w:r>
          </w:p>
        </w:tc>
        <w:tc>
          <w:tcPr>
            <w:tcW w:w="7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4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6,936</w:t>
            </w:r>
          </w:p>
        </w:tc>
      </w:tr>
    </w:tbl>
    <w:p>
      <w:pPr>
        <w:pStyle w:val="TextBody"/>
        <w:bidi w:val="0"/>
        <w:spacing w:lineRule="atLeast" w:line="240" w:before="0" w:after="0"/>
        <w:jc w:val="left"/>
        <w:rPr/>
      </w:pPr>
      <w:r>
        <w:rPr/>
        <w:t> </w:t>
      </w:r>
    </w:p>
    <w:p>
      <w:pPr>
        <w:pStyle w:val="TextBody"/>
        <w:bidi w:val="0"/>
        <w:spacing w:lineRule="atLeast" w:line="240" w:before="0" w:after="0"/>
        <w:jc w:val="left"/>
        <w:rPr>
          <w:sz w:val="20"/>
        </w:rPr>
      </w:pPr>
      <w:r>
        <w:rPr>
          <w:sz w:val="20"/>
        </w:rPr>
        <w:t>See notes to condensed consolidated financial statements (unaudited).</w:t>
      </w:r>
    </w:p>
    <w:p>
      <w:pPr>
        <w:pStyle w:val="TextBody"/>
        <w:bidi w:val="0"/>
        <w:spacing w:lineRule="atLeast" w:line="240" w:before="0" w:after="0"/>
        <w:jc w:val="left"/>
        <w:rPr/>
      </w:pPr>
      <w:r>
        <w:rPr/>
        <w:t> </w:t>
      </w:r>
    </w:p>
    <w:p>
      <w:pPr>
        <w:pStyle w:val="TextBody"/>
        <w:bidi w:val="0"/>
        <w:spacing w:lineRule="atLeast" w:line="240" w:before="0" w:after="0"/>
        <w:jc w:val="left"/>
        <w:rPr/>
      </w:pPr>
      <w:r>
        <w:rPr>
          <w:sz w:val="20"/>
        </w:rPr>
        <w:t xml:space="preserve">(1) </w:t>
      </w:r>
      <w:r>
        <w:rPr>
          <w:rFonts w:ascii="Times New Roman" w:hAnsi="Times New Roman"/>
          <w:sz w:val="20"/>
        </w:rPr>
        <w:t>Includes $26.8</w:t>
      </w:r>
      <w:r>
        <w:rPr/>
        <w:t> </w:t>
      </w:r>
      <w:r>
        <w:rPr>
          <w:rFonts w:ascii="Times New Roman" w:hAnsi="Times New Roman"/>
          <w:sz w:val="20"/>
        </w:rPr>
        <w:t>million gain on consolidation of joint ventures</w:t>
      </w:r>
      <w:r>
        <w:rPr/>
        <w:t> </w:t>
      </w:r>
      <w:r>
        <w:rPr>
          <w:rFonts w:ascii="Times New Roman" w:hAnsi="Times New Roman"/>
          <w:sz w:val="20"/>
        </w:rPr>
        <w:t>for the</w:t>
      </w:r>
      <w:r>
        <w:rPr/>
        <w:t> </w:t>
      </w:r>
      <w:r>
        <w:rPr>
          <w:rFonts w:ascii="Times New Roman" w:hAnsi="Times New Roman"/>
          <w:sz w:val="20"/>
        </w:rPr>
        <w:t>nine months ended July 31, 2026,</w:t>
      </w:r>
      <w:r>
        <w:rPr/>
        <w:t> </w:t>
      </w:r>
      <w:r>
        <w:rPr>
          <w:rFonts w:ascii="Times New Roman" w:hAnsi="Times New Roman"/>
          <w:sz w:val="20"/>
        </w:rPr>
        <w:t>and $22.7</w:t>
      </w:r>
      <w:r>
        <w:rPr/>
        <w:t xml:space="preserve"> </w:t>
      </w:r>
      <w:r>
        <w:rPr>
          <w:rFonts w:ascii="Times New Roman" w:hAnsi="Times New Roman"/>
          <w:sz w:val="20"/>
        </w:rPr>
        <w:t>million gain on contribution of assets to a joint</w:t>
      </w:r>
      <w:r>
        <w:rPr/>
        <w:t> </w:t>
      </w:r>
      <w:r>
        <w:rPr>
          <w:rFonts w:ascii="Times New Roman" w:hAnsi="Times New Roman"/>
          <w:sz w:val="20"/>
        </w:rPr>
        <w:t>venture for the nine months ended July 31, 2025</w:t>
      </w:r>
      <w:r>
        <w:rPr/>
        <w:t xml:space="preserve"> </w:t>
      </w:r>
      <w:r>
        <w:rPr>
          <w:rFonts w:ascii="Times New Roman" w:hAnsi="Times New Roman"/>
          <w:sz w:val="20"/>
        </w:rPr>
        <w:t>(see note 18).</w:t>
      </w:r>
    </w:p>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r>
        <w:br w:type="page"/>
      </w:r>
    </w:p>
    <w:p>
      <w:pPr>
        <w:pStyle w:val="TextBody"/>
        <w:bidi w:val="0"/>
        <w:spacing w:lineRule="atLeast" w:line="240" w:before="0" w:after="0"/>
        <w:jc w:val="left"/>
        <w:rPr/>
      </w:pPr>
      <w:hyperlink w:anchor="TOC">
        <w:r>
          <w:rPr>
            <w:rStyle w:val="InternetLink"/>
            <w:strike w:val="false"/>
            <w:dstrike w:val="false"/>
            <w:sz w:val="20"/>
            <w:u w:val="single"/>
            <w:effect w:val="none"/>
          </w:rPr>
          <w:t>Table of Contents</w:t>
        </w:r>
      </w:hyperlink>
    </w:p>
    <w:p>
      <w:pPr>
        <w:pStyle w:val="TextBody"/>
        <w:bidi w:val="0"/>
        <w:spacing w:lineRule="atLeast" w:line="240" w:before="0" w:after="0"/>
        <w:jc w:val="left"/>
        <w:rPr/>
      </w:pPr>
      <w:r>
        <w:rPr/>
        <w:t> </w:t>
      </w:r>
    </w:p>
    <w:p>
      <w:pPr>
        <w:pStyle w:val="TextBody"/>
        <w:bidi w:val="0"/>
        <w:spacing w:lineRule="atLeast" w:line="240" w:before="0" w:after="0"/>
        <w:jc w:val="center"/>
        <w:rPr>
          <w:sz w:val="20"/>
        </w:rPr>
      </w:pPr>
      <w:r>
        <w:rPr>
          <w:sz w:val="20"/>
        </w:rPr>
        <w:t>HOVNANIAN ENTERPRISES, INC. AND SUBSIDIARIES</w:t>
      </w:r>
    </w:p>
    <w:p>
      <w:pPr>
        <w:pStyle w:val="TextBody"/>
        <w:bidi w:val="0"/>
        <w:spacing w:before="0" w:after="0"/>
        <w:jc w:val="center"/>
        <w:rPr/>
      </w:pPr>
      <w:hyperlink w:anchor="TOC">
        <w:bookmarkStart w:id="7" w:name="bm_3d4f8297a33790dd"/>
        <w:bookmarkEnd w:id="7"/>
        <w:r>
          <w:rPr>
            <w:rStyle w:val="InternetLink"/>
            <w:strike w:val="false"/>
            <w:dstrike w:val="false"/>
            <w:color w:val="000000"/>
            <w:sz w:val="20"/>
            <w:u w:val="none"/>
            <w:effect w:val="none"/>
          </w:rPr>
          <w:t>CONDENSED CONSOLIDATED STATEMENTS OF CHANGES IN EQUITY</w:t>
        </w:r>
      </w:hyperlink>
    </w:p>
    <w:p>
      <w:pPr>
        <w:pStyle w:val="TextBody"/>
        <w:bidi w:val="0"/>
        <w:spacing w:lineRule="atLeast" w:line="288" w:before="0" w:after="0"/>
        <w:jc w:val="center"/>
        <w:rPr>
          <w:caps/>
          <w:sz w:val="20"/>
        </w:rPr>
      </w:pPr>
      <w:r>
        <w:rPr>
          <w:caps/>
          <w:sz w:val="20"/>
        </w:rPr>
        <w:t>THREE AND NINE MONTH PERIODS ENDED JULY 31, 2026</w:t>
      </w:r>
    </w:p>
    <w:p>
      <w:pPr>
        <w:pStyle w:val="TextBody"/>
        <w:bidi w:val="0"/>
        <w:spacing w:lineRule="atLeast" w:line="240" w:before="0" w:after="0"/>
        <w:jc w:val="center"/>
        <w:rPr>
          <w:sz w:val="20"/>
        </w:rPr>
      </w:pPr>
      <w:r>
        <w:rPr>
          <w:sz w:val="20"/>
        </w:rPr>
        <w:t>(In thousands, except share data)</w:t>
      </w:r>
    </w:p>
    <w:p>
      <w:pPr>
        <w:pStyle w:val="TextBody"/>
        <w:bidi w:val="0"/>
        <w:spacing w:lineRule="atLeast" w:line="240" w:before="0" w:after="120"/>
        <w:jc w:val="center"/>
        <w:rPr>
          <w:sz w:val="20"/>
        </w:rPr>
      </w:pPr>
      <w:r>
        <w:rPr>
          <w:sz w:val="20"/>
        </w:rPr>
        <w:t>(Unaudited)</w:t>
      </w:r>
    </w:p>
    <w:tbl>
      <w:tblPr>
        <w:tblW w:w="11365" w:type="dxa"/>
        <w:jc w:val="left"/>
        <w:tblInd w:w="0" w:type="dxa"/>
        <w:tblLayout w:type="fixed"/>
        <w:tblCellMar>
          <w:top w:w="28" w:type="dxa"/>
          <w:left w:w="0" w:type="dxa"/>
          <w:bottom w:w="28" w:type="dxa"/>
          <w:right w:w="0" w:type="dxa"/>
        </w:tblCellMar>
      </w:tblPr>
      <w:tblGrid>
        <w:gridCol w:w="1070"/>
        <w:gridCol w:w="920"/>
        <w:gridCol w:w="60"/>
        <w:gridCol w:w="110"/>
        <w:gridCol w:w="605"/>
        <w:gridCol w:w="60"/>
        <w:gridCol w:w="920"/>
        <w:gridCol w:w="60"/>
        <w:gridCol w:w="110"/>
        <w:gridCol w:w="605"/>
        <w:gridCol w:w="60"/>
        <w:gridCol w:w="920"/>
        <w:gridCol w:w="60"/>
        <w:gridCol w:w="110"/>
        <w:gridCol w:w="605"/>
        <w:gridCol w:w="60"/>
        <w:gridCol w:w="110"/>
        <w:gridCol w:w="1160"/>
        <w:gridCol w:w="60"/>
        <w:gridCol w:w="110"/>
        <w:gridCol w:w="665"/>
        <w:gridCol w:w="60"/>
        <w:gridCol w:w="110"/>
        <w:gridCol w:w="680"/>
        <w:gridCol w:w="60"/>
        <w:gridCol w:w="110"/>
        <w:gridCol w:w="1115"/>
        <w:gridCol w:w="60"/>
        <w:gridCol w:w="110"/>
        <w:gridCol w:w="620"/>
      </w:tblGrid>
      <w:tr>
        <w:trPr/>
        <w:tc>
          <w:tcPr>
            <w:tcW w:w="1070"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1695" w:type="dxa"/>
            <w:gridSpan w:val="4"/>
            <w:tcBorders>
              <w:top w:val="single" w:sz="8" w:space="0" w:color="000000"/>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 Common Stock</w:t>
            </w:r>
          </w:p>
        </w:tc>
        <w:tc>
          <w:tcPr>
            <w:tcW w:w="60"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1695" w:type="dxa"/>
            <w:gridSpan w:val="4"/>
            <w:tcBorders>
              <w:top w:val="single" w:sz="8" w:space="0" w:color="000000"/>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B Common Stock</w:t>
            </w:r>
          </w:p>
        </w:tc>
        <w:tc>
          <w:tcPr>
            <w:tcW w:w="60"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1695" w:type="dxa"/>
            <w:gridSpan w:val="4"/>
            <w:tcBorders>
              <w:top w:val="single" w:sz="8" w:space="0" w:color="000000"/>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Preferred Stock</w:t>
            </w:r>
          </w:p>
        </w:tc>
        <w:tc>
          <w:tcPr>
            <w:tcW w:w="60"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11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1160"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60"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11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665"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60"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110"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680"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60"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110"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1115"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60"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110"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620" w:type="dxa"/>
            <w:tcBorders>
              <w:top w:val="single" w:sz="8" w:space="0" w:color="000000"/>
              <w:bottom w:val="single" w:sz="8" w:space="0" w:color="000000"/>
            </w:tcBorders>
            <w:vAlign w:val="center"/>
          </w:tcPr>
          <w:p>
            <w:pPr>
              <w:pStyle w:val="TableContents"/>
              <w:bidi w:val="0"/>
              <w:spacing w:before="0" w:after="0"/>
              <w:jc w:val="center"/>
              <w:rPr/>
            </w:pPr>
            <w:r>
              <w:rPr/>
              <w:t> </w:t>
            </w:r>
          </w:p>
        </w:tc>
      </w:tr>
      <w:tr>
        <w:trPr/>
        <w:tc>
          <w:tcPr>
            <w:tcW w:w="1070"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920" w:type="dxa"/>
            <w:tcBorders>
              <w:top w:val="single" w:sz="8" w:space="0" w:color="000000"/>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Shares Issued and Outstanding</w:t>
            </w:r>
          </w:p>
        </w:tc>
        <w:tc>
          <w:tcPr>
            <w:tcW w:w="60"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110"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605" w:type="dxa"/>
            <w:tcBorders>
              <w:top w:val="single" w:sz="8" w:space="0" w:color="000000"/>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Amount</w:t>
            </w:r>
          </w:p>
        </w:tc>
        <w:tc>
          <w:tcPr>
            <w:tcW w:w="60"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920" w:type="dxa"/>
            <w:tcBorders>
              <w:top w:val="single" w:sz="8" w:space="0" w:color="000000"/>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Shares Issued and Outstanding</w:t>
            </w:r>
          </w:p>
        </w:tc>
        <w:tc>
          <w:tcPr>
            <w:tcW w:w="60"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110"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605" w:type="dxa"/>
            <w:tcBorders>
              <w:top w:val="single" w:sz="8" w:space="0" w:color="000000"/>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Amount</w:t>
            </w:r>
          </w:p>
        </w:tc>
        <w:tc>
          <w:tcPr>
            <w:tcW w:w="60"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920" w:type="dxa"/>
            <w:tcBorders>
              <w:top w:val="single" w:sz="8" w:space="0" w:color="000000"/>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Shares Issued and Outstanding</w:t>
            </w:r>
          </w:p>
        </w:tc>
        <w:tc>
          <w:tcPr>
            <w:tcW w:w="60"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110"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605" w:type="dxa"/>
            <w:tcBorders>
              <w:top w:val="single" w:sz="8" w:space="0" w:color="000000"/>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Amount</w:t>
            </w:r>
          </w:p>
        </w:tc>
        <w:tc>
          <w:tcPr>
            <w:tcW w:w="60"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11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1160" w:type="dxa"/>
            <w:tcBorders>
              <w:top w:val="single" w:sz="8" w:space="0" w:color="000000"/>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Paid-In-Capital</w:t>
            </w:r>
          </w:p>
        </w:tc>
        <w:tc>
          <w:tcPr>
            <w:tcW w:w="60"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11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665" w:type="dxa"/>
            <w:tcBorders>
              <w:top w:val="single" w:sz="8" w:space="0" w:color="000000"/>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Retained Earnings</w:t>
            </w:r>
          </w:p>
        </w:tc>
        <w:tc>
          <w:tcPr>
            <w:tcW w:w="60"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110"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680" w:type="dxa"/>
            <w:tcBorders>
              <w:top w:val="single" w:sz="8" w:space="0" w:color="000000"/>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Treasury Stock</w:t>
            </w:r>
          </w:p>
        </w:tc>
        <w:tc>
          <w:tcPr>
            <w:tcW w:w="60"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110"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1115" w:type="dxa"/>
            <w:tcBorders>
              <w:top w:val="single" w:sz="8" w:space="0" w:color="000000"/>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Noncontrolling Interest</w:t>
            </w:r>
          </w:p>
        </w:tc>
        <w:tc>
          <w:tcPr>
            <w:tcW w:w="60"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110" w:type="dxa"/>
            <w:tcBorders>
              <w:top w:val="single" w:sz="8" w:space="0" w:color="000000"/>
              <w:bottom w:val="single" w:sz="8" w:space="0" w:color="000000"/>
            </w:tcBorders>
            <w:vAlign w:val="center"/>
          </w:tcPr>
          <w:p>
            <w:pPr>
              <w:pStyle w:val="TableContents"/>
              <w:bidi w:val="0"/>
              <w:spacing w:before="0" w:after="0"/>
              <w:jc w:val="center"/>
              <w:rPr/>
            </w:pPr>
            <w:r>
              <w:rPr/>
              <w:t> </w:t>
            </w:r>
          </w:p>
        </w:tc>
        <w:tc>
          <w:tcPr>
            <w:tcW w:w="620" w:type="dxa"/>
            <w:tcBorders>
              <w:top w:val="single" w:sz="8" w:space="0" w:color="000000"/>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r>
      <w:tr>
        <w:trPr/>
        <w:tc>
          <w:tcPr>
            <w:tcW w:w="1070" w:type="dxa"/>
            <w:tcBorders>
              <w:top w:val="single" w:sz="8" w:space="0" w:color="000000"/>
            </w:tcBorders>
            <w:shd w:fill="CCEEFF" w:val="clear"/>
            <w:tcMar>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Balance, October 31, 2025</w:t>
            </w:r>
          </w:p>
        </w:tc>
        <w:tc>
          <w:tcPr>
            <w:tcW w:w="920" w:type="dxa"/>
            <w:tcBorders>
              <w:top w:val="single" w:sz="8" w:space="0" w:color="000000"/>
            </w:tcBorders>
            <w:shd w:fill="CCEEFF" w:val="clear"/>
            <w:tcMar>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5,155,635</w:t>
            </w:r>
          </w:p>
        </w:tc>
        <w:tc>
          <w:tcPr>
            <w:tcW w:w="60" w:type="dxa"/>
            <w:tcBorders>
              <w:top w:val="single" w:sz="8" w:space="0" w:color="000000"/>
            </w:tcBorders>
            <w:shd w:fill="CCEEFF" w:val="clear"/>
            <w:tcMar>
              <w:bottom w:w="0" w:type="dxa"/>
            </w:tcMar>
            <w:vAlign w:val="center"/>
          </w:tcPr>
          <w:p>
            <w:pPr>
              <w:pStyle w:val="TableContents"/>
              <w:bidi w:val="0"/>
              <w:spacing w:before="0" w:after="0"/>
              <w:jc w:val="right"/>
              <w:rPr/>
            </w:pPr>
            <w:r>
              <w:rPr/>
              <w:t> </w:t>
            </w:r>
          </w:p>
        </w:tc>
        <w:tc>
          <w:tcPr>
            <w:tcW w:w="110" w:type="dxa"/>
            <w:tcBorders>
              <w:top w:val="single" w:sz="8" w:space="0" w:color="000000"/>
            </w:tcBorders>
            <w:shd w:fill="CCEEFF" w:val="clear"/>
            <w:tcMar>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w:t>
            </w:r>
          </w:p>
        </w:tc>
        <w:tc>
          <w:tcPr>
            <w:tcW w:w="605" w:type="dxa"/>
            <w:tcBorders>
              <w:top w:val="single" w:sz="8" w:space="0" w:color="000000"/>
            </w:tcBorders>
            <w:shd w:fill="CCEEFF" w:val="clear"/>
            <w:tcMar>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65</w:t>
            </w:r>
          </w:p>
        </w:tc>
        <w:tc>
          <w:tcPr>
            <w:tcW w:w="60" w:type="dxa"/>
            <w:tcBorders>
              <w:top w:val="single" w:sz="8" w:space="0" w:color="000000"/>
            </w:tcBorders>
            <w:shd w:fill="CCEEFF" w:val="clear"/>
            <w:tcMar>
              <w:bottom w:w="0" w:type="dxa"/>
            </w:tcMar>
            <w:vAlign w:val="center"/>
          </w:tcPr>
          <w:p>
            <w:pPr>
              <w:pStyle w:val="TableContents"/>
              <w:bidi w:val="0"/>
              <w:spacing w:before="0" w:after="0"/>
              <w:jc w:val="right"/>
              <w:rPr/>
            </w:pPr>
            <w:r>
              <w:rPr/>
              <w:t> </w:t>
            </w:r>
          </w:p>
        </w:tc>
        <w:tc>
          <w:tcPr>
            <w:tcW w:w="920" w:type="dxa"/>
            <w:tcBorders>
              <w:top w:val="single" w:sz="8" w:space="0" w:color="000000"/>
            </w:tcBorders>
            <w:shd w:fill="CCEEFF" w:val="clear"/>
            <w:tcMar>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784,741</w:t>
            </w:r>
          </w:p>
        </w:tc>
        <w:tc>
          <w:tcPr>
            <w:tcW w:w="60" w:type="dxa"/>
            <w:tcBorders>
              <w:top w:val="single" w:sz="8" w:space="0" w:color="000000"/>
            </w:tcBorders>
            <w:shd w:fill="CCEEFF" w:val="clear"/>
            <w:tcMar>
              <w:bottom w:w="0" w:type="dxa"/>
            </w:tcMar>
            <w:vAlign w:val="center"/>
          </w:tcPr>
          <w:p>
            <w:pPr>
              <w:pStyle w:val="TableContents"/>
              <w:bidi w:val="0"/>
              <w:spacing w:before="0" w:after="0"/>
              <w:jc w:val="right"/>
              <w:rPr/>
            </w:pPr>
            <w:r>
              <w:rPr/>
              <w:t> </w:t>
            </w:r>
          </w:p>
        </w:tc>
        <w:tc>
          <w:tcPr>
            <w:tcW w:w="110" w:type="dxa"/>
            <w:tcBorders>
              <w:top w:val="single" w:sz="8" w:space="0" w:color="000000"/>
            </w:tcBorders>
            <w:shd w:fill="CCEEFF" w:val="clear"/>
            <w:tcMar>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w:t>
            </w:r>
          </w:p>
        </w:tc>
        <w:tc>
          <w:tcPr>
            <w:tcW w:w="605" w:type="dxa"/>
            <w:tcBorders>
              <w:top w:val="single" w:sz="8" w:space="0" w:color="000000"/>
            </w:tcBorders>
            <w:shd w:fill="CCEEFF" w:val="clear"/>
            <w:tcMar>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8</w:t>
            </w:r>
          </w:p>
        </w:tc>
        <w:tc>
          <w:tcPr>
            <w:tcW w:w="60" w:type="dxa"/>
            <w:tcBorders>
              <w:top w:val="single" w:sz="8" w:space="0" w:color="000000"/>
            </w:tcBorders>
            <w:shd w:fill="CCEEFF" w:val="clear"/>
            <w:tcMar>
              <w:bottom w:w="0" w:type="dxa"/>
            </w:tcMar>
            <w:vAlign w:val="center"/>
          </w:tcPr>
          <w:p>
            <w:pPr>
              <w:pStyle w:val="TableContents"/>
              <w:bidi w:val="0"/>
              <w:spacing w:before="0" w:after="0"/>
              <w:jc w:val="right"/>
              <w:rPr/>
            </w:pPr>
            <w:r>
              <w:rPr/>
              <w:t> </w:t>
            </w:r>
          </w:p>
        </w:tc>
        <w:tc>
          <w:tcPr>
            <w:tcW w:w="920" w:type="dxa"/>
            <w:tcBorders>
              <w:top w:val="single" w:sz="8" w:space="0" w:color="000000"/>
            </w:tcBorders>
            <w:shd w:fill="CCEEFF" w:val="clear"/>
            <w:tcMar>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5,600</w:t>
            </w:r>
          </w:p>
        </w:tc>
        <w:tc>
          <w:tcPr>
            <w:tcW w:w="60" w:type="dxa"/>
            <w:tcBorders>
              <w:top w:val="single" w:sz="8" w:space="0" w:color="000000"/>
            </w:tcBorders>
            <w:shd w:fill="CCEEFF" w:val="clear"/>
            <w:tcMar>
              <w:bottom w:w="0" w:type="dxa"/>
            </w:tcMar>
            <w:vAlign w:val="center"/>
          </w:tcPr>
          <w:p>
            <w:pPr>
              <w:pStyle w:val="TableContents"/>
              <w:bidi w:val="0"/>
              <w:spacing w:before="0" w:after="0"/>
              <w:jc w:val="right"/>
              <w:rPr/>
            </w:pPr>
            <w:r>
              <w:rPr/>
              <w:t> </w:t>
            </w:r>
          </w:p>
        </w:tc>
        <w:tc>
          <w:tcPr>
            <w:tcW w:w="110" w:type="dxa"/>
            <w:tcBorders>
              <w:top w:val="single" w:sz="8" w:space="0" w:color="000000"/>
            </w:tcBorders>
            <w:shd w:fill="CCEEFF" w:val="clear"/>
            <w:tcMar>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w:t>
            </w:r>
          </w:p>
        </w:tc>
        <w:tc>
          <w:tcPr>
            <w:tcW w:w="605" w:type="dxa"/>
            <w:tcBorders>
              <w:top w:val="single" w:sz="8" w:space="0" w:color="000000"/>
            </w:tcBorders>
            <w:shd w:fill="CCEEFF" w:val="clear"/>
            <w:tcMar>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135,299</w:t>
            </w:r>
          </w:p>
        </w:tc>
        <w:tc>
          <w:tcPr>
            <w:tcW w:w="60" w:type="dxa"/>
            <w:tcBorders>
              <w:top w:val="single" w:sz="8" w:space="0" w:color="000000"/>
            </w:tcBorders>
            <w:shd w:fill="CCEEFF" w:val="clear"/>
            <w:tcMar>
              <w:bottom w:w="0" w:type="dxa"/>
            </w:tcMar>
            <w:vAlign w:val="center"/>
          </w:tcPr>
          <w:p>
            <w:pPr>
              <w:pStyle w:val="TableContents"/>
              <w:bidi w:val="0"/>
              <w:spacing w:before="0" w:after="0"/>
              <w:jc w:val="right"/>
              <w:rPr/>
            </w:pPr>
            <w:r>
              <w:rPr/>
              <w:t> </w:t>
            </w:r>
          </w:p>
        </w:tc>
        <w:tc>
          <w:tcPr>
            <w:tcW w:w="110" w:type="dxa"/>
            <w:tcBorders>
              <w:top w:val="single" w:sz="8" w:space="0" w:color="000000"/>
            </w:tcBorders>
            <w:shd w:fill="CCEEFF" w:val="clear"/>
            <w:tcMar>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w:t>
            </w:r>
          </w:p>
        </w:tc>
        <w:tc>
          <w:tcPr>
            <w:tcW w:w="1160" w:type="dxa"/>
            <w:tcBorders>
              <w:top w:val="single" w:sz="8" w:space="0" w:color="000000"/>
            </w:tcBorders>
            <w:shd w:fill="CCEEFF" w:val="clear"/>
            <w:tcMar>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757,391</w:t>
            </w:r>
          </w:p>
        </w:tc>
        <w:tc>
          <w:tcPr>
            <w:tcW w:w="60" w:type="dxa"/>
            <w:tcBorders>
              <w:top w:val="single" w:sz="8" w:space="0" w:color="000000"/>
            </w:tcBorders>
            <w:shd w:fill="CCEEFF" w:val="clear"/>
            <w:tcMar>
              <w:bottom w:w="0" w:type="dxa"/>
            </w:tcMar>
            <w:vAlign w:val="center"/>
          </w:tcPr>
          <w:p>
            <w:pPr>
              <w:pStyle w:val="TableContents"/>
              <w:bidi w:val="0"/>
              <w:spacing w:before="0" w:after="0"/>
              <w:jc w:val="right"/>
              <w:rPr/>
            </w:pPr>
            <w:r>
              <w:rPr/>
              <w:t> </w:t>
            </w:r>
          </w:p>
        </w:tc>
        <w:tc>
          <w:tcPr>
            <w:tcW w:w="110" w:type="dxa"/>
            <w:tcBorders>
              <w:top w:val="single" w:sz="8" w:space="0" w:color="000000"/>
            </w:tcBorders>
            <w:shd w:fill="CCEEFF" w:val="clear"/>
            <w:tcMar>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w:t>
            </w:r>
          </w:p>
        </w:tc>
        <w:tc>
          <w:tcPr>
            <w:tcW w:w="665" w:type="dxa"/>
            <w:tcBorders>
              <w:top w:val="single" w:sz="8" w:space="0" w:color="000000"/>
            </w:tcBorders>
            <w:shd w:fill="CCEEFF" w:val="clear"/>
            <w:tcMar>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127,326</w:t>
            </w:r>
          </w:p>
        </w:tc>
        <w:tc>
          <w:tcPr>
            <w:tcW w:w="60" w:type="dxa"/>
            <w:tcBorders>
              <w:top w:val="single" w:sz="8" w:space="0" w:color="000000"/>
            </w:tcBorders>
            <w:shd w:fill="CCEEFF" w:val="clear"/>
            <w:tcMar>
              <w:bottom w:w="0" w:type="dxa"/>
            </w:tcMar>
            <w:vAlign w:val="center"/>
          </w:tcPr>
          <w:p>
            <w:pPr>
              <w:pStyle w:val="TableContents"/>
              <w:bidi w:val="0"/>
              <w:spacing w:before="0" w:after="0"/>
              <w:jc w:val="right"/>
              <w:rPr/>
            </w:pPr>
            <w:r>
              <w:rPr/>
              <w:t> </w:t>
            </w:r>
          </w:p>
        </w:tc>
        <w:tc>
          <w:tcPr>
            <w:tcW w:w="110" w:type="dxa"/>
            <w:tcBorders>
              <w:top w:val="single" w:sz="8" w:space="0" w:color="000000"/>
            </w:tcBorders>
            <w:shd w:fill="CCEEFF" w:val="clear"/>
            <w:tcMar>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w:t>
            </w:r>
          </w:p>
        </w:tc>
        <w:tc>
          <w:tcPr>
            <w:tcW w:w="680" w:type="dxa"/>
            <w:tcBorders>
              <w:top w:val="single" w:sz="8" w:space="0" w:color="000000"/>
            </w:tcBorders>
            <w:shd w:fill="CCEEFF" w:val="clear"/>
            <w:tcMar>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(189,154)</w:t>
            </w:r>
          </w:p>
        </w:tc>
        <w:tc>
          <w:tcPr>
            <w:tcW w:w="60" w:type="dxa"/>
            <w:tcBorders>
              <w:top w:val="single" w:sz="8" w:space="0" w:color="000000"/>
            </w:tcBorders>
            <w:shd w:fill="CCEEFF" w:val="clear"/>
            <w:tcMar>
              <w:bottom w:w="0" w:type="dxa"/>
            </w:tcMar>
            <w:vAlign w:val="center"/>
          </w:tcPr>
          <w:p>
            <w:pPr>
              <w:pStyle w:val="TableContents"/>
              <w:bidi w:val="0"/>
              <w:spacing w:before="0" w:after="0"/>
              <w:jc w:val="right"/>
              <w:rPr/>
            </w:pPr>
            <w:r>
              <w:rPr/>
              <w:t> </w:t>
            </w:r>
          </w:p>
        </w:tc>
        <w:tc>
          <w:tcPr>
            <w:tcW w:w="110" w:type="dxa"/>
            <w:tcBorders>
              <w:top w:val="single" w:sz="8" w:space="0" w:color="000000"/>
            </w:tcBorders>
            <w:shd w:fill="CCEEFF" w:val="clear"/>
            <w:tcMar>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w:t>
            </w:r>
          </w:p>
        </w:tc>
        <w:tc>
          <w:tcPr>
            <w:tcW w:w="1115" w:type="dxa"/>
            <w:tcBorders>
              <w:top w:val="single" w:sz="8" w:space="0" w:color="000000"/>
            </w:tcBorders>
            <w:shd w:fill="CCEEFF" w:val="clear"/>
            <w:tcMar>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top w:val="single" w:sz="8" w:space="0" w:color="000000"/>
            </w:tcBorders>
            <w:shd w:fill="CCEEFF" w:val="clear"/>
            <w:tcMar>
              <w:bottom w:w="0" w:type="dxa"/>
            </w:tcMar>
            <w:vAlign w:val="center"/>
          </w:tcPr>
          <w:p>
            <w:pPr>
              <w:pStyle w:val="TableContents"/>
              <w:bidi w:val="0"/>
              <w:spacing w:before="0" w:after="0"/>
              <w:jc w:val="right"/>
              <w:rPr/>
            </w:pPr>
            <w:r>
              <w:rPr/>
              <w:t> </w:t>
            </w:r>
          </w:p>
        </w:tc>
        <w:tc>
          <w:tcPr>
            <w:tcW w:w="110" w:type="dxa"/>
            <w:tcBorders>
              <w:top w:val="single" w:sz="8" w:space="0" w:color="000000"/>
            </w:tcBorders>
            <w:shd w:fill="CCEEFF" w:val="clear"/>
            <w:tcMar>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w:t>
            </w:r>
          </w:p>
        </w:tc>
        <w:tc>
          <w:tcPr>
            <w:tcW w:w="620" w:type="dxa"/>
            <w:tcBorders>
              <w:top w:val="single" w:sz="8" w:space="0" w:color="000000"/>
            </w:tcBorders>
            <w:shd w:fill="CCEEFF" w:val="clear"/>
            <w:tcMar>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830,935</w:t>
            </w:r>
          </w:p>
        </w:tc>
      </w:tr>
      <w:tr>
        <w:trPr/>
        <w:tc>
          <w:tcPr>
            <w:tcW w:w="1070" w:type="dxa"/>
            <w:tcBorders/>
            <w:shd w:fill="FFFFFF" w:val="clear"/>
            <w:tcMar>
              <w:top w:w="0" w:type="dxa"/>
              <w:bottom w:w="0" w:type="dxa"/>
            </w:tcMar>
            <w:vAlign w:val="center"/>
          </w:tcPr>
          <w:p>
            <w:pPr>
              <w:pStyle w:val="TableContents"/>
              <w:bidi w:val="0"/>
              <w:spacing w:before="0" w:after="0"/>
              <w:jc w:val="left"/>
              <w:rPr>
                <w:sz w:val="16"/>
              </w:rPr>
            </w:pPr>
            <w:r>
              <w:rPr>
                <w:rFonts w:ascii="Times New Roman" w:hAnsi="Times New Roman"/>
                <w:sz w:val="16"/>
              </w:rPr>
              <w:t>Preferred dividend declared ($476.56</w:t>
            </w:r>
            <w:r>
              <w:rPr>
                <w:sz w:val="16"/>
              </w:rPr>
              <w:t> </w:t>
            </w:r>
            <w:r>
              <w:rPr>
                <w:rFonts w:ascii="Times New Roman" w:hAnsi="Times New Roman"/>
                <w:sz w:val="16"/>
              </w:rPr>
              <w:t>per share)</w:t>
            </w:r>
          </w:p>
        </w:tc>
        <w:tc>
          <w:tcPr>
            <w:tcW w:w="92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righ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92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92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116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65" w:type="dxa"/>
            <w:tcBorders/>
            <w:shd w:fill="FFFF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(2,669)</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8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111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20" w:type="dxa"/>
            <w:tcBorders/>
            <w:shd w:fill="FFFF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(2,669)</w:t>
            </w:r>
          </w:p>
        </w:tc>
      </w:tr>
      <w:tr>
        <w:trPr/>
        <w:tc>
          <w:tcPr>
            <w:tcW w:w="1070" w:type="dxa"/>
            <w:tcBorders/>
            <w:shd w:fill="CCEEFF" w:val="clear"/>
            <w:tcMar>
              <w:top w:w="0" w:type="dxa"/>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Restricted stock amortization, issuances and forfeitures</w:t>
            </w:r>
          </w:p>
        </w:tc>
        <w:tc>
          <w:tcPr>
            <w:tcW w:w="920" w:type="dxa"/>
            <w:tcBorders/>
            <w:shd w:fill="CCEE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83,065</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right"/>
              <w:rPr/>
            </w:pPr>
            <w:r>
              <w:rPr/>
              <w:t> </w:t>
            </w:r>
          </w:p>
        </w:tc>
        <w:tc>
          <w:tcPr>
            <w:tcW w:w="605" w:type="dxa"/>
            <w:tcBorders/>
            <w:shd w:fill="CCEE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1</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920"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05"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920"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05"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1160" w:type="dxa"/>
            <w:tcBorders/>
            <w:shd w:fill="CCEE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(4,387)</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65"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80"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1115"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20" w:type="dxa"/>
            <w:tcBorders/>
            <w:shd w:fill="CCEE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(4,386)</w:t>
            </w:r>
          </w:p>
        </w:tc>
      </w:tr>
      <w:tr>
        <w:trPr/>
        <w:tc>
          <w:tcPr>
            <w:tcW w:w="1070" w:type="dxa"/>
            <w:tcBorders/>
            <w:shd w:fill="FFFFFF" w:val="clear"/>
            <w:tcMar>
              <w:top w:w="0" w:type="dxa"/>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Conversion of Class B to Class A common stock</w:t>
            </w:r>
          </w:p>
        </w:tc>
        <w:tc>
          <w:tcPr>
            <w:tcW w:w="920" w:type="dxa"/>
            <w:tcBorders/>
            <w:shd w:fill="FFFF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23</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righ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920" w:type="dxa"/>
            <w:tcBorders/>
            <w:shd w:fill="FFFF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(23)</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92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116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6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8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111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20" w:type="dxa"/>
            <w:tcBorders/>
            <w:shd w:fill="FFFF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w:t>
            </w:r>
          </w:p>
        </w:tc>
      </w:tr>
      <w:tr>
        <w:trPr/>
        <w:tc>
          <w:tcPr>
            <w:tcW w:w="1070" w:type="dxa"/>
            <w:tcBorders/>
            <w:shd w:fill="CCEEFF" w:val="clear"/>
            <w:tcMar>
              <w:top w:w="0" w:type="dxa"/>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Changes in noncontrolling interest</w:t>
            </w:r>
          </w:p>
        </w:tc>
        <w:tc>
          <w:tcPr>
            <w:tcW w:w="920"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right"/>
              <w:rPr/>
            </w:pPr>
            <w:r>
              <w:rPr/>
              <w:t> </w:t>
            </w:r>
          </w:p>
        </w:tc>
        <w:tc>
          <w:tcPr>
            <w:tcW w:w="605"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920"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05"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920"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05"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1160"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65"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80"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1115" w:type="dxa"/>
            <w:tcBorders/>
            <w:shd w:fill="CCEE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1,895</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20" w:type="dxa"/>
            <w:tcBorders/>
            <w:shd w:fill="CCEE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1,895</w:t>
            </w:r>
          </w:p>
        </w:tc>
      </w:tr>
      <w:tr>
        <w:trPr/>
        <w:tc>
          <w:tcPr>
            <w:tcW w:w="1070" w:type="dxa"/>
            <w:tcBorders/>
            <w:shd w:fill="FFFFFF" w:val="clear"/>
            <w:tcMar>
              <w:top w:w="0" w:type="dxa"/>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Share repurchases, including excise taxes</w:t>
            </w:r>
          </w:p>
        </w:tc>
        <w:tc>
          <w:tcPr>
            <w:tcW w:w="920" w:type="dxa"/>
            <w:tcBorders/>
            <w:shd w:fill="FFFF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(85,398)</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righ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92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92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116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6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80" w:type="dxa"/>
            <w:tcBorders/>
            <w:shd w:fill="FFFF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(9,000)</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111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20" w:type="dxa"/>
            <w:tcBorders/>
            <w:shd w:fill="FFFF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(9,000)</w:t>
            </w:r>
          </w:p>
        </w:tc>
      </w:tr>
      <w:tr>
        <w:trPr/>
        <w:tc>
          <w:tcPr>
            <w:tcW w:w="1070" w:type="dxa"/>
            <w:tcBorders>
              <w:bottom w:val="single" w:sz="6" w:space="0" w:color="000000"/>
            </w:tcBorders>
            <w:shd w:fill="CCEEFF" w:val="clear"/>
            <w:tcMar>
              <w:top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Net income</w:t>
            </w:r>
          </w:p>
        </w:tc>
        <w:tc>
          <w:tcPr>
            <w:tcW w:w="92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6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11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605"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6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92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6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110" w:type="dxa"/>
            <w:tcBorders>
              <w:bottom w:val="single" w:sz="6" w:space="0" w:color="000000"/>
            </w:tcBorders>
            <w:shd w:fill="CCEEFF" w:val="clear"/>
            <w:tcMar>
              <w:top w:w="0" w:type="dxa"/>
            </w:tcMar>
            <w:vAlign w:val="center"/>
          </w:tcPr>
          <w:p>
            <w:pPr>
              <w:pStyle w:val="TableContents"/>
              <w:bidi w:val="0"/>
              <w:spacing w:before="0" w:after="0"/>
              <w:jc w:val="left"/>
              <w:rPr/>
            </w:pPr>
            <w:r>
              <w:rPr/>
              <w:t> </w:t>
            </w:r>
          </w:p>
        </w:tc>
        <w:tc>
          <w:tcPr>
            <w:tcW w:w="605"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6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92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6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110" w:type="dxa"/>
            <w:tcBorders>
              <w:bottom w:val="single" w:sz="6" w:space="0" w:color="000000"/>
            </w:tcBorders>
            <w:shd w:fill="CCEEFF" w:val="clear"/>
            <w:tcMar>
              <w:top w:w="0" w:type="dxa"/>
            </w:tcMar>
            <w:vAlign w:val="center"/>
          </w:tcPr>
          <w:p>
            <w:pPr>
              <w:pStyle w:val="TableContents"/>
              <w:bidi w:val="0"/>
              <w:spacing w:before="0" w:after="0"/>
              <w:jc w:val="left"/>
              <w:rPr/>
            </w:pPr>
            <w:r>
              <w:rPr/>
              <w:t> </w:t>
            </w:r>
          </w:p>
        </w:tc>
        <w:tc>
          <w:tcPr>
            <w:tcW w:w="605"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6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110" w:type="dxa"/>
            <w:tcBorders>
              <w:bottom w:val="single" w:sz="6" w:space="0" w:color="000000"/>
            </w:tcBorders>
            <w:shd w:fill="CCEEFF" w:val="clear"/>
            <w:tcMar>
              <w:top w:w="0" w:type="dxa"/>
            </w:tcMar>
            <w:vAlign w:val="center"/>
          </w:tcPr>
          <w:p>
            <w:pPr>
              <w:pStyle w:val="TableContents"/>
              <w:bidi w:val="0"/>
              <w:spacing w:before="0" w:after="0"/>
              <w:jc w:val="left"/>
              <w:rPr/>
            </w:pPr>
            <w:r>
              <w:rPr/>
              <w:t> </w:t>
            </w:r>
          </w:p>
        </w:tc>
        <w:tc>
          <w:tcPr>
            <w:tcW w:w="116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6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110" w:type="dxa"/>
            <w:tcBorders>
              <w:bottom w:val="single" w:sz="6" w:space="0" w:color="000000"/>
            </w:tcBorders>
            <w:shd w:fill="CCEEFF" w:val="clear"/>
            <w:tcMar>
              <w:top w:w="0" w:type="dxa"/>
            </w:tcMar>
            <w:vAlign w:val="center"/>
          </w:tcPr>
          <w:p>
            <w:pPr>
              <w:pStyle w:val="TableContents"/>
              <w:bidi w:val="0"/>
              <w:spacing w:before="0" w:after="0"/>
              <w:jc w:val="left"/>
              <w:rPr/>
            </w:pPr>
            <w:r>
              <w:rPr/>
              <w:t> </w:t>
            </w:r>
          </w:p>
        </w:tc>
        <w:tc>
          <w:tcPr>
            <w:tcW w:w="665" w:type="dxa"/>
            <w:tcBorders>
              <w:bottom w:val="single" w:sz="6" w:space="0" w:color="000000"/>
            </w:tcBorders>
            <w:shd w:fill="CCEEFF" w:val="clear"/>
            <w:tcMar>
              <w:top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20,859</w:t>
            </w:r>
          </w:p>
        </w:tc>
        <w:tc>
          <w:tcPr>
            <w:tcW w:w="6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110" w:type="dxa"/>
            <w:tcBorders>
              <w:bottom w:val="single" w:sz="6" w:space="0" w:color="000000"/>
            </w:tcBorders>
            <w:shd w:fill="CCEEFF" w:val="clear"/>
            <w:tcMar>
              <w:top w:w="0" w:type="dxa"/>
            </w:tcMar>
            <w:vAlign w:val="center"/>
          </w:tcPr>
          <w:p>
            <w:pPr>
              <w:pStyle w:val="TableContents"/>
              <w:bidi w:val="0"/>
              <w:spacing w:before="0" w:after="0"/>
              <w:jc w:val="left"/>
              <w:rPr/>
            </w:pPr>
            <w:r>
              <w:rPr/>
              <w:t> </w:t>
            </w:r>
          </w:p>
        </w:tc>
        <w:tc>
          <w:tcPr>
            <w:tcW w:w="68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6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110" w:type="dxa"/>
            <w:tcBorders>
              <w:bottom w:val="single" w:sz="6" w:space="0" w:color="000000"/>
            </w:tcBorders>
            <w:shd w:fill="CCEEFF" w:val="clear"/>
            <w:tcMar>
              <w:top w:w="0" w:type="dxa"/>
            </w:tcMar>
            <w:vAlign w:val="center"/>
          </w:tcPr>
          <w:p>
            <w:pPr>
              <w:pStyle w:val="TableContents"/>
              <w:bidi w:val="0"/>
              <w:spacing w:before="0" w:after="0"/>
              <w:jc w:val="left"/>
              <w:rPr/>
            </w:pPr>
            <w:r>
              <w:rPr/>
              <w:t> </w:t>
            </w:r>
          </w:p>
        </w:tc>
        <w:tc>
          <w:tcPr>
            <w:tcW w:w="1115"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6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110" w:type="dxa"/>
            <w:tcBorders>
              <w:bottom w:val="single" w:sz="6" w:space="0" w:color="000000"/>
            </w:tcBorders>
            <w:shd w:fill="CCEEFF" w:val="clear"/>
            <w:tcMar>
              <w:top w:w="0" w:type="dxa"/>
            </w:tcMar>
            <w:vAlign w:val="center"/>
          </w:tcPr>
          <w:p>
            <w:pPr>
              <w:pStyle w:val="TableContents"/>
              <w:bidi w:val="0"/>
              <w:spacing w:before="0" w:after="0"/>
              <w:jc w:val="left"/>
              <w:rPr/>
            </w:pPr>
            <w:r>
              <w:rPr/>
              <w:t> </w:t>
            </w:r>
          </w:p>
        </w:tc>
        <w:tc>
          <w:tcPr>
            <w:tcW w:w="620" w:type="dxa"/>
            <w:tcBorders>
              <w:bottom w:val="single" w:sz="6" w:space="0" w:color="000000"/>
            </w:tcBorders>
            <w:shd w:fill="CCEEFF" w:val="clear"/>
            <w:tcMar>
              <w:top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20,859</w:t>
            </w:r>
          </w:p>
        </w:tc>
      </w:tr>
      <w:tr>
        <w:trPr/>
        <w:tc>
          <w:tcPr>
            <w:tcW w:w="1070" w:type="dxa"/>
            <w:tcBorders>
              <w:top w:val="single" w:sz="6" w:space="0" w:color="000000"/>
              <w:bottom w:val="double" w:sz="6" w:space="0" w:color="000000"/>
            </w:tcBorders>
            <w:shd w:fill="FFFF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Balance, January 31, 2026</w:t>
            </w:r>
          </w:p>
        </w:tc>
        <w:tc>
          <w:tcPr>
            <w:tcW w:w="920" w:type="dxa"/>
            <w:tcBorders>
              <w:top w:val="single" w:sz="6"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5,153,325</w:t>
            </w:r>
          </w:p>
        </w:tc>
        <w:tc>
          <w:tcPr>
            <w:tcW w:w="60" w:type="dxa"/>
            <w:tcBorders>
              <w:top w:val="single" w:sz="6" w:space="0" w:color="000000"/>
              <w:bottom w:val="double" w:sz="6" w:space="0" w:color="000000"/>
            </w:tcBorders>
            <w:shd w:fill="FFFFFF" w:val="clear"/>
            <w:vAlign w:val="center"/>
          </w:tcPr>
          <w:p>
            <w:pPr>
              <w:pStyle w:val="TableContents"/>
              <w:bidi w:val="0"/>
              <w:spacing w:before="0" w:after="0"/>
              <w:jc w:val="right"/>
              <w:rPr>
                <w:color w:val="333333"/>
              </w:rPr>
            </w:pPr>
            <w:r>
              <w:rPr>
                <w:color w:val="333333"/>
              </w:rPr>
              <w:t> </w:t>
            </w:r>
          </w:p>
        </w:tc>
        <w:tc>
          <w:tcPr>
            <w:tcW w:w="110" w:type="dxa"/>
            <w:tcBorders>
              <w:top w:val="single" w:sz="6" w:space="0" w:color="000000"/>
              <w:bottom w:val="double" w:sz="6" w:space="0" w:color="000000"/>
            </w:tcBorders>
            <w:shd w:fill="FFFF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05" w:type="dxa"/>
            <w:tcBorders>
              <w:top w:val="single" w:sz="6"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66</w:t>
            </w:r>
          </w:p>
        </w:tc>
        <w:tc>
          <w:tcPr>
            <w:tcW w:w="60" w:type="dxa"/>
            <w:tcBorders>
              <w:top w:val="single" w:sz="6" w:space="0" w:color="000000"/>
              <w:bottom w:val="double" w:sz="6" w:space="0" w:color="000000"/>
            </w:tcBorders>
            <w:shd w:fill="FFFFFF" w:val="clear"/>
            <w:vAlign w:val="center"/>
          </w:tcPr>
          <w:p>
            <w:pPr>
              <w:pStyle w:val="TableContents"/>
              <w:bidi w:val="0"/>
              <w:spacing w:before="0" w:after="0"/>
              <w:jc w:val="right"/>
              <w:rPr>
                <w:color w:val="333333"/>
              </w:rPr>
            </w:pPr>
            <w:r>
              <w:rPr>
                <w:color w:val="333333"/>
              </w:rPr>
              <w:t> </w:t>
            </w:r>
          </w:p>
        </w:tc>
        <w:tc>
          <w:tcPr>
            <w:tcW w:w="920" w:type="dxa"/>
            <w:tcBorders>
              <w:top w:val="single" w:sz="6"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784,718</w:t>
            </w:r>
          </w:p>
        </w:tc>
        <w:tc>
          <w:tcPr>
            <w:tcW w:w="60" w:type="dxa"/>
            <w:tcBorders>
              <w:top w:val="single" w:sz="6" w:space="0" w:color="000000"/>
              <w:bottom w:val="double" w:sz="6" w:space="0" w:color="000000"/>
            </w:tcBorders>
            <w:shd w:fill="FFFFFF" w:val="clear"/>
            <w:vAlign w:val="center"/>
          </w:tcPr>
          <w:p>
            <w:pPr>
              <w:pStyle w:val="TableContents"/>
              <w:bidi w:val="0"/>
              <w:spacing w:before="0" w:after="0"/>
              <w:jc w:val="right"/>
              <w:rPr>
                <w:color w:val="333333"/>
              </w:rPr>
            </w:pPr>
            <w:r>
              <w:rPr>
                <w:color w:val="333333"/>
              </w:rPr>
              <w:t> </w:t>
            </w:r>
          </w:p>
        </w:tc>
        <w:tc>
          <w:tcPr>
            <w:tcW w:w="110" w:type="dxa"/>
            <w:tcBorders>
              <w:top w:val="single" w:sz="6" w:space="0" w:color="000000"/>
              <w:bottom w:val="double" w:sz="6" w:space="0" w:color="000000"/>
            </w:tcBorders>
            <w:shd w:fill="FFFF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05" w:type="dxa"/>
            <w:tcBorders>
              <w:top w:val="single" w:sz="6"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8</w:t>
            </w:r>
          </w:p>
        </w:tc>
        <w:tc>
          <w:tcPr>
            <w:tcW w:w="60" w:type="dxa"/>
            <w:tcBorders>
              <w:top w:val="single" w:sz="6" w:space="0" w:color="000000"/>
              <w:bottom w:val="double" w:sz="6" w:space="0" w:color="000000"/>
            </w:tcBorders>
            <w:shd w:fill="FFFFFF" w:val="clear"/>
            <w:vAlign w:val="center"/>
          </w:tcPr>
          <w:p>
            <w:pPr>
              <w:pStyle w:val="TableContents"/>
              <w:bidi w:val="0"/>
              <w:spacing w:before="0" w:after="0"/>
              <w:jc w:val="right"/>
              <w:rPr>
                <w:color w:val="333333"/>
              </w:rPr>
            </w:pPr>
            <w:r>
              <w:rPr>
                <w:color w:val="333333"/>
              </w:rPr>
              <w:t> </w:t>
            </w:r>
          </w:p>
        </w:tc>
        <w:tc>
          <w:tcPr>
            <w:tcW w:w="920" w:type="dxa"/>
            <w:tcBorders>
              <w:top w:val="single" w:sz="6"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5,600</w:t>
            </w:r>
          </w:p>
        </w:tc>
        <w:tc>
          <w:tcPr>
            <w:tcW w:w="60" w:type="dxa"/>
            <w:tcBorders>
              <w:top w:val="single" w:sz="6" w:space="0" w:color="000000"/>
              <w:bottom w:val="double" w:sz="6" w:space="0" w:color="000000"/>
            </w:tcBorders>
            <w:shd w:fill="FFFFFF" w:val="clear"/>
            <w:vAlign w:val="center"/>
          </w:tcPr>
          <w:p>
            <w:pPr>
              <w:pStyle w:val="TableContents"/>
              <w:bidi w:val="0"/>
              <w:spacing w:before="0" w:after="0"/>
              <w:jc w:val="right"/>
              <w:rPr>
                <w:color w:val="333333"/>
              </w:rPr>
            </w:pPr>
            <w:r>
              <w:rPr>
                <w:color w:val="333333"/>
              </w:rPr>
              <w:t> </w:t>
            </w:r>
          </w:p>
        </w:tc>
        <w:tc>
          <w:tcPr>
            <w:tcW w:w="110" w:type="dxa"/>
            <w:tcBorders>
              <w:top w:val="single" w:sz="6" w:space="0" w:color="000000"/>
              <w:bottom w:val="double" w:sz="6" w:space="0" w:color="000000"/>
            </w:tcBorders>
            <w:shd w:fill="FFFF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05" w:type="dxa"/>
            <w:tcBorders>
              <w:top w:val="single" w:sz="6"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135,299</w:t>
            </w:r>
          </w:p>
        </w:tc>
        <w:tc>
          <w:tcPr>
            <w:tcW w:w="60" w:type="dxa"/>
            <w:tcBorders>
              <w:top w:val="single" w:sz="6" w:space="0" w:color="000000"/>
              <w:bottom w:val="double" w:sz="6" w:space="0" w:color="000000"/>
            </w:tcBorders>
            <w:shd w:fill="FFFFFF" w:val="clear"/>
            <w:vAlign w:val="center"/>
          </w:tcPr>
          <w:p>
            <w:pPr>
              <w:pStyle w:val="TableContents"/>
              <w:bidi w:val="0"/>
              <w:spacing w:before="0" w:after="0"/>
              <w:jc w:val="right"/>
              <w:rPr>
                <w:color w:val="333333"/>
              </w:rPr>
            </w:pPr>
            <w:r>
              <w:rPr>
                <w:color w:val="333333"/>
              </w:rPr>
              <w:t> </w:t>
            </w:r>
          </w:p>
        </w:tc>
        <w:tc>
          <w:tcPr>
            <w:tcW w:w="110" w:type="dxa"/>
            <w:tcBorders>
              <w:top w:val="single" w:sz="6" w:space="0" w:color="000000"/>
              <w:bottom w:val="double" w:sz="6" w:space="0" w:color="000000"/>
            </w:tcBorders>
            <w:shd w:fill="FFFF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1160" w:type="dxa"/>
            <w:tcBorders>
              <w:top w:val="single" w:sz="6"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753,004</w:t>
            </w:r>
          </w:p>
        </w:tc>
        <w:tc>
          <w:tcPr>
            <w:tcW w:w="60" w:type="dxa"/>
            <w:tcBorders>
              <w:top w:val="single" w:sz="6" w:space="0" w:color="000000"/>
              <w:bottom w:val="double" w:sz="6" w:space="0" w:color="000000"/>
            </w:tcBorders>
            <w:shd w:fill="FFFFFF" w:val="clear"/>
            <w:vAlign w:val="center"/>
          </w:tcPr>
          <w:p>
            <w:pPr>
              <w:pStyle w:val="TableContents"/>
              <w:bidi w:val="0"/>
              <w:spacing w:before="0" w:after="0"/>
              <w:jc w:val="right"/>
              <w:rPr>
                <w:color w:val="333333"/>
              </w:rPr>
            </w:pPr>
            <w:r>
              <w:rPr>
                <w:color w:val="333333"/>
              </w:rPr>
              <w:t> </w:t>
            </w:r>
          </w:p>
        </w:tc>
        <w:tc>
          <w:tcPr>
            <w:tcW w:w="110" w:type="dxa"/>
            <w:tcBorders>
              <w:top w:val="single" w:sz="6" w:space="0" w:color="000000"/>
              <w:bottom w:val="double" w:sz="6" w:space="0" w:color="000000"/>
            </w:tcBorders>
            <w:shd w:fill="FFFF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65" w:type="dxa"/>
            <w:tcBorders>
              <w:top w:val="single" w:sz="6"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145,516</w:t>
            </w:r>
          </w:p>
        </w:tc>
        <w:tc>
          <w:tcPr>
            <w:tcW w:w="60" w:type="dxa"/>
            <w:tcBorders>
              <w:top w:val="single" w:sz="6" w:space="0" w:color="000000"/>
              <w:bottom w:val="double" w:sz="6" w:space="0" w:color="000000"/>
            </w:tcBorders>
            <w:shd w:fill="FFFFFF" w:val="clear"/>
            <w:vAlign w:val="center"/>
          </w:tcPr>
          <w:p>
            <w:pPr>
              <w:pStyle w:val="TableContents"/>
              <w:bidi w:val="0"/>
              <w:spacing w:before="0" w:after="0"/>
              <w:jc w:val="right"/>
              <w:rPr>
                <w:color w:val="333333"/>
              </w:rPr>
            </w:pPr>
            <w:r>
              <w:rPr>
                <w:color w:val="333333"/>
              </w:rPr>
              <w:t> </w:t>
            </w:r>
          </w:p>
        </w:tc>
        <w:tc>
          <w:tcPr>
            <w:tcW w:w="110" w:type="dxa"/>
            <w:tcBorders>
              <w:top w:val="single" w:sz="6" w:space="0" w:color="000000"/>
              <w:bottom w:val="double" w:sz="6" w:space="0" w:color="000000"/>
            </w:tcBorders>
            <w:shd w:fill="FFFF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80" w:type="dxa"/>
            <w:tcBorders>
              <w:top w:val="single" w:sz="6"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(198,154)</w:t>
            </w:r>
          </w:p>
        </w:tc>
        <w:tc>
          <w:tcPr>
            <w:tcW w:w="60" w:type="dxa"/>
            <w:tcBorders>
              <w:top w:val="single" w:sz="6" w:space="0" w:color="000000"/>
              <w:bottom w:val="double" w:sz="6" w:space="0" w:color="000000"/>
            </w:tcBorders>
            <w:shd w:fill="FFFFFF" w:val="clear"/>
            <w:vAlign w:val="center"/>
          </w:tcPr>
          <w:p>
            <w:pPr>
              <w:pStyle w:val="TableContents"/>
              <w:bidi w:val="0"/>
              <w:spacing w:before="0" w:after="0"/>
              <w:jc w:val="right"/>
              <w:rPr>
                <w:color w:val="333333"/>
              </w:rPr>
            </w:pPr>
            <w:r>
              <w:rPr>
                <w:color w:val="333333"/>
              </w:rPr>
              <w:t> </w:t>
            </w:r>
          </w:p>
        </w:tc>
        <w:tc>
          <w:tcPr>
            <w:tcW w:w="110" w:type="dxa"/>
            <w:tcBorders>
              <w:top w:val="single" w:sz="6" w:space="0" w:color="000000"/>
              <w:bottom w:val="double" w:sz="6" w:space="0" w:color="000000"/>
            </w:tcBorders>
            <w:shd w:fill="FFFF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1115" w:type="dxa"/>
            <w:tcBorders>
              <w:top w:val="single" w:sz="6"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1,895</w:t>
            </w:r>
          </w:p>
        </w:tc>
        <w:tc>
          <w:tcPr>
            <w:tcW w:w="60" w:type="dxa"/>
            <w:tcBorders>
              <w:top w:val="single" w:sz="6" w:space="0" w:color="000000"/>
              <w:bottom w:val="double" w:sz="6" w:space="0" w:color="000000"/>
            </w:tcBorders>
            <w:shd w:fill="FFFFFF" w:val="clear"/>
            <w:vAlign w:val="center"/>
          </w:tcPr>
          <w:p>
            <w:pPr>
              <w:pStyle w:val="TableContents"/>
              <w:bidi w:val="0"/>
              <w:spacing w:before="0" w:after="0"/>
              <w:jc w:val="right"/>
              <w:rPr>
                <w:color w:val="333333"/>
              </w:rPr>
            </w:pPr>
            <w:r>
              <w:rPr>
                <w:color w:val="333333"/>
              </w:rPr>
              <w:t> </w:t>
            </w:r>
          </w:p>
        </w:tc>
        <w:tc>
          <w:tcPr>
            <w:tcW w:w="110" w:type="dxa"/>
            <w:tcBorders>
              <w:top w:val="single" w:sz="6" w:space="0" w:color="000000"/>
              <w:bottom w:val="double" w:sz="6" w:space="0" w:color="000000"/>
            </w:tcBorders>
            <w:shd w:fill="FFFF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20" w:type="dxa"/>
            <w:tcBorders>
              <w:top w:val="single" w:sz="6"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837,634</w:t>
            </w:r>
          </w:p>
        </w:tc>
      </w:tr>
      <w:tr>
        <w:trPr/>
        <w:tc>
          <w:tcPr>
            <w:tcW w:w="1070" w:type="dxa"/>
            <w:tcBorders>
              <w:top w:val="double" w:sz="6" w:space="0" w:color="000000"/>
            </w:tcBorders>
            <w:shd w:fill="CCEEFF" w:val="clear"/>
            <w:tcMar>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Stock options, amortization and issuances</w:t>
            </w:r>
          </w:p>
        </w:tc>
        <w:tc>
          <w:tcPr>
            <w:tcW w:w="920" w:type="dxa"/>
            <w:tcBorders>
              <w:top w:val="double" w:sz="6" w:space="0" w:color="000000"/>
            </w:tcBorders>
            <w:shd w:fill="CCEEFF" w:val="clear"/>
            <w:tcMar>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1,452</w:t>
            </w:r>
          </w:p>
        </w:tc>
        <w:tc>
          <w:tcPr>
            <w:tcW w:w="60"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110" w:type="dxa"/>
            <w:tcBorders>
              <w:top w:val="double" w:sz="6" w:space="0" w:color="000000"/>
            </w:tcBorders>
            <w:shd w:fill="CCEEFF" w:val="clear"/>
            <w:tcMar>
              <w:bottom w:w="0" w:type="dxa"/>
            </w:tcMar>
            <w:vAlign w:val="center"/>
          </w:tcPr>
          <w:p>
            <w:pPr>
              <w:pStyle w:val="TableContents"/>
              <w:bidi w:val="0"/>
              <w:spacing w:before="0" w:after="0"/>
              <w:jc w:val="left"/>
              <w:rPr>
                <w:color w:val="333333"/>
              </w:rPr>
            </w:pPr>
            <w:r>
              <w:rPr>
                <w:color w:val="333333"/>
              </w:rPr>
              <w:t> </w:t>
            </w:r>
          </w:p>
        </w:tc>
        <w:tc>
          <w:tcPr>
            <w:tcW w:w="605"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60"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920" w:type="dxa"/>
            <w:tcBorders>
              <w:top w:val="double" w:sz="6" w:space="0" w:color="000000"/>
            </w:tcBorders>
            <w:shd w:fill="CCEEFF" w:val="clear"/>
            <w:tcMar>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306</w:t>
            </w:r>
          </w:p>
        </w:tc>
        <w:tc>
          <w:tcPr>
            <w:tcW w:w="60"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110" w:type="dxa"/>
            <w:tcBorders>
              <w:top w:val="double" w:sz="6" w:space="0" w:color="000000"/>
            </w:tcBorders>
            <w:shd w:fill="CCEEFF" w:val="clear"/>
            <w:tcMar>
              <w:bottom w:w="0" w:type="dxa"/>
            </w:tcMar>
            <w:vAlign w:val="center"/>
          </w:tcPr>
          <w:p>
            <w:pPr>
              <w:pStyle w:val="TableContents"/>
              <w:bidi w:val="0"/>
              <w:spacing w:before="0" w:after="0"/>
              <w:jc w:val="left"/>
              <w:rPr>
                <w:color w:val="333333"/>
              </w:rPr>
            </w:pPr>
            <w:r>
              <w:rPr>
                <w:color w:val="333333"/>
              </w:rPr>
              <w:t> </w:t>
            </w:r>
          </w:p>
        </w:tc>
        <w:tc>
          <w:tcPr>
            <w:tcW w:w="605"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60"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920"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60"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110" w:type="dxa"/>
            <w:tcBorders>
              <w:top w:val="double" w:sz="6" w:space="0" w:color="000000"/>
            </w:tcBorders>
            <w:shd w:fill="CCEEFF" w:val="clear"/>
            <w:tcMar>
              <w:bottom w:w="0" w:type="dxa"/>
            </w:tcMar>
            <w:vAlign w:val="center"/>
          </w:tcPr>
          <w:p>
            <w:pPr>
              <w:pStyle w:val="TableContents"/>
              <w:bidi w:val="0"/>
              <w:spacing w:before="0" w:after="0"/>
              <w:jc w:val="left"/>
              <w:rPr>
                <w:color w:val="333333"/>
              </w:rPr>
            </w:pPr>
            <w:r>
              <w:rPr>
                <w:color w:val="333333"/>
              </w:rPr>
              <w:t> </w:t>
            </w:r>
          </w:p>
        </w:tc>
        <w:tc>
          <w:tcPr>
            <w:tcW w:w="605"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60"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110" w:type="dxa"/>
            <w:tcBorders>
              <w:top w:val="double" w:sz="6" w:space="0" w:color="000000"/>
            </w:tcBorders>
            <w:shd w:fill="CCEEFF" w:val="clear"/>
            <w:tcMar>
              <w:bottom w:w="0" w:type="dxa"/>
            </w:tcMar>
            <w:vAlign w:val="center"/>
          </w:tcPr>
          <w:p>
            <w:pPr>
              <w:pStyle w:val="TableContents"/>
              <w:bidi w:val="0"/>
              <w:spacing w:before="0" w:after="0"/>
              <w:jc w:val="left"/>
              <w:rPr>
                <w:color w:val="333333"/>
              </w:rPr>
            </w:pPr>
            <w:r>
              <w:rPr>
                <w:color w:val="333333"/>
              </w:rPr>
              <w:t> </w:t>
            </w:r>
          </w:p>
        </w:tc>
        <w:tc>
          <w:tcPr>
            <w:tcW w:w="1160" w:type="dxa"/>
            <w:tcBorders>
              <w:top w:val="double" w:sz="6" w:space="0" w:color="000000"/>
            </w:tcBorders>
            <w:shd w:fill="CCEEFF" w:val="clear"/>
            <w:tcMar>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(68)</w:t>
            </w:r>
          </w:p>
        </w:tc>
        <w:tc>
          <w:tcPr>
            <w:tcW w:w="60"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110" w:type="dxa"/>
            <w:tcBorders>
              <w:top w:val="double" w:sz="6" w:space="0" w:color="000000"/>
            </w:tcBorders>
            <w:shd w:fill="CCEEFF" w:val="clear"/>
            <w:tcMar>
              <w:bottom w:w="0" w:type="dxa"/>
            </w:tcMar>
            <w:vAlign w:val="center"/>
          </w:tcPr>
          <w:p>
            <w:pPr>
              <w:pStyle w:val="TableContents"/>
              <w:bidi w:val="0"/>
              <w:spacing w:before="0" w:after="0"/>
              <w:jc w:val="left"/>
              <w:rPr>
                <w:color w:val="333333"/>
              </w:rPr>
            </w:pPr>
            <w:r>
              <w:rPr>
                <w:color w:val="333333"/>
              </w:rPr>
              <w:t> </w:t>
            </w:r>
          </w:p>
        </w:tc>
        <w:tc>
          <w:tcPr>
            <w:tcW w:w="665"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60"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110" w:type="dxa"/>
            <w:tcBorders>
              <w:top w:val="double" w:sz="6" w:space="0" w:color="000000"/>
            </w:tcBorders>
            <w:shd w:fill="CCEEFF" w:val="clear"/>
            <w:tcMar>
              <w:bottom w:w="0" w:type="dxa"/>
            </w:tcMar>
            <w:vAlign w:val="center"/>
          </w:tcPr>
          <w:p>
            <w:pPr>
              <w:pStyle w:val="TableContents"/>
              <w:bidi w:val="0"/>
              <w:spacing w:before="0" w:after="0"/>
              <w:jc w:val="left"/>
              <w:rPr>
                <w:color w:val="333333"/>
              </w:rPr>
            </w:pPr>
            <w:r>
              <w:rPr>
                <w:color w:val="333333"/>
              </w:rPr>
              <w:t> </w:t>
            </w:r>
          </w:p>
        </w:tc>
        <w:tc>
          <w:tcPr>
            <w:tcW w:w="680"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60"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110" w:type="dxa"/>
            <w:tcBorders>
              <w:top w:val="double" w:sz="6" w:space="0" w:color="000000"/>
            </w:tcBorders>
            <w:shd w:fill="CCEEFF" w:val="clear"/>
            <w:tcMar>
              <w:bottom w:w="0" w:type="dxa"/>
            </w:tcMar>
            <w:vAlign w:val="center"/>
          </w:tcPr>
          <w:p>
            <w:pPr>
              <w:pStyle w:val="TableContents"/>
              <w:bidi w:val="0"/>
              <w:spacing w:before="0" w:after="0"/>
              <w:jc w:val="left"/>
              <w:rPr>
                <w:color w:val="333333"/>
              </w:rPr>
            </w:pPr>
            <w:r>
              <w:rPr>
                <w:color w:val="333333"/>
              </w:rPr>
              <w:t> </w:t>
            </w:r>
          </w:p>
        </w:tc>
        <w:tc>
          <w:tcPr>
            <w:tcW w:w="1115"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60"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110" w:type="dxa"/>
            <w:tcBorders>
              <w:top w:val="double" w:sz="6" w:space="0" w:color="000000"/>
            </w:tcBorders>
            <w:shd w:fill="CCEEFF" w:val="clear"/>
            <w:tcMar>
              <w:bottom w:w="0" w:type="dxa"/>
            </w:tcMar>
            <w:vAlign w:val="center"/>
          </w:tcPr>
          <w:p>
            <w:pPr>
              <w:pStyle w:val="TableContents"/>
              <w:bidi w:val="0"/>
              <w:spacing w:before="0" w:after="0"/>
              <w:jc w:val="left"/>
              <w:rPr>
                <w:color w:val="333333"/>
              </w:rPr>
            </w:pPr>
            <w:r>
              <w:rPr>
                <w:color w:val="333333"/>
              </w:rPr>
              <w:t> </w:t>
            </w:r>
          </w:p>
        </w:tc>
        <w:tc>
          <w:tcPr>
            <w:tcW w:w="620" w:type="dxa"/>
            <w:tcBorders>
              <w:top w:val="double" w:sz="6" w:space="0" w:color="000000"/>
            </w:tcBorders>
            <w:shd w:fill="CCEEFF" w:val="clear"/>
            <w:tcMar>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(68)</w:t>
            </w:r>
          </w:p>
        </w:tc>
      </w:tr>
      <w:tr>
        <w:trPr/>
        <w:tc>
          <w:tcPr>
            <w:tcW w:w="1070" w:type="dxa"/>
            <w:tcBorders/>
            <w:shd w:fill="FFFFFF" w:val="clear"/>
            <w:tcMar>
              <w:top w:w="0" w:type="dxa"/>
              <w:bottom w:w="0" w:type="dxa"/>
            </w:tcMar>
            <w:vAlign w:val="center"/>
          </w:tcPr>
          <w:p>
            <w:pPr>
              <w:pStyle w:val="TableContents"/>
              <w:bidi w:val="0"/>
              <w:spacing w:before="0" w:after="0"/>
              <w:jc w:val="left"/>
              <w:rPr>
                <w:sz w:val="16"/>
              </w:rPr>
            </w:pPr>
            <w:r>
              <w:rPr>
                <w:rFonts w:ascii="Times New Roman" w:hAnsi="Times New Roman"/>
                <w:sz w:val="16"/>
              </w:rPr>
              <w:t>Preferred dividend declared ($476.56</w:t>
            </w:r>
            <w:r>
              <w:rPr>
                <w:sz w:val="16"/>
              </w:rPr>
              <w:t xml:space="preserve"> </w:t>
            </w:r>
            <w:r>
              <w:rPr>
                <w:rFonts w:ascii="Times New Roman" w:hAnsi="Times New Roman"/>
                <w:sz w:val="16"/>
              </w:rPr>
              <w:t>per share)</w:t>
            </w:r>
          </w:p>
        </w:tc>
        <w:tc>
          <w:tcPr>
            <w:tcW w:w="92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righ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92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92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116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65" w:type="dxa"/>
            <w:tcBorders/>
            <w:shd w:fill="FFFF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(2,669)</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8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111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20" w:type="dxa"/>
            <w:tcBorders/>
            <w:shd w:fill="FFFF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(2,669)</w:t>
            </w:r>
          </w:p>
        </w:tc>
      </w:tr>
      <w:tr>
        <w:trPr/>
        <w:tc>
          <w:tcPr>
            <w:tcW w:w="1070" w:type="dxa"/>
            <w:tcBorders/>
            <w:shd w:fill="CCEEFF" w:val="clear"/>
            <w:tcMar>
              <w:top w:w="0" w:type="dxa"/>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Restricted stock amortization, issuances and forfeitures</w:t>
            </w:r>
          </w:p>
        </w:tc>
        <w:tc>
          <w:tcPr>
            <w:tcW w:w="920" w:type="dxa"/>
            <w:tcBorders/>
            <w:shd w:fill="CCEE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2,040</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right"/>
              <w:rPr/>
            </w:pPr>
            <w:r>
              <w:rPr/>
              <w:t> </w:t>
            </w:r>
          </w:p>
        </w:tc>
        <w:tc>
          <w:tcPr>
            <w:tcW w:w="605"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920"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05"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920"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05"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1160" w:type="dxa"/>
            <w:tcBorders/>
            <w:shd w:fill="CCEE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1,716</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65"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80"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1115"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20" w:type="dxa"/>
            <w:tcBorders/>
            <w:shd w:fill="CCEE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1,716</w:t>
            </w:r>
          </w:p>
        </w:tc>
      </w:tr>
      <w:tr>
        <w:trPr/>
        <w:tc>
          <w:tcPr>
            <w:tcW w:w="1070" w:type="dxa"/>
            <w:tcBorders/>
            <w:shd w:fill="FFFFFF" w:val="clear"/>
            <w:tcMar>
              <w:top w:w="0" w:type="dxa"/>
              <w:bottom w:w="0" w:type="dxa"/>
            </w:tcMar>
            <w:vAlign w:val="center"/>
          </w:tcPr>
          <w:p>
            <w:pPr>
              <w:pStyle w:val="TableContents"/>
              <w:bidi w:val="0"/>
              <w:spacing w:before="0" w:after="0"/>
              <w:jc w:val="left"/>
              <w:rPr>
                <w:sz w:val="16"/>
              </w:rPr>
            </w:pPr>
            <w:r>
              <w:rPr>
                <w:rFonts w:ascii="Times New Roman" w:hAnsi="Times New Roman"/>
                <w:sz w:val="16"/>
              </w:rPr>
              <w:t>Conversion of Class B to Class A common stock</w:t>
            </w:r>
            <w:r>
              <w:rPr>
                <w:sz w:val="16"/>
              </w:rPr>
              <w:t> </w:t>
            </w:r>
          </w:p>
        </w:tc>
        <w:tc>
          <w:tcPr>
            <w:tcW w:w="920" w:type="dxa"/>
            <w:tcBorders/>
            <w:shd w:fill="FFFF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16</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righ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920" w:type="dxa"/>
            <w:tcBorders/>
            <w:shd w:fill="FFFF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(16)</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92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116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6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8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111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20" w:type="dxa"/>
            <w:tcBorders/>
            <w:shd w:fill="FFFF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w:t>
            </w:r>
          </w:p>
        </w:tc>
      </w:tr>
      <w:tr>
        <w:trPr/>
        <w:tc>
          <w:tcPr>
            <w:tcW w:w="1070" w:type="dxa"/>
            <w:tcBorders/>
            <w:shd w:fill="CCEEFF" w:val="clear"/>
            <w:tcMar>
              <w:top w:w="0" w:type="dxa"/>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Changes in noncontrolling interest</w:t>
            </w:r>
          </w:p>
        </w:tc>
        <w:tc>
          <w:tcPr>
            <w:tcW w:w="920"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right"/>
              <w:rPr/>
            </w:pPr>
            <w:r>
              <w:rPr/>
              <w:t> </w:t>
            </w:r>
          </w:p>
        </w:tc>
        <w:tc>
          <w:tcPr>
            <w:tcW w:w="605"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920"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05"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920"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05"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1160"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65"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80"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1115" w:type="dxa"/>
            <w:tcBorders/>
            <w:shd w:fill="CCEE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1,120</w:t>
            </w:r>
          </w:p>
        </w:tc>
        <w:tc>
          <w:tcPr>
            <w:tcW w:w="60" w:type="dxa"/>
            <w:tcBorders/>
            <w:shd w:fill="CCEEFF" w:val="clear"/>
            <w:tcMar>
              <w:top w:w="0" w:type="dxa"/>
              <w:bottom w:w="0" w:type="dxa"/>
            </w:tcMar>
            <w:vAlign w:val="center"/>
          </w:tcPr>
          <w:p>
            <w:pPr>
              <w:pStyle w:val="TableContents"/>
              <w:bidi w:val="0"/>
              <w:spacing w:before="0" w:after="0"/>
              <w:jc w:val="righ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20" w:type="dxa"/>
            <w:tcBorders/>
            <w:shd w:fill="CCEE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1,120</w:t>
            </w:r>
          </w:p>
        </w:tc>
      </w:tr>
      <w:tr>
        <w:trPr/>
        <w:tc>
          <w:tcPr>
            <w:tcW w:w="1070" w:type="dxa"/>
            <w:tcBorders/>
            <w:shd w:fill="FFFFFF" w:val="clear"/>
            <w:tcMar>
              <w:top w:w="0" w:type="dxa"/>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Share repurchases, including excise taxes</w:t>
            </w:r>
          </w:p>
        </w:tc>
        <w:tc>
          <w:tcPr>
            <w:tcW w:w="920" w:type="dxa"/>
            <w:tcBorders/>
            <w:shd w:fill="FFFF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(90,507)</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righ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92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92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116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6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80" w:type="dxa"/>
            <w:tcBorders/>
            <w:shd w:fill="FFFF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(9,545)</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111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righ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20" w:type="dxa"/>
            <w:tcBorders/>
            <w:shd w:fill="FFFF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(9,545)</w:t>
            </w:r>
          </w:p>
        </w:tc>
      </w:tr>
      <w:tr>
        <w:trPr/>
        <w:tc>
          <w:tcPr>
            <w:tcW w:w="1070" w:type="dxa"/>
            <w:tcBorders>
              <w:bottom w:val="single" w:sz="6" w:space="0" w:color="000000"/>
            </w:tcBorders>
            <w:shd w:fill="CCEEFF" w:val="clear"/>
            <w:tcMar>
              <w:top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Net loss</w:t>
            </w:r>
          </w:p>
        </w:tc>
        <w:tc>
          <w:tcPr>
            <w:tcW w:w="92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6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11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605"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6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92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6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110" w:type="dxa"/>
            <w:tcBorders>
              <w:bottom w:val="single" w:sz="6" w:space="0" w:color="000000"/>
            </w:tcBorders>
            <w:shd w:fill="CCEEFF" w:val="clear"/>
            <w:tcMar>
              <w:top w:w="0" w:type="dxa"/>
            </w:tcMar>
            <w:vAlign w:val="center"/>
          </w:tcPr>
          <w:p>
            <w:pPr>
              <w:pStyle w:val="TableContents"/>
              <w:bidi w:val="0"/>
              <w:spacing w:before="0" w:after="0"/>
              <w:jc w:val="left"/>
              <w:rPr/>
            </w:pPr>
            <w:r>
              <w:rPr/>
              <w:t> </w:t>
            </w:r>
          </w:p>
        </w:tc>
        <w:tc>
          <w:tcPr>
            <w:tcW w:w="605"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6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92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6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110" w:type="dxa"/>
            <w:tcBorders>
              <w:bottom w:val="single" w:sz="6" w:space="0" w:color="000000"/>
            </w:tcBorders>
            <w:shd w:fill="CCEEFF" w:val="clear"/>
            <w:tcMar>
              <w:top w:w="0" w:type="dxa"/>
            </w:tcMar>
            <w:vAlign w:val="center"/>
          </w:tcPr>
          <w:p>
            <w:pPr>
              <w:pStyle w:val="TableContents"/>
              <w:bidi w:val="0"/>
              <w:spacing w:before="0" w:after="0"/>
              <w:jc w:val="left"/>
              <w:rPr/>
            </w:pPr>
            <w:r>
              <w:rPr/>
              <w:t> </w:t>
            </w:r>
          </w:p>
        </w:tc>
        <w:tc>
          <w:tcPr>
            <w:tcW w:w="605"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6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110" w:type="dxa"/>
            <w:tcBorders>
              <w:bottom w:val="single" w:sz="6" w:space="0" w:color="000000"/>
            </w:tcBorders>
            <w:shd w:fill="CCEEFF" w:val="clear"/>
            <w:tcMar>
              <w:top w:w="0" w:type="dxa"/>
            </w:tcMar>
            <w:vAlign w:val="center"/>
          </w:tcPr>
          <w:p>
            <w:pPr>
              <w:pStyle w:val="TableContents"/>
              <w:bidi w:val="0"/>
              <w:spacing w:before="0" w:after="0"/>
              <w:jc w:val="left"/>
              <w:rPr/>
            </w:pPr>
            <w:r>
              <w:rPr/>
              <w:t> </w:t>
            </w:r>
          </w:p>
        </w:tc>
        <w:tc>
          <w:tcPr>
            <w:tcW w:w="116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6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110" w:type="dxa"/>
            <w:tcBorders>
              <w:bottom w:val="single" w:sz="6" w:space="0" w:color="000000"/>
            </w:tcBorders>
            <w:shd w:fill="CCEEFF" w:val="clear"/>
            <w:tcMar>
              <w:top w:w="0" w:type="dxa"/>
            </w:tcMar>
            <w:vAlign w:val="center"/>
          </w:tcPr>
          <w:p>
            <w:pPr>
              <w:pStyle w:val="TableContents"/>
              <w:bidi w:val="0"/>
              <w:spacing w:before="0" w:after="0"/>
              <w:jc w:val="left"/>
              <w:rPr/>
            </w:pPr>
            <w:r>
              <w:rPr/>
              <w:t> </w:t>
            </w:r>
          </w:p>
        </w:tc>
        <w:tc>
          <w:tcPr>
            <w:tcW w:w="665" w:type="dxa"/>
            <w:tcBorders>
              <w:bottom w:val="single" w:sz="6" w:space="0" w:color="000000"/>
            </w:tcBorders>
            <w:shd w:fill="CCEEFF" w:val="clear"/>
            <w:tcMar>
              <w:top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(284)</w:t>
            </w:r>
          </w:p>
        </w:tc>
        <w:tc>
          <w:tcPr>
            <w:tcW w:w="6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110" w:type="dxa"/>
            <w:tcBorders>
              <w:bottom w:val="single" w:sz="6" w:space="0" w:color="000000"/>
            </w:tcBorders>
            <w:shd w:fill="CCEEFF" w:val="clear"/>
            <w:tcMar>
              <w:top w:w="0" w:type="dxa"/>
            </w:tcMar>
            <w:vAlign w:val="center"/>
          </w:tcPr>
          <w:p>
            <w:pPr>
              <w:pStyle w:val="TableContents"/>
              <w:bidi w:val="0"/>
              <w:spacing w:before="0" w:after="0"/>
              <w:jc w:val="left"/>
              <w:rPr/>
            </w:pPr>
            <w:r>
              <w:rPr/>
              <w:t> </w:t>
            </w:r>
          </w:p>
        </w:tc>
        <w:tc>
          <w:tcPr>
            <w:tcW w:w="68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6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110" w:type="dxa"/>
            <w:tcBorders>
              <w:bottom w:val="single" w:sz="6" w:space="0" w:color="000000"/>
            </w:tcBorders>
            <w:shd w:fill="CCEEFF" w:val="clear"/>
            <w:tcMar>
              <w:top w:w="0" w:type="dxa"/>
            </w:tcMar>
            <w:vAlign w:val="center"/>
          </w:tcPr>
          <w:p>
            <w:pPr>
              <w:pStyle w:val="TableContents"/>
              <w:bidi w:val="0"/>
              <w:spacing w:before="0" w:after="0"/>
              <w:jc w:val="left"/>
              <w:rPr/>
            </w:pPr>
            <w:r>
              <w:rPr/>
              <w:t> </w:t>
            </w:r>
          </w:p>
        </w:tc>
        <w:tc>
          <w:tcPr>
            <w:tcW w:w="1115" w:type="dxa"/>
            <w:tcBorders>
              <w:bottom w:val="single" w:sz="6" w:space="0" w:color="000000"/>
            </w:tcBorders>
            <w:shd w:fill="CCEEFF" w:val="clear"/>
            <w:tcMar>
              <w:top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(311)</w:t>
            </w:r>
          </w:p>
        </w:tc>
        <w:tc>
          <w:tcPr>
            <w:tcW w:w="60" w:type="dxa"/>
            <w:tcBorders>
              <w:bottom w:val="single" w:sz="6" w:space="0" w:color="000000"/>
            </w:tcBorders>
            <w:shd w:fill="CCEEFF" w:val="clear"/>
            <w:tcMar>
              <w:top w:w="0" w:type="dxa"/>
            </w:tcMar>
            <w:vAlign w:val="center"/>
          </w:tcPr>
          <w:p>
            <w:pPr>
              <w:pStyle w:val="TableContents"/>
              <w:bidi w:val="0"/>
              <w:spacing w:before="0" w:after="0"/>
              <w:jc w:val="right"/>
              <w:rPr/>
            </w:pPr>
            <w:r>
              <w:rPr/>
              <w:t> </w:t>
            </w:r>
          </w:p>
        </w:tc>
        <w:tc>
          <w:tcPr>
            <w:tcW w:w="110" w:type="dxa"/>
            <w:tcBorders>
              <w:bottom w:val="single" w:sz="6" w:space="0" w:color="000000"/>
            </w:tcBorders>
            <w:shd w:fill="CCEEFF" w:val="clear"/>
            <w:tcMar>
              <w:top w:w="0" w:type="dxa"/>
            </w:tcMar>
            <w:vAlign w:val="center"/>
          </w:tcPr>
          <w:p>
            <w:pPr>
              <w:pStyle w:val="TableContents"/>
              <w:bidi w:val="0"/>
              <w:spacing w:before="0" w:after="0"/>
              <w:jc w:val="left"/>
              <w:rPr/>
            </w:pPr>
            <w:r>
              <w:rPr/>
              <w:t> </w:t>
            </w:r>
          </w:p>
        </w:tc>
        <w:tc>
          <w:tcPr>
            <w:tcW w:w="620" w:type="dxa"/>
            <w:tcBorders>
              <w:bottom w:val="single" w:sz="6" w:space="0" w:color="000000"/>
            </w:tcBorders>
            <w:shd w:fill="CCEEFF" w:val="clear"/>
            <w:tcMar>
              <w:top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(595)</w:t>
            </w:r>
          </w:p>
        </w:tc>
      </w:tr>
      <w:tr>
        <w:trPr/>
        <w:tc>
          <w:tcPr>
            <w:tcW w:w="1070" w:type="dxa"/>
            <w:tcBorders>
              <w:top w:val="single" w:sz="6" w:space="0" w:color="000000"/>
              <w:bottom w:val="double" w:sz="6" w:space="0" w:color="000000"/>
            </w:tcBorders>
            <w:shd w:fill="FFFF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Balance, April 30, 2026</w:t>
            </w:r>
          </w:p>
        </w:tc>
        <w:tc>
          <w:tcPr>
            <w:tcW w:w="920" w:type="dxa"/>
            <w:tcBorders>
              <w:top w:val="single" w:sz="6"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5,066,326</w:t>
            </w:r>
          </w:p>
        </w:tc>
        <w:tc>
          <w:tcPr>
            <w:tcW w:w="60" w:type="dxa"/>
            <w:tcBorders>
              <w:top w:val="single" w:sz="6" w:space="0" w:color="000000"/>
              <w:bottom w:val="double" w:sz="6" w:space="0" w:color="000000"/>
            </w:tcBorders>
            <w:shd w:fill="FFFFFF" w:val="clear"/>
            <w:vAlign w:val="center"/>
          </w:tcPr>
          <w:p>
            <w:pPr>
              <w:pStyle w:val="TableContents"/>
              <w:bidi w:val="0"/>
              <w:spacing w:before="0" w:after="0"/>
              <w:jc w:val="right"/>
              <w:rPr>
                <w:color w:val="333333"/>
              </w:rPr>
            </w:pPr>
            <w:r>
              <w:rPr>
                <w:color w:val="333333"/>
              </w:rPr>
              <w:t> </w:t>
            </w:r>
          </w:p>
        </w:tc>
        <w:tc>
          <w:tcPr>
            <w:tcW w:w="110" w:type="dxa"/>
            <w:tcBorders>
              <w:top w:val="single" w:sz="6" w:space="0" w:color="000000"/>
              <w:bottom w:val="double" w:sz="6" w:space="0" w:color="000000"/>
            </w:tcBorders>
            <w:shd w:fill="FFFF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05" w:type="dxa"/>
            <w:tcBorders>
              <w:top w:val="single" w:sz="6"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66</w:t>
            </w:r>
          </w:p>
        </w:tc>
        <w:tc>
          <w:tcPr>
            <w:tcW w:w="60" w:type="dxa"/>
            <w:tcBorders>
              <w:top w:val="single" w:sz="6" w:space="0" w:color="000000"/>
              <w:bottom w:val="double" w:sz="6" w:space="0" w:color="000000"/>
            </w:tcBorders>
            <w:shd w:fill="FFFFFF" w:val="clear"/>
            <w:vAlign w:val="center"/>
          </w:tcPr>
          <w:p>
            <w:pPr>
              <w:pStyle w:val="TableContents"/>
              <w:bidi w:val="0"/>
              <w:spacing w:before="0" w:after="0"/>
              <w:jc w:val="right"/>
              <w:rPr>
                <w:color w:val="333333"/>
              </w:rPr>
            </w:pPr>
            <w:r>
              <w:rPr>
                <w:color w:val="333333"/>
              </w:rPr>
              <w:t> </w:t>
            </w:r>
          </w:p>
        </w:tc>
        <w:tc>
          <w:tcPr>
            <w:tcW w:w="920" w:type="dxa"/>
            <w:tcBorders>
              <w:top w:val="single" w:sz="6"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785,008</w:t>
            </w:r>
          </w:p>
        </w:tc>
        <w:tc>
          <w:tcPr>
            <w:tcW w:w="60" w:type="dxa"/>
            <w:tcBorders>
              <w:top w:val="single" w:sz="6" w:space="0" w:color="000000"/>
              <w:bottom w:val="double" w:sz="6" w:space="0" w:color="000000"/>
            </w:tcBorders>
            <w:shd w:fill="FFFFFF" w:val="clear"/>
            <w:vAlign w:val="center"/>
          </w:tcPr>
          <w:p>
            <w:pPr>
              <w:pStyle w:val="TableContents"/>
              <w:bidi w:val="0"/>
              <w:spacing w:before="0" w:after="0"/>
              <w:jc w:val="right"/>
              <w:rPr>
                <w:color w:val="333333"/>
              </w:rPr>
            </w:pPr>
            <w:r>
              <w:rPr>
                <w:color w:val="333333"/>
              </w:rPr>
              <w:t> </w:t>
            </w:r>
          </w:p>
        </w:tc>
        <w:tc>
          <w:tcPr>
            <w:tcW w:w="110" w:type="dxa"/>
            <w:tcBorders>
              <w:top w:val="single" w:sz="6" w:space="0" w:color="000000"/>
              <w:bottom w:val="double" w:sz="6" w:space="0" w:color="000000"/>
            </w:tcBorders>
            <w:shd w:fill="FFFF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05" w:type="dxa"/>
            <w:tcBorders>
              <w:top w:val="single" w:sz="6"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8</w:t>
            </w:r>
          </w:p>
        </w:tc>
        <w:tc>
          <w:tcPr>
            <w:tcW w:w="60" w:type="dxa"/>
            <w:tcBorders>
              <w:top w:val="single" w:sz="6" w:space="0" w:color="000000"/>
              <w:bottom w:val="double" w:sz="6" w:space="0" w:color="000000"/>
            </w:tcBorders>
            <w:shd w:fill="FFFFFF" w:val="clear"/>
            <w:vAlign w:val="center"/>
          </w:tcPr>
          <w:p>
            <w:pPr>
              <w:pStyle w:val="TableContents"/>
              <w:bidi w:val="0"/>
              <w:spacing w:before="0" w:after="0"/>
              <w:jc w:val="right"/>
              <w:rPr>
                <w:color w:val="333333"/>
              </w:rPr>
            </w:pPr>
            <w:r>
              <w:rPr>
                <w:color w:val="333333"/>
              </w:rPr>
              <w:t> </w:t>
            </w:r>
          </w:p>
        </w:tc>
        <w:tc>
          <w:tcPr>
            <w:tcW w:w="920" w:type="dxa"/>
            <w:tcBorders>
              <w:top w:val="single" w:sz="6"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5,600</w:t>
            </w:r>
          </w:p>
        </w:tc>
        <w:tc>
          <w:tcPr>
            <w:tcW w:w="60" w:type="dxa"/>
            <w:tcBorders>
              <w:top w:val="single" w:sz="6" w:space="0" w:color="000000"/>
              <w:bottom w:val="double" w:sz="6" w:space="0" w:color="000000"/>
            </w:tcBorders>
            <w:shd w:fill="FFFFFF" w:val="clear"/>
            <w:vAlign w:val="center"/>
          </w:tcPr>
          <w:p>
            <w:pPr>
              <w:pStyle w:val="TableContents"/>
              <w:bidi w:val="0"/>
              <w:spacing w:before="0" w:after="0"/>
              <w:jc w:val="right"/>
              <w:rPr>
                <w:color w:val="333333"/>
              </w:rPr>
            </w:pPr>
            <w:r>
              <w:rPr>
                <w:color w:val="333333"/>
              </w:rPr>
              <w:t> </w:t>
            </w:r>
          </w:p>
        </w:tc>
        <w:tc>
          <w:tcPr>
            <w:tcW w:w="110" w:type="dxa"/>
            <w:tcBorders>
              <w:top w:val="single" w:sz="6" w:space="0" w:color="000000"/>
              <w:bottom w:val="double" w:sz="6" w:space="0" w:color="000000"/>
            </w:tcBorders>
            <w:shd w:fill="FFFF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05" w:type="dxa"/>
            <w:tcBorders>
              <w:top w:val="single" w:sz="6"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135,299</w:t>
            </w:r>
          </w:p>
        </w:tc>
        <w:tc>
          <w:tcPr>
            <w:tcW w:w="60" w:type="dxa"/>
            <w:tcBorders>
              <w:top w:val="single" w:sz="6" w:space="0" w:color="000000"/>
              <w:bottom w:val="double" w:sz="6" w:space="0" w:color="000000"/>
            </w:tcBorders>
            <w:shd w:fill="FFFFFF" w:val="clear"/>
            <w:vAlign w:val="center"/>
          </w:tcPr>
          <w:p>
            <w:pPr>
              <w:pStyle w:val="TableContents"/>
              <w:bidi w:val="0"/>
              <w:spacing w:before="0" w:after="0"/>
              <w:jc w:val="right"/>
              <w:rPr>
                <w:color w:val="333333"/>
              </w:rPr>
            </w:pPr>
            <w:r>
              <w:rPr>
                <w:color w:val="333333"/>
              </w:rPr>
              <w:t> </w:t>
            </w:r>
          </w:p>
        </w:tc>
        <w:tc>
          <w:tcPr>
            <w:tcW w:w="110" w:type="dxa"/>
            <w:tcBorders>
              <w:top w:val="single" w:sz="6" w:space="0" w:color="000000"/>
              <w:bottom w:val="double" w:sz="6" w:space="0" w:color="000000"/>
            </w:tcBorders>
            <w:shd w:fill="FFFF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1160" w:type="dxa"/>
            <w:tcBorders>
              <w:top w:val="single" w:sz="6"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754,652</w:t>
            </w:r>
          </w:p>
        </w:tc>
        <w:tc>
          <w:tcPr>
            <w:tcW w:w="60" w:type="dxa"/>
            <w:tcBorders>
              <w:top w:val="single" w:sz="6" w:space="0" w:color="000000"/>
              <w:bottom w:val="double" w:sz="6" w:space="0" w:color="000000"/>
            </w:tcBorders>
            <w:shd w:fill="FFFFFF" w:val="clear"/>
            <w:vAlign w:val="center"/>
          </w:tcPr>
          <w:p>
            <w:pPr>
              <w:pStyle w:val="TableContents"/>
              <w:bidi w:val="0"/>
              <w:spacing w:before="0" w:after="0"/>
              <w:jc w:val="right"/>
              <w:rPr>
                <w:color w:val="333333"/>
              </w:rPr>
            </w:pPr>
            <w:r>
              <w:rPr>
                <w:color w:val="333333"/>
              </w:rPr>
              <w:t> </w:t>
            </w:r>
          </w:p>
        </w:tc>
        <w:tc>
          <w:tcPr>
            <w:tcW w:w="110" w:type="dxa"/>
            <w:tcBorders>
              <w:top w:val="single" w:sz="6" w:space="0" w:color="000000"/>
              <w:bottom w:val="double" w:sz="6" w:space="0" w:color="000000"/>
            </w:tcBorders>
            <w:shd w:fill="FFFF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65" w:type="dxa"/>
            <w:tcBorders>
              <w:top w:val="single" w:sz="6"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142,563</w:t>
            </w:r>
          </w:p>
        </w:tc>
        <w:tc>
          <w:tcPr>
            <w:tcW w:w="60" w:type="dxa"/>
            <w:tcBorders>
              <w:top w:val="single" w:sz="6" w:space="0" w:color="000000"/>
              <w:bottom w:val="double" w:sz="6" w:space="0" w:color="000000"/>
            </w:tcBorders>
            <w:shd w:fill="FFFFFF" w:val="clear"/>
            <w:vAlign w:val="center"/>
          </w:tcPr>
          <w:p>
            <w:pPr>
              <w:pStyle w:val="TableContents"/>
              <w:bidi w:val="0"/>
              <w:spacing w:before="0" w:after="0"/>
              <w:jc w:val="right"/>
              <w:rPr>
                <w:color w:val="333333"/>
              </w:rPr>
            </w:pPr>
            <w:r>
              <w:rPr>
                <w:color w:val="333333"/>
              </w:rPr>
              <w:t> </w:t>
            </w:r>
          </w:p>
        </w:tc>
        <w:tc>
          <w:tcPr>
            <w:tcW w:w="110" w:type="dxa"/>
            <w:tcBorders>
              <w:top w:val="single" w:sz="6" w:space="0" w:color="000000"/>
              <w:bottom w:val="double" w:sz="6" w:space="0" w:color="000000"/>
            </w:tcBorders>
            <w:shd w:fill="FFFF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80" w:type="dxa"/>
            <w:tcBorders>
              <w:top w:val="single" w:sz="6"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(207,699)</w:t>
            </w:r>
          </w:p>
        </w:tc>
        <w:tc>
          <w:tcPr>
            <w:tcW w:w="60" w:type="dxa"/>
            <w:tcBorders>
              <w:top w:val="single" w:sz="6" w:space="0" w:color="000000"/>
              <w:bottom w:val="double" w:sz="6" w:space="0" w:color="000000"/>
            </w:tcBorders>
            <w:shd w:fill="FFFFFF" w:val="clear"/>
            <w:vAlign w:val="center"/>
          </w:tcPr>
          <w:p>
            <w:pPr>
              <w:pStyle w:val="TableContents"/>
              <w:bidi w:val="0"/>
              <w:spacing w:before="0" w:after="0"/>
              <w:jc w:val="right"/>
              <w:rPr>
                <w:color w:val="333333"/>
              </w:rPr>
            </w:pPr>
            <w:r>
              <w:rPr>
                <w:color w:val="333333"/>
              </w:rPr>
              <w:t> </w:t>
            </w:r>
          </w:p>
        </w:tc>
        <w:tc>
          <w:tcPr>
            <w:tcW w:w="110" w:type="dxa"/>
            <w:tcBorders>
              <w:top w:val="single" w:sz="6" w:space="0" w:color="000000"/>
              <w:bottom w:val="double" w:sz="6" w:space="0" w:color="000000"/>
            </w:tcBorders>
            <w:shd w:fill="FFFF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1115" w:type="dxa"/>
            <w:tcBorders>
              <w:top w:val="single" w:sz="6"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2,704</w:t>
            </w:r>
          </w:p>
        </w:tc>
        <w:tc>
          <w:tcPr>
            <w:tcW w:w="60" w:type="dxa"/>
            <w:tcBorders>
              <w:top w:val="single" w:sz="6" w:space="0" w:color="000000"/>
              <w:bottom w:val="double" w:sz="6" w:space="0" w:color="000000"/>
            </w:tcBorders>
            <w:shd w:fill="FFFFFF" w:val="clear"/>
            <w:vAlign w:val="center"/>
          </w:tcPr>
          <w:p>
            <w:pPr>
              <w:pStyle w:val="TableContents"/>
              <w:bidi w:val="0"/>
              <w:spacing w:before="0" w:after="0"/>
              <w:jc w:val="right"/>
              <w:rPr>
                <w:color w:val="333333"/>
              </w:rPr>
            </w:pPr>
            <w:r>
              <w:rPr>
                <w:color w:val="333333"/>
              </w:rPr>
              <w:t> </w:t>
            </w:r>
          </w:p>
        </w:tc>
        <w:tc>
          <w:tcPr>
            <w:tcW w:w="110" w:type="dxa"/>
            <w:tcBorders>
              <w:top w:val="single" w:sz="6" w:space="0" w:color="000000"/>
              <w:bottom w:val="double" w:sz="6" w:space="0" w:color="000000"/>
            </w:tcBorders>
            <w:shd w:fill="FFFF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20" w:type="dxa"/>
            <w:tcBorders>
              <w:top w:val="single" w:sz="6"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827,593</w:t>
            </w:r>
          </w:p>
        </w:tc>
      </w:tr>
      <w:tr>
        <w:trPr/>
        <w:tc>
          <w:tcPr>
            <w:tcW w:w="1070" w:type="dxa"/>
            <w:tcBorders>
              <w:top w:val="double" w:sz="6" w:space="0" w:color="000000"/>
            </w:tcBorders>
            <w:shd w:fill="CCEEFF" w:val="clear"/>
            <w:tcMar>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Stock options, amortization and issuances</w:t>
            </w:r>
          </w:p>
        </w:tc>
        <w:tc>
          <w:tcPr>
            <w:tcW w:w="920" w:type="dxa"/>
            <w:tcBorders>
              <w:top w:val="double" w:sz="6" w:space="0" w:color="000000"/>
            </w:tcBorders>
            <w:shd w:fill="CCEEFF" w:val="clear"/>
            <w:tcMar>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8,342</w:t>
            </w:r>
          </w:p>
        </w:tc>
        <w:tc>
          <w:tcPr>
            <w:tcW w:w="60"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110" w:type="dxa"/>
            <w:tcBorders>
              <w:top w:val="double" w:sz="6" w:space="0" w:color="000000"/>
            </w:tcBorders>
            <w:shd w:fill="CCEEFF" w:val="clear"/>
            <w:tcMar>
              <w:bottom w:w="0" w:type="dxa"/>
            </w:tcMar>
            <w:vAlign w:val="center"/>
          </w:tcPr>
          <w:p>
            <w:pPr>
              <w:pStyle w:val="TableContents"/>
              <w:bidi w:val="0"/>
              <w:spacing w:before="0" w:after="0"/>
              <w:jc w:val="left"/>
              <w:rPr>
                <w:color w:val="333333"/>
              </w:rPr>
            </w:pPr>
            <w:r>
              <w:rPr>
                <w:color w:val="333333"/>
              </w:rPr>
              <w:t> </w:t>
            </w:r>
          </w:p>
        </w:tc>
        <w:tc>
          <w:tcPr>
            <w:tcW w:w="605"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60"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920" w:type="dxa"/>
            <w:tcBorders>
              <w:top w:val="double" w:sz="6" w:space="0" w:color="000000"/>
            </w:tcBorders>
            <w:shd w:fill="CCEEFF" w:val="clear"/>
            <w:tcMar>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2,903</w:t>
            </w:r>
          </w:p>
        </w:tc>
        <w:tc>
          <w:tcPr>
            <w:tcW w:w="60"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110" w:type="dxa"/>
            <w:tcBorders>
              <w:top w:val="double" w:sz="6" w:space="0" w:color="000000"/>
            </w:tcBorders>
            <w:shd w:fill="CCEEFF" w:val="clear"/>
            <w:tcMar>
              <w:bottom w:w="0" w:type="dxa"/>
            </w:tcMar>
            <w:vAlign w:val="center"/>
          </w:tcPr>
          <w:p>
            <w:pPr>
              <w:pStyle w:val="TableContents"/>
              <w:bidi w:val="0"/>
              <w:spacing w:before="0" w:after="0"/>
              <w:jc w:val="left"/>
              <w:rPr>
                <w:color w:val="333333"/>
              </w:rPr>
            </w:pPr>
            <w:r>
              <w:rPr>
                <w:color w:val="333333"/>
              </w:rPr>
              <w:t> </w:t>
            </w:r>
          </w:p>
        </w:tc>
        <w:tc>
          <w:tcPr>
            <w:tcW w:w="605"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60"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920"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60"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110" w:type="dxa"/>
            <w:tcBorders>
              <w:top w:val="double" w:sz="6" w:space="0" w:color="000000"/>
            </w:tcBorders>
            <w:shd w:fill="CCEEFF" w:val="clear"/>
            <w:tcMar>
              <w:bottom w:w="0" w:type="dxa"/>
            </w:tcMar>
            <w:vAlign w:val="center"/>
          </w:tcPr>
          <w:p>
            <w:pPr>
              <w:pStyle w:val="TableContents"/>
              <w:bidi w:val="0"/>
              <w:spacing w:before="0" w:after="0"/>
              <w:jc w:val="left"/>
              <w:rPr>
                <w:color w:val="333333"/>
              </w:rPr>
            </w:pPr>
            <w:r>
              <w:rPr>
                <w:color w:val="333333"/>
              </w:rPr>
              <w:t> </w:t>
            </w:r>
          </w:p>
        </w:tc>
        <w:tc>
          <w:tcPr>
            <w:tcW w:w="605"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60"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110" w:type="dxa"/>
            <w:tcBorders>
              <w:top w:val="double" w:sz="6" w:space="0" w:color="000000"/>
            </w:tcBorders>
            <w:shd w:fill="CCEEFF" w:val="clear"/>
            <w:tcMar>
              <w:bottom w:w="0" w:type="dxa"/>
            </w:tcMar>
            <w:vAlign w:val="center"/>
          </w:tcPr>
          <w:p>
            <w:pPr>
              <w:pStyle w:val="TableContents"/>
              <w:bidi w:val="0"/>
              <w:spacing w:before="0" w:after="0"/>
              <w:jc w:val="left"/>
              <w:rPr>
                <w:color w:val="333333"/>
              </w:rPr>
            </w:pPr>
            <w:r>
              <w:rPr>
                <w:color w:val="333333"/>
              </w:rPr>
              <w:t> </w:t>
            </w:r>
          </w:p>
        </w:tc>
        <w:tc>
          <w:tcPr>
            <w:tcW w:w="1160" w:type="dxa"/>
            <w:tcBorders>
              <w:top w:val="double" w:sz="6" w:space="0" w:color="000000"/>
            </w:tcBorders>
            <w:shd w:fill="CCEEFF" w:val="clear"/>
            <w:tcMar>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(320)</w:t>
            </w:r>
          </w:p>
        </w:tc>
        <w:tc>
          <w:tcPr>
            <w:tcW w:w="60"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110" w:type="dxa"/>
            <w:tcBorders>
              <w:top w:val="double" w:sz="6" w:space="0" w:color="000000"/>
            </w:tcBorders>
            <w:shd w:fill="CCEEFF" w:val="clear"/>
            <w:tcMar>
              <w:bottom w:w="0" w:type="dxa"/>
            </w:tcMar>
            <w:vAlign w:val="center"/>
          </w:tcPr>
          <w:p>
            <w:pPr>
              <w:pStyle w:val="TableContents"/>
              <w:bidi w:val="0"/>
              <w:spacing w:before="0" w:after="0"/>
              <w:jc w:val="left"/>
              <w:rPr>
                <w:color w:val="333333"/>
              </w:rPr>
            </w:pPr>
            <w:r>
              <w:rPr>
                <w:color w:val="333333"/>
              </w:rPr>
              <w:t> </w:t>
            </w:r>
          </w:p>
        </w:tc>
        <w:tc>
          <w:tcPr>
            <w:tcW w:w="665"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60"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110" w:type="dxa"/>
            <w:tcBorders>
              <w:top w:val="double" w:sz="6" w:space="0" w:color="000000"/>
            </w:tcBorders>
            <w:shd w:fill="CCEEFF" w:val="clear"/>
            <w:tcMar>
              <w:bottom w:w="0" w:type="dxa"/>
            </w:tcMar>
            <w:vAlign w:val="center"/>
          </w:tcPr>
          <w:p>
            <w:pPr>
              <w:pStyle w:val="TableContents"/>
              <w:bidi w:val="0"/>
              <w:spacing w:before="0" w:after="0"/>
              <w:jc w:val="left"/>
              <w:rPr>
                <w:color w:val="333333"/>
              </w:rPr>
            </w:pPr>
            <w:r>
              <w:rPr>
                <w:color w:val="333333"/>
              </w:rPr>
              <w:t> </w:t>
            </w:r>
          </w:p>
        </w:tc>
        <w:tc>
          <w:tcPr>
            <w:tcW w:w="680"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60"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110" w:type="dxa"/>
            <w:tcBorders>
              <w:top w:val="double" w:sz="6" w:space="0" w:color="000000"/>
            </w:tcBorders>
            <w:shd w:fill="CCEEFF" w:val="clear"/>
            <w:tcMar>
              <w:bottom w:w="0" w:type="dxa"/>
            </w:tcMar>
            <w:vAlign w:val="center"/>
          </w:tcPr>
          <w:p>
            <w:pPr>
              <w:pStyle w:val="TableContents"/>
              <w:bidi w:val="0"/>
              <w:spacing w:before="0" w:after="0"/>
              <w:jc w:val="left"/>
              <w:rPr>
                <w:color w:val="333333"/>
              </w:rPr>
            </w:pPr>
            <w:r>
              <w:rPr>
                <w:color w:val="333333"/>
              </w:rPr>
              <w:t> </w:t>
            </w:r>
          </w:p>
        </w:tc>
        <w:tc>
          <w:tcPr>
            <w:tcW w:w="1115"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60" w:type="dxa"/>
            <w:tcBorders>
              <w:top w:val="double" w:sz="6" w:space="0" w:color="000000"/>
            </w:tcBorders>
            <w:shd w:fill="CCEEFF" w:val="clear"/>
            <w:tcMar>
              <w:bottom w:w="0" w:type="dxa"/>
            </w:tcMar>
            <w:vAlign w:val="center"/>
          </w:tcPr>
          <w:p>
            <w:pPr>
              <w:pStyle w:val="TableContents"/>
              <w:bidi w:val="0"/>
              <w:spacing w:before="0" w:after="0"/>
              <w:jc w:val="right"/>
              <w:rPr>
                <w:color w:val="333333"/>
              </w:rPr>
            </w:pPr>
            <w:r>
              <w:rPr>
                <w:color w:val="333333"/>
              </w:rPr>
              <w:t> </w:t>
            </w:r>
          </w:p>
        </w:tc>
        <w:tc>
          <w:tcPr>
            <w:tcW w:w="110" w:type="dxa"/>
            <w:tcBorders>
              <w:top w:val="double" w:sz="6" w:space="0" w:color="000000"/>
            </w:tcBorders>
            <w:shd w:fill="CCEEFF" w:val="clear"/>
            <w:tcMar>
              <w:bottom w:w="0" w:type="dxa"/>
            </w:tcMar>
            <w:vAlign w:val="center"/>
          </w:tcPr>
          <w:p>
            <w:pPr>
              <w:pStyle w:val="TableContents"/>
              <w:bidi w:val="0"/>
              <w:spacing w:before="0" w:after="0"/>
              <w:jc w:val="left"/>
              <w:rPr>
                <w:color w:val="333333"/>
              </w:rPr>
            </w:pPr>
            <w:r>
              <w:rPr>
                <w:color w:val="333333"/>
              </w:rPr>
              <w:t> </w:t>
            </w:r>
          </w:p>
        </w:tc>
        <w:tc>
          <w:tcPr>
            <w:tcW w:w="620" w:type="dxa"/>
            <w:tcBorders>
              <w:top w:val="double" w:sz="6" w:space="0" w:color="000000"/>
            </w:tcBorders>
            <w:shd w:fill="CCEEFF" w:val="clear"/>
            <w:tcMar>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(320)</w:t>
            </w:r>
          </w:p>
        </w:tc>
      </w:tr>
      <w:tr>
        <w:trPr/>
        <w:tc>
          <w:tcPr>
            <w:tcW w:w="1070" w:type="dxa"/>
            <w:tcBorders/>
            <w:shd w:fill="FFFFFF" w:val="clear"/>
            <w:tcMar>
              <w:top w:w="0" w:type="dxa"/>
              <w:bottom w:w="0" w:type="dxa"/>
            </w:tcMar>
            <w:vAlign w:val="center"/>
          </w:tcPr>
          <w:p>
            <w:pPr>
              <w:pStyle w:val="TableContents"/>
              <w:bidi w:val="0"/>
              <w:spacing w:before="0" w:after="0"/>
              <w:jc w:val="left"/>
              <w:rPr>
                <w:sz w:val="16"/>
              </w:rPr>
            </w:pPr>
            <w:r>
              <w:rPr>
                <w:rFonts w:ascii="Times New Roman" w:hAnsi="Times New Roman"/>
                <w:sz w:val="16"/>
              </w:rPr>
              <w:t>Preferred dividend declared ($476.56</w:t>
            </w:r>
            <w:r>
              <w:rPr>
                <w:sz w:val="16"/>
              </w:rPr>
              <w:t xml:space="preserve"> </w:t>
            </w:r>
            <w:r>
              <w:rPr>
                <w:rFonts w:ascii="Times New Roman" w:hAnsi="Times New Roman"/>
                <w:sz w:val="16"/>
              </w:rPr>
              <w:t>per share)</w:t>
            </w:r>
          </w:p>
        </w:tc>
        <w:tc>
          <w:tcPr>
            <w:tcW w:w="920"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605"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920"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605"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920"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605"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1160"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665" w:type="dxa"/>
            <w:tcBorders/>
            <w:shd w:fill="FFFF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(2,669)</w:t>
            </w:r>
          </w:p>
        </w:tc>
        <w:tc>
          <w:tcPr>
            <w:tcW w:w="60"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680"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1115"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620" w:type="dxa"/>
            <w:tcBorders/>
            <w:shd w:fill="FFFF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(2,669)</w:t>
            </w:r>
          </w:p>
        </w:tc>
      </w:tr>
      <w:tr>
        <w:trPr/>
        <w:tc>
          <w:tcPr>
            <w:tcW w:w="1070" w:type="dxa"/>
            <w:tcBorders/>
            <w:shd w:fill="CCEEFF" w:val="clear"/>
            <w:tcMar>
              <w:top w:w="0" w:type="dxa"/>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Restricted stock amortization, issuances and forfeitures</w:t>
            </w:r>
          </w:p>
        </w:tc>
        <w:tc>
          <w:tcPr>
            <w:tcW w:w="920" w:type="dxa"/>
            <w:tcBorders/>
            <w:shd w:fill="CCEE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33,869</w:t>
            </w:r>
          </w:p>
        </w:tc>
        <w:tc>
          <w:tcPr>
            <w:tcW w:w="6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605"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920" w:type="dxa"/>
            <w:tcBorders/>
            <w:shd w:fill="CCEE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62,319</w:t>
            </w:r>
          </w:p>
        </w:tc>
        <w:tc>
          <w:tcPr>
            <w:tcW w:w="6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605" w:type="dxa"/>
            <w:tcBorders/>
            <w:shd w:fill="CCEE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w:t>
            </w:r>
          </w:p>
        </w:tc>
        <w:tc>
          <w:tcPr>
            <w:tcW w:w="6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92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605"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1160" w:type="dxa"/>
            <w:tcBorders/>
            <w:shd w:fill="CCEE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(1,512)</w:t>
            </w:r>
          </w:p>
        </w:tc>
        <w:tc>
          <w:tcPr>
            <w:tcW w:w="6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665"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68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1115"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620" w:type="dxa"/>
            <w:tcBorders/>
            <w:shd w:fill="CCEE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(1,511)</w:t>
            </w:r>
          </w:p>
        </w:tc>
      </w:tr>
      <w:tr>
        <w:trPr/>
        <w:tc>
          <w:tcPr>
            <w:tcW w:w="1070" w:type="dxa"/>
            <w:tcBorders/>
            <w:shd w:fill="FFFFFF" w:val="clear"/>
            <w:tcMar>
              <w:top w:w="0" w:type="dxa"/>
              <w:bottom w:w="0" w:type="dxa"/>
            </w:tcMar>
            <w:vAlign w:val="center"/>
          </w:tcPr>
          <w:p>
            <w:pPr>
              <w:pStyle w:val="TableContents"/>
              <w:bidi w:val="0"/>
              <w:spacing w:before="0" w:after="0"/>
              <w:jc w:val="left"/>
              <w:rPr>
                <w:sz w:val="16"/>
              </w:rPr>
            </w:pPr>
            <w:r>
              <w:rPr>
                <w:rFonts w:ascii="Times New Roman" w:hAnsi="Times New Roman"/>
                <w:sz w:val="16"/>
              </w:rPr>
              <w:t>Conversion of Class B to Class A common stock</w:t>
            </w:r>
            <w:r>
              <w:rPr>
                <w:sz w:val="16"/>
              </w:rPr>
              <w:t> </w:t>
            </w:r>
          </w:p>
        </w:tc>
        <w:tc>
          <w:tcPr>
            <w:tcW w:w="920" w:type="dxa"/>
            <w:tcBorders/>
            <w:shd w:fill="FFFF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12,595</w:t>
            </w:r>
          </w:p>
        </w:tc>
        <w:tc>
          <w:tcPr>
            <w:tcW w:w="60"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605"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920" w:type="dxa"/>
            <w:tcBorders/>
            <w:shd w:fill="FFFF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(12,595)</w:t>
            </w:r>
          </w:p>
        </w:tc>
        <w:tc>
          <w:tcPr>
            <w:tcW w:w="60"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605"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920"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605"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1160"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665"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680"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1115"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620" w:type="dxa"/>
            <w:tcBorders/>
            <w:shd w:fill="FFFF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w:t>
            </w:r>
          </w:p>
        </w:tc>
      </w:tr>
      <w:tr>
        <w:trPr/>
        <w:tc>
          <w:tcPr>
            <w:tcW w:w="1070" w:type="dxa"/>
            <w:tcBorders/>
            <w:shd w:fill="CCEEFF" w:val="clear"/>
            <w:tcMar>
              <w:top w:w="0" w:type="dxa"/>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Share repurchases, including excise taxes</w:t>
            </w:r>
          </w:p>
        </w:tc>
        <w:tc>
          <w:tcPr>
            <w:tcW w:w="92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605"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92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605"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92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605"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116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665"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680" w:type="dxa"/>
            <w:tcBorders/>
            <w:shd w:fill="CCEE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78</w:t>
            </w:r>
          </w:p>
        </w:tc>
        <w:tc>
          <w:tcPr>
            <w:tcW w:w="6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1115"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11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620" w:type="dxa"/>
            <w:tcBorders/>
            <w:shd w:fill="CCEE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78</w:t>
            </w:r>
          </w:p>
        </w:tc>
      </w:tr>
      <w:tr>
        <w:trPr/>
        <w:tc>
          <w:tcPr>
            <w:tcW w:w="1070" w:type="dxa"/>
            <w:tcBorders>
              <w:bottom w:val="single" w:sz="8" w:space="0" w:color="000000"/>
            </w:tcBorders>
            <w:shd w:fill="FFFFFF" w:val="clear"/>
            <w:tcMar>
              <w:top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Net loss</w:t>
            </w:r>
          </w:p>
        </w:tc>
        <w:tc>
          <w:tcPr>
            <w:tcW w:w="920" w:type="dxa"/>
            <w:tcBorders>
              <w:bottom w:val="single" w:sz="8" w:space="0" w:color="000000"/>
            </w:tcBorders>
            <w:shd w:fill="FFFFFF" w:val="clear"/>
            <w:tcMar>
              <w:top w:w="0" w:type="dxa"/>
            </w:tcMar>
            <w:vAlign w:val="center"/>
          </w:tcPr>
          <w:p>
            <w:pPr>
              <w:pStyle w:val="TableContents"/>
              <w:bidi w:val="0"/>
              <w:spacing w:before="0" w:after="0"/>
              <w:jc w:val="right"/>
              <w:rPr>
                <w:color w:val="333333"/>
              </w:rPr>
            </w:pPr>
            <w:r>
              <w:rPr>
                <w:color w:val="333333"/>
              </w:rPr>
              <w:t> </w:t>
            </w:r>
          </w:p>
        </w:tc>
        <w:tc>
          <w:tcPr>
            <w:tcW w:w="60" w:type="dxa"/>
            <w:tcBorders>
              <w:bottom w:val="single" w:sz="8" w:space="0" w:color="000000"/>
            </w:tcBorders>
            <w:shd w:fill="FFFFFF" w:val="clear"/>
            <w:tcMar>
              <w:top w:w="0" w:type="dxa"/>
            </w:tcMar>
            <w:vAlign w:val="center"/>
          </w:tcPr>
          <w:p>
            <w:pPr>
              <w:pStyle w:val="TableContents"/>
              <w:bidi w:val="0"/>
              <w:spacing w:before="0" w:after="0"/>
              <w:jc w:val="right"/>
              <w:rPr>
                <w:color w:val="333333"/>
              </w:rPr>
            </w:pPr>
            <w:r>
              <w:rPr>
                <w:color w:val="333333"/>
              </w:rPr>
              <w:t> </w:t>
            </w:r>
          </w:p>
        </w:tc>
        <w:tc>
          <w:tcPr>
            <w:tcW w:w="110" w:type="dxa"/>
            <w:tcBorders>
              <w:bottom w:val="single" w:sz="8" w:space="0" w:color="000000"/>
            </w:tcBorders>
            <w:shd w:fill="FFFFFF" w:val="clear"/>
            <w:tcMar>
              <w:top w:w="0" w:type="dxa"/>
            </w:tcMar>
            <w:vAlign w:val="center"/>
          </w:tcPr>
          <w:p>
            <w:pPr>
              <w:pStyle w:val="TableContents"/>
              <w:bidi w:val="0"/>
              <w:spacing w:before="0" w:after="0"/>
              <w:jc w:val="left"/>
              <w:rPr>
                <w:color w:val="333333"/>
              </w:rPr>
            </w:pPr>
            <w:r>
              <w:rPr>
                <w:color w:val="333333"/>
              </w:rPr>
              <w:t> </w:t>
            </w:r>
          </w:p>
        </w:tc>
        <w:tc>
          <w:tcPr>
            <w:tcW w:w="605" w:type="dxa"/>
            <w:tcBorders>
              <w:bottom w:val="single" w:sz="8" w:space="0" w:color="000000"/>
            </w:tcBorders>
            <w:shd w:fill="FFFFFF" w:val="clear"/>
            <w:tcMar>
              <w:top w:w="0" w:type="dxa"/>
            </w:tcMar>
            <w:vAlign w:val="center"/>
          </w:tcPr>
          <w:p>
            <w:pPr>
              <w:pStyle w:val="TableContents"/>
              <w:bidi w:val="0"/>
              <w:spacing w:before="0" w:after="0"/>
              <w:jc w:val="right"/>
              <w:rPr>
                <w:color w:val="333333"/>
              </w:rPr>
            </w:pPr>
            <w:r>
              <w:rPr>
                <w:color w:val="333333"/>
              </w:rPr>
              <w:t> </w:t>
            </w:r>
          </w:p>
        </w:tc>
        <w:tc>
          <w:tcPr>
            <w:tcW w:w="60" w:type="dxa"/>
            <w:tcBorders>
              <w:bottom w:val="single" w:sz="8" w:space="0" w:color="000000"/>
            </w:tcBorders>
            <w:shd w:fill="FFFFFF" w:val="clear"/>
            <w:tcMar>
              <w:top w:w="0" w:type="dxa"/>
            </w:tcMar>
            <w:vAlign w:val="center"/>
          </w:tcPr>
          <w:p>
            <w:pPr>
              <w:pStyle w:val="TableContents"/>
              <w:bidi w:val="0"/>
              <w:spacing w:before="0" w:after="0"/>
              <w:jc w:val="right"/>
              <w:rPr>
                <w:color w:val="333333"/>
              </w:rPr>
            </w:pPr>
            <w:r>
              <w:rPr>
                <w:color w:val="333333"/>
              </w:rPr>
              <w:t> </w:t>
            </w:r>
          </w:p>
        </w:tc>
        <w:tc>
          <w:tcPr>
            <w:tcW w:w="920" w:type="dxa"/>
            <w:tcBorders>
              <w:bottom w:val="single" w:sz="8" w:space="0" w:color="000000"/>
            </w:tcBorders>
            <w:shd w:fill="FFFFFF" w:val="clear"/>
            <w:tcMar>
              <w:top w:w="0" w:type="dxa"/>
            </w:tcMar>
            <w:vAlign w:val="center"/>
          </w:tcPr>
          <w:p>
            <w:pPr>
              <w:pStyle w:val="TableContents"/>
              <w:bidi w:val="0"/>
              <w:spacing w:before="0" w:after="0"/>
              <w:jc w:val="right"/>
              <w:rPr>
                <w:color w:val="333333"/>
              </w:rPr>
            </w:pPr>
            <w:r>
              <w:rPr>
                <w:color w:val="333333"/>
              </w:rPr>
              <w:t> </w:t>
            </w:r>
          </w:p>
        </w:tc>
        <w:tc>
          <w:tcPr>
            <w:tcW w:w="60" w:type="dxa"/>
            <w:tcBorders>
              <w:bottom w:val="single" w:sz="8" w:space="0" w:color="000000"/>
            </w:tcBorders>
            <w:shd w:fill="FFFFFF" w:val="clear"/>
            <w:tcMar>
              <w:top w:w="0" w:type="dxa"/>
            </w:tcMar>
            <w:vAlign w:val="center"/>
          </w:tcPr>
          <w:p>
            <w:pPr>
              <w:pStyle w:val="TableContents"/>
              <w:bidi w:val="0"/>
              <w:spacing w:before="0" w:after="0"/>
              <w:jc w:val="right"/>
              <w:rPr>
                <w:color w:val="333333"/>
              </w:rPr>
            </w:pPr>
            <w:r>
              <w:rPr>
                <w:color w:val="333333"/>
              </w:rPr>
              <w:t> </w:t>
            </w:r>
          </w:p>
        </w:tc>
        <w:tc>
          <w:tcPr>
            <w:tcW w:w="110" w:type="dxa"/>
            <w:tcBorders>
              <w:bottom w:val="single" w:sz="8" w:space="0" w:color="000000"/>
            </w:tcBorders>
            <w:shd w:fill="FFFFFF" w:val="clear"/>
            <w:tcMar>
              <w:top w:w="0" w:type="dxa"/>
            </w:tcMar>
            <w:vAlign w:val="center"/>
          </w:tcPr>
          <w:p>
            <w:pPr>
              <w:pStyle w:val="TableContents"/>
              <w:bidi w:val="0"/>
              <w:spacing w:before="0" w:after="0"/>
              <w:jc w:val="left"/>
              <w:rPr>
                <w:color w:val="333333"/>
              </w:rPr>
            </w:pPr>
            <w:r>
              <w:rPr>
                <w:color w:val="333333"/>
              </w:rPr>
              <w:t> </w:t>
            </w:r>
          </w:p>
        </w:tc>
        <w:tc>
          <w:tcPr>
            <w:tcW w:w="605" w:type="dxa"/>
            <w:tcBorders>
              <w:bottom w:val="single" w:sz="8" w:space="0" w:color="000000"/>
            </w:tcBorders>
            <w:shd w:fill="FFFFFF" w:val="clear"/>
            <w:tcMar>
              <w:top w:w="0" w:type="dxa"/>
            </w:tcMar>
            <w:vAlign w:val="center"/>
          </w:tcPr>
          <w:p>
            <w:pPr>
              <w:pStyle w:val="TableContents"/>
              <w:bidi w:val="0"/>
              <w:spacing w:before="0" w:after="0"/>
              <w:jc w:val="right"/>
              <w:rPr>
                <w:color w:val="333333"/>
              </w:rPr>
            </w:pPr>
            <w:r>
              <w:rPr>
                <w:color w:val="333333"/>
              </w:rPr>
              <w:t> </w:t>
            </w:r>
          </w:p>
        </w:tc>
        <w:tc>
          <w:tcPr>
            <w:tcW w:w="60" w:type="dxa"/>
            <w:tcBorders>
              <w:bottom w:val="single" w:sz="8" w:space="0" w:color="000000"/>
            </w:tcBorders>
            <w:shd w:fill="FFFFFF" w:val="clear"/>
            <w:tcMar>
              <w:top w:w="0" w:type="dxa"/>
            </w:tcMar>
            <w:vAlign w:val="center"/>
          </w:tcPr>
          <w:p>
            <w:pPr>
              <w:pStyle w:val="TableContents"/>
              <w:bidi w:val="0"/>
              <w:spacing w:before="0" w:after="0"/>
              <w:jc w:val="right"/>
              <w:rPr>
                <w:color w:val="333333"/>
              </w:rPr>
            </w:pPr>
            <w:r>
              <w:rPr>
                <w:color w:val="333333"/>
              </w:rPr>
              <w:t> </w:t>
            </w:r>
          </w:p>
        </w:tc>
        <w:tc>
          <w:tcPr>
            <w:tcW w:w="920" w:type="dxa"/>
            <w:tcBorders>
              <w:bottom w:val="single" w:sz="8" w:space="0" w:color="000000"/>
            </w:tcBorders>
            <w:shd w:fill="FFFFFF" w:val="clear"/>
            <w:tcMar>
              <w:top w:w="0" w:type="dxa"/>
            </w:tcMar>
            <w:vAlign w:val="center"/>
          </w:tcPr>
          <w:p>
            <w:pPr>
              <w:pStyle w:val="TableContents"/>
              <w:bidi w:val="0"/>
              <w:spacing w:before="0" w:after="0"/>
              <w:jc w:val="right"/>
              <w:rPr>
                <w:color w:val="333333"/>
              </w:rPr>
            </w:pPr>
            <w:r>
              <w:rPr>
                <w:color w:val="333333"/>
              </w:rPr>
              <w:t> </w:t>
            </w:r>
          </w:p>
        </w:tc>
        <w:tc>
          <w:tcPr>
            <w:tcW w:w="60" w:type="dxa"/>
            <w:tcBorders>
              <w:bottom w:val="single" w:sz="8" w:space="0" w:color="000000"/>
            </w:tcBorders>
            <w:shd w:fill="FFFFFF" w:val="clear"/>
            <w:tcMar>
              <w:top w:w="0" w:type="dxa"/>
            </w:tcMar>
            <w:vAlign w:val="center"/>
          </w:tcPr>
          <w:p>
            <w:pPr>
              <w:pStyle w:val="TableContents"/>
              <w:bidi w:val="0"/>
              <w:spacing w:before="0" w:after="0"/>
              <w:jc w:val="right"/>
              <w:rPr>
                <w:color w:val="333333"/>
              </w:rPr>
            </w:pPr>
            <w:r>
              <w:rPr>
                <w:color w:val="333333"/>
              </w:rPr>
              <w:t> </w:t>
            </w:r>
          </w:p>
        </w:tc>
        <w:tc>
          <w:tcPr>
            <w:tcW w:w="110" w:type="dxa"/>
            <w:tcBorders>
              <w:bottom w:val="single" w:sz="8" w:space="0" w:color="000000"/>
            </w:tcBorders>
            <w:shd w:fill="FFFFFF" w:val="clear"/>
            <w:tcMar>
              <w:top w:w="0" w:type="dxa"/>
            </w:tcMar>
            <w:vAlign w:val="center"/>
          </w:tcPr>
          <w:p>
            <w:pPr>
              <w:pStyle w:val="TableContents"/>
              <w:bidi w:val="0"/>
              <w:spacing w:before="0" w:after="0"/>
              <w:jc w:val="left"/>
              <w:rPr>
                <w:color w:val="333333"/>
              </w:rPr>
            </w:pPr>
            <w:r>
              <w:rPr>
                <w:color w:val="333333"/>
              </w:rPr>
              <w:t> </w:t>
            </w:r>
          </w:p>
        </w:tc>
        <w:tc>
          <w:tcPr>
            <w:tcW w:w="605" w:type="dxa"/>
            <w:tcBorders>
              <w:bottom w:val="single" w:sz="8" w:space="0" w:color="000000"/>
            </w:tcBorders>
            <w:shd w:fill="FFFFFF" w:val="clear"/>
            <w:tcMar>
              <w:top w:w="0" w:type="dxa"/>
            </w:tcMar>
            <w:vAlign w:val="center"/>
          </w:tcPr>
          <w:p>
            <w:pPr>
              <w:pStyle w:val="TableContents"/>
              <w:bidi w:val="0"/>
              <w:spacing w:before="0" w:after="0"/>
              <w:jc w:val="right"/>
              <w:rPr>
                <w:color w:val="333333"/>
              </w:rPr>
            </w:pPr>
            <w:r>
              <w:rPr>
                <w:color w:val="333333"/>
              </w:rPr>
              <w:t> </w:t>
            </w:r>
          </w:p>
        </w:tc>
        <w:tc>
          <w:tcPr>
            <w:tcW w:w="60" w:type="dxa"/>
            <w:tcBorders>
              <w:bottom w:val="single" w:sz="8" w:space="0" w:color="000000"/>
            </w:tcBorders>
            <w:shd w:fill="FFFFFF" w:val="clear"/>
            <w:tcMar>
              <w:top w:w="0" w:type="dxa"/>
            </w:tcMar>
            <w:vAlign w:val="center"/>
          </w:tcPr>
          <w:p>
            <w:pPr>
              <w:pStyle w:val="TableContents"/>
              <w:bidi w:val="0"/>
              <w:spacing w:before="0" w:after="0"/>
              <w:jc w:val="right"/>
              <w:rPr>
                <w:color w:val="333333"/>
              </w:rPr>
            </w:pPr>
            <w:r>
              <w:rPr>
                <w:color w:val="333333"/>
              </w:rPr>
              <w:t> </w:t>
            </w:r>
          </w:p>
        </w:tc>
        <w:tc>
          <w:tcPr>
            <w:tcW w:w="110" w:type="dxa"/>
            <w:tcBorders>
              <w:bottom w:val="single" w:sz="8" w:space="0" w:color="000000"/>
            </w:tcBorders>
            <w:shd w:fill="FFFFFF" w:val="clear"/>
            <w:tcMar>
              <w:top w:w="0" w:type="dxa"/>
            </w:tcMar>
            <w:vAlign w:val="center"/>
          </w:tcPr>
          <w:p>
            <w:pPr>
              <w:pStyle w:val="TableContents"/>
              <w:bidi w:val="0"/>
              <w:spacing w:before="0" w:after="0"/>
              <w:jc w:val="left"/>
              <w:rPr>
                <w:color w:val="333333"/>
              </w:rPr>
            </w:pPr>
            <w:r>
              <w:rPr>
                <w:color w:val="333333"/>
              </w:rPr>
              <w:t> </w:t>
            </w:r>
          </w:p>
        </w:tc>
        <w:tc>
          <w:tcPr>
            <w:tcW w:w="1160" w:type="dxa"/>
            <w:tcBorders>
              <w:bottom w:val="single" w:sz="8" w:space="0" w:color="000000"/>
            </w:tcBorders>
            <w:shd w:fill="FFFFFF" w:val="clear"/>
            <w:tcMar>
              <w:top w:w="0" w:type="dxa"/>
            </w:tcMar>
            <w:vAlign w:val="center"/>
          </w:tcPr>
          <w:p>
            <w:pPr>
              <w:pStyle w:val="TableContents"/>
              <w:bidi w:val="0"/>
              <w:spacing w:before="0" w:after="0"/>
              <w:jc w:val="right"/>
              <w:rPr>
                <w:color w:val="333333"/>
              </w:rPr>
            </w:pPr>
            <w:r>
              <w:rPr>
                <w:color w:val="333333"/>
              </w:rPr>
              <w:t> </w:t>
            </w:r>
          </w:p>
        </w:tc>
        <w:tc>
          <w:tcPr>
            <w:tcW w:w="60" w:type="dxa"/>
            <w:tcBorders>
              <w:bottom w:val="single" w:sz="8" w:space="0" w:color="000000"/>
            </w:tcBorders>
            <w:shd w:fill="FFFFFF" w:val="clear"/>
            <w:tcMar>
              <w:top w:w="0" w:type="dxa"/>
            </w:tcMar>
            <w:vAlign w:val="center"/>
          </w:tcPr>
          <w:p>
            <w:pPr>
              <w:pStyle w:val="TableContents"/>
              <w:bidi w:val="0"/>
              <w:spacing w:before="0" w:after="0"/>
              <w:jc w:val="right"/>
              <w:rPr>
                <w:color w:val="333333"/>
              </w:rPr>
            </w:pPr>
            <w:r>
              <w:rPr>
                <w:color w:val="333333"/>
              </w:rPr>
              <w:t> </w:t>
            </w:r>
          </w:p>
        </w:tc>
        <w:tc>
          <w:tcPr>
            <w:tcW w:w="110" w:type="dxa"/>
            <w:tcBorders>
              <w:bottom w:val="single" w:sz="8" w:space="0" w:color="000000"/>
            </w:tcBorders>
            <w:shd w:fill="FFFFFF" w:val="clear"/>
            <w:tcMar>
              <w:top w:w="0" w:type="dxa"/>
            </w:tcMar>
            <w:vAlign w:val="center"/>
          </w:tcPr>
          <w:p>
            <w:pPr>
              <w:pStyle w:val="TableContents"/>
              <w:bidi w:val="0"/>
              <w:spacing w:before="0" w:after="0"/>
              <w:jc w:val="left"/>
              <w:rPr>
                <w:color w:val="333333"/>
              </w:rPr>
            </w:pPr>
            <w:r>
              <w:rPr>
                <w:color w:val="333333"/>
              </w:rPr>
              <w:t> </w:t>
            </w:r>
          </w:p>
        </w:tc>
        <w:tc>
          <w:tcPr>
            <w:tcW w:w="665" w:type="dxa"/>
            <w:tcBorders>
              <w:bottom w:val="single" w:sz="8" w:space="0" w:color="000000"/>
            </w:tcBorders>
            <w:shd w:fill="FFFFFF" w:val="clear"/>
            <w:tcMar>
              <w:top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(1,801)</w:t>
            </w:r>
          </w:p>
        </w:tc>
        <w:tc>
          <w:tcPr>
            <w:tcW w:w="60" w:type="dxa"/>
            <w:tcBorders>
              <w:bottom w:val="single" w:sz="8" w:space="0" w:color="000000"/>
            </w:tcBorders>
            <w:shd w:fill="FFFFFF" w:val="clear"/>
            <w:tcMar>
              <w:top w:w="0" w:type="dxa"/>
            </w:tcMar>
            <w:vAlign w:val="center"/>
          </w:tcPr>
          <w:p>
            <w:pPr>
              <w:pStyle w:val="TableContents"/>
              <w:bidi w:val="0"/>
              <w:spacing w:before="0" w:after="0"/>
              <w:jc w:val="right"/>
              <w:rPr>
                <w:color w:val="333333"/>
              </w:rPr>
            </w:pPr>
            <w:r>
              <w:rPr>
                <w:color w:val="333333"/>
              </w:rPr>
              <w:t> </w:t>
            </w:r>
          </w:p>
        </w:tc>
        <w:tc>
          <w:tcPr>
            <w:tcW w:w="110" w:type="dxa"/>
            <w:tcBorders>
              <w:bottom w:val="single" w:sz="8" w:space="0" w:color="000000"/>
            </w:tcBorders>
            <w:shd w:fill="FFFFFF" w:val="clear"/>
            <w:tcMar>
              <w:top w:w="0" w:type="dxa"/>
            </w:tcMar>
            <w:vAlign w:val="center"/>
          </w:tcPr>
          <w:p>
            <w:pPr>
              <w:pStyle w:val="TableContents"/>
              <w:bidi w:val="0"/>
              <w:spacing w:before="0" w:after="0"/>
              <w:jc w:val="left"/>
              <w:rPr>
                <w:color w:val="333333"/>
              </w:rPr>
            </w:pPr>
            <w:r>
              <w:rPr>
                <w:color w:val="333333"/>
              </w:rPr>
              <w:t> </w:t>
            </w:r>
          </w:p>
        </w:tc>
        <w:tc>
          <w:tcPr>
            <w:tcW w:w="680" w:type="dxa"/>
            <w:tcBorders>
              <w:bottom w:val="single" w:sz="8" w:space="0" w:color="000000"/>
            </w:tcBorders>
            <w:shd w:fill="FFFFFF" w:val="clear"/>
            <w:tcMar>
              <w:top w:w="0" w:type="dxa"/>
            </w:tcMar>
            <w:vAlign w:val="center"/>
          </w:tcPr>
          <w:p>
            <w:pPr>
              <w:pStyle w:val="TableContents"/>
              <w:bidi w:val="0"/>
              <w:spacing w:before="0" w:after="0"/>
              <w:jc w:val="right"/>
              <w:rPr>
                <w:color w:val="333333"/>
              </w:rPr>
            </w:pPr>
            <w:r>
              <w:rPr>
                <w:color w:val="333333"/>
              </w:rPr>
              <w:t> </w:t>
            </w:r>
          </w:p>
        </w:tc>
        <w:tc>
          <w:tcPr>
            <w:tcW w:w="60" w:type="dxa"/>
            <w:tcBorders>
              <w:bottom w:val="single" w:sz="8" w:space="0" w:color="000000"/>
            </w:tcBorders>
            <w:shd w:fill="FFFFFF" w:val="clear"/>
            <w:tcMar>
              <w:top w:w="0" w:type="dxa"/>
            </w:tcMar>
            <w:vAlign w:val="center"/>
          </w:tcPr>
          <w:p>
            <w:pPr>
              <w:pStyle w:val="TableContents"/>
              <w:bidi w:val="0"/>
              <w:spacing w:before="0" w:after="0"/>
              <w:jc w:val="right"/>
              <w:rPr>
                <w:color w:val="333333"/>
              </w:rPr>
            </w:pPr>
            <w:r>
              <w:rPr>
                <w:color w:val="333333"/>
              </w:rPr>
              <w:t> </w:t>
            </w:r>
          </w:p>
        </w:tc>
        <w:tc>
          <w:tcPr>
            <w:tcW w:w="110" w:type="dxa"/>
            <w:tcBorders>
              <w:bottom w:val="single" w:sz="8" w:space="0" w:color="000000"/>
            </w:tcBorders>
            <w:shd w:fill="FFFFFF" w:val="clear"/>
            <w:tcMar>
              <w:top w:w="0" w:type="dxa"/>
            </w:tcMar>
            <w:vAlign w:val="center"/>
          </w:tcPr>
          <w:p>
            <w:pPr>
              <w:pStyle w:val="TableContents"/>
              <w:bidi w:val="0"/>
              <w:spacing w:before="0" w:after="0"/>
              <w:jc w:val="left"/>
              <w:rPr>
                <w:color w:val="333333"/>
              </w:rPr>
            </w:pPr>
            <w:r>
              <w:rPr>
                <w:color w:val="333333"/>
              </w:rPr>
              <w:t> </w:t>
            </w:r>
          </w:p>
        </w:tc>
        <w:tc>
          <w:tcPr>
            <w:tcW w:w="1115" w:type="dxa"/>
            <w:tcBorders>
              <w:bottom w:val="single" w:sz="8" w:space="0" w:color="000000"/>
            </w:tcBorders>
            <w:shd w:fill="FFFFFF" w:val="clear"/>
            <w:tcMar>
              <w:top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(414)</w:t>
            </w:r>
          </w:p>
        </w:tc>
        <w:tc>
          <w:tcPr>
            <w:tcW w:w="60" w:type="dxa"/>
            <w:tcBorders>
              <w:bottom w:val="single" w:sz="8" w:space="0" w:color="000000"/>
            </w:tcBorders>
            <w:shd w:fill="FFFFFF" w:val="clear"/>
            <w:tcMar>
              <w:top w:w="0" w:type="dxa"/>
            </w:tcMar>
            <w:vAlign w:val="center"/>
          </w:tcPr>
          <w:p>
            <w:pPr>
              <w:pStyle w:val="TableContents"/>
              <w:bidi w:val="0"/>
              <w:spacing w:before="0" w:after="0"/>
              <w:jc w:val="right"/>
              <w:rPr>
                <w:color w:val="333333"/>
              </w:rPr>
            </w:pPr>
            <w:r>
              <w:rPr>
                <w:color w:val="333333"/>
              </w:rPr>
              <w:t> </w:t>
            </w:r>
          </w:p>
        </w:tc>
        <w:tc>
          <w:tcPr>
            <w:tcW w:w="110" w:type="dxa"/>
            <w:tcBorders>
              <w:bottom w:val="single" w:sz="8" w:space="0" w:color="000000"/>
            </w:tcBorders>
            <w:shd w:fill="FFFFFF" w:val="clear"/>
            <w:tcMar>
              <w:top w:w="0" w:type="dxa"/>
            </w:tcMar>
            <w:vAlign w:val="center"/>
          </w:tcPr>
          <w:p>
            <w:pPr>
              <w:pStyle w:val="TableContents"/>
              <w:bidi w:val="0"/>
              <w:spacing w:before="0" w:after="0"/>
              <w:jc w:val="left"/>
              <w:rPr>
                <w:color w:val="333333"/>
              </w:rPr>
            </w:pPr>
            <w:r>
              <w:rPr>
                <w:color w:val="333333"/>
              </w:rPr>
              <w:t> </w:t>
            </w:r>
          </w:p>
        </w:tc>
        <w:tc>
          <w:tcPr>
            <w:tcW w:w="620" w:type="dxa"/>
            <w:tcBorders>
              <w:bottom w:val="single" w:sz="8" w:space="0" w:color="000000"/>
            </w:tcBorders>
            <w:shd w:fill="FFFFFF" w:val="clear"/>
            <w:tcMar>
              <w:top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(2,215)</w:t>
            </w:r>
          </w:p>
        </w:tc>
      </w:tr>
      <w:tr>
        <w:trPr/>
        <w:tc>
          <w:tcPr>
            <w:tcW w:w="1070" w:type="dxa"/>
            <w:tcBorders>
              <w:top w:val="single" w:sz="8" w:space="0" w:color="000000"/>
              <w:bottom w:val="double" w:sz="6" w:space="0" w:color="000000"/>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Balance, July 31, 2026</w:t>
            </w:r>
          </w:p>
        </w:tc>
        <w:tc>
          <w:tcPr>
            <w:tcW w:w="920" w:type="dxa"/>
            <w:tcBorders>
              <w:top w:val="single" w:sz="8"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5,121,132</w:t>
            </w:r>
          </w:p>
        </w:tc>
        <w:tc>
          <w:tcPr>
            <w:tcW w:w="60" w:type="dxa"/>
            <w:tcBorders>
              <w:top w:val="single" w:sz="8" w:space="0" w:color="000000"/>
              <w:bottom w:val="double" w:sz="6" w:space="0" w:color="000000"/>
            </w:tcBorders>
            <w:shd w:fill="CCEEFF" w:val="clear"/>
            <w:vAlign w:val="center"/>
          </w:tcPr>
          <w:p>
            <w:pPr>
              <w:pStyle w:val="TableContents"/>
              <w:bidi w:val="0"/>
              <w:spacing w:before="0" w:after="0"/>
              <w:jc w:val="right"/>
              <w:rPr>
                <w:color w:val="333333"/>
              </w:rPr>
            </w:pPr>
            <w:r>
              <w:rPr>
                <w:color w:val="333333"/>
              </w:rPr>
              <w:t> </w:t>
            </w:r>
          </w:p>
        </w:tc>
        <w:tc>
          <w:tcPr>
            <w:tcW w:w="110" w:type="dxa"/>
            <w:tcBorders>
              <w:top w:val="single" w:sz="8" w:space="0" w:color="000000"/>
              <w:bottom w:val="double" w:sz="6" w:space="0" w:color="000000"/>
            </w:tcBorders>
            <w:shd w:fill="CCEE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05" w:type="dxa"/>
            <w:tcBorders>
              <w:top w:val="single" w:sz="8"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66</w:t>
            </w:r>
          </w:p>
        </w:tc>
        <w:tc>
          <w:tcPr>
            <w:tcW w:w="60" w:type="dxa"/>
            <w:tcBorders>
              <w:top w:val="single" w:sz="8" w:space="0" w:color="000000"/>
              <w:bottom w:val="double" w:sz="6" w:space="0" w:color="000000"/>
            </w:tcBorders>
            <w:shd w:fill="CCEEFF" w:val="clear"/>
            <w:vAlign w:val="center"/>
          </w:tcPr>
          <w:p>
            <w:pPr>
              <w:pStyle w:val="TableContents"/>
              <w:bidi w:val="0"/>
              <w:spacing w:before="0" w:after="0"/>
              <w:jc w:val="right"/>
              <w:rPr>
                <w:color w:val="333333"/>
              </w:rPr>
            </w:pPr>
            <w:r>
              <w:rPr>
                <w:color w:val="333333"/>
              </w:rPr>
              <w:t> </w:t>
            </w:r>
          </w:p>
        </w:tc>
        <w:tc>
          <w:tcPr>
            <w:tcW w:w="920" w:type="dxa"/>
            <w:tcBorders>
              <w:top w:val="single" w:sz="8"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837,635</w:t>
            </w:r>
          </w:p>
        </w:tc>
        <w:tc>
          <w:tcPr>
            <w:tcW w:w="60" w:type="dxa"/>
            <w:tcBorders>
              <w:top w:val="single" w:sz="8" w:space="0" w:color="000000"/>
              <w:bottom w:val="double" w:sz="6" w:space="0" w:color="000000"/>
            </w:tcBorders>
            <w:shd w:fill="CCEEFF" w:val="clear"/>
            <w:vAlign w:val="center"/>
          </w:tcPr>
          <w:p>
            <w:pPr>
              <w:pStyle w:val="TableContents"/>
              <w:bidi w:val="0"/>
              <w:spacing w:before="0" w:after="0"/>
              <w:jc w:val="right"/>
              <w:rPr>
                <w:color w:val="333333"/>
              </w:rPr>
            </w:pPr>
            <w:r>
              <w:rPr>
                <w:color w:val="333333"/>
              </w:rPr>
              <w:t> </w:t>
            </w:r>
          </w:p>
        </w:tc>
        <w:tc>
          <w:tcPr>
            <w:tcW w:w="110" w:type="dxa"/>
            <w:tcBorders>
              <w:top w:val="single" w:sz="8" w:space="0" w:color="000000"/>
              <w:bottom w:val="double" w:sz="6" w:space="0" w:color="000000"/>
            </w:tcBorders>
            <w:shd w:fill="CCEE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05" w:type="dxa"/>
            <w:tcBorders>
              <w:top w:val="single" w:sz="8"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9</w:t>
            </w:r>
          </w:p>
        </w:tc>
        <w:tc>
          <w:tcPr>
            <w:tcW w:w="60" w:type="dxa"/>
            <w:tcBorders>
              <w:top w:val="single" w:sz="8" w:space="0" w:color="000000"/>
              <w:bottom w:val="double" w:sz="6" w:space="0" w:color="000000"/>
            </w:tcBorders>
            <w:shd w:fill="CCEEFF" w:val="clear"/>
            <w:vAlign w:val="center"/>
          </w:tcPr>
          <w:p>
            <w:pPr>
              <w:pStyle w:val="TableContents"/>
              <w:bidi w:val="0"/>
              <w:spacing w:before="0" w:after="0"/>
              <w:jc w:val="right"/>
              <w:rPr>
                <w:color w:val="333333"/>
              </w:rPr>
            </w:pPr>
            <w:r>
              <w:rPr>
                <w:color w:val="333333"/>
              </w:rPr>
              <w:t> </w:t>
            </w:r>
          </w:p>
        </w:tc>
        <w:tc>
          <w:tcPr>
            <w:tcW w:w="920" w:type="dxa"/>
            <w:tcBorders>
              <w:top w:val="single" w:sz="8"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5,600</w:t>
            </w:r>
          </w:p>
        </w:tc>
        <w:tc>
          <w:tcPr>
            <w:tcW w:w="60" w:type="dxa"/>
            <w:tcBorders>
              <w:top w:val="single" w:sz="8" w:space="0" w:color="000000"/>
              <w:bottom w:val="double" w:sz="6" w:space="0" w:color="000000"/>
            </w:tcBorders>
            <w:shd w:fill="CCEEFF" w:val="clear"/>
            <w:vAlign w:val="center"/>
          </w:tcPr>
          <w:p>
            <w:pPr>
              <w:pStyle w:val="TableContents"/>
              <w:bidi w:val="0"/>
              <w:spacing w:before="0" w:after="0"/>
              <w:jc w:val="right"/>
              <w:rPr>
                <w:color w:val="333333"/>
              </w:rPr>
            </w:pPr>
            <w:r>
              <w:rPr>
                <w:color w:val="333333"/>
              </w:rPr>
              <w:t> </w:t>
            </w:r>
          </w:p>
        </w:tc>
        <w:tc>
          <w:tcPr>
            <w:tcW w:w="110" w:type="dxa"/>
            <w:tcBorders>
              <w:top w:val="single" w:sz="8" w:space="0" w:color="000000"/>
              <w:bottom w:val="double" w:sz="6" w:space="0" w:color="000000"/>
            </w:tcBorders>
            <w:shd w:fill="CCEE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05" w:type="dxa"/>
            <w:tcBorders>
              <w:top w:val="single" w:sz="8"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135,299</w:t>
            </w:r>
          </w:p>
        </w:tc>
        <w:tc>
          <w:tcPr>
            <w:tcW w:w="60" w:type="dxa"/>
            <w:tcBorders>
              <w:top w:val="single" w:sz="8" w:space="0" w:color="000000"/>
              <w:bottom w:val="double" w:sz="6" w:space="0" w:color="000000"/>
            </w:tcBorders>
            <w:shd w:fill="CCEEFF" w:val="clear"/>
            <w:vAlign w:val="center"/>
          </w:tcPr>
          <w:p>
            <w:pPr>
              <w:pStyle w:val="TableContents"/>
              <w:bidi w:val="0"/>
              <w:spacing w:before="0" w:after="0"/>
              <w:jc w:val="right"/>
              <w:rPr>
                <w:color w:val="333333"/>
              </w:rPr>
            </w:pPr>
            <w:r>
              <w:rPr>
                <w:color w:val="333333"/>
              </w:rPr>
              <w:t> </w:t>
            </w:r>
          </w:p>
        </w:tc>
        <w:tc>
          <w:tcPr>
            <w:tcW w:w="110" w:type="dxa"/>
            <w:tcBorders>
              <w:top w:val="single" w:sz="8" w:space="0" w:color="000000"/>
              <w:bottom w:val="double" w:sz="6" w:space="0" w:color="000000"/>
            </w:tcBorders>
            <w:shd w:fill="CCEE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1160" w:type="dxa"/>
            <w:tcBorders>
              <w:top w:val="single" w:sz="8"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752,820</w:t>
            </w:r>
          </w:p>
        </w:tc>
        <w:tc>
          <w:tcPr>
            <w:tcW w:w="60" w:type="dxa"/>
            <w:tcBorders>
              <w:top w:val="single" w:sz="8" w:space="0" w:color="000000"/>
              <w:bottom w:val="double" w:sz="6" w:space="0" w:color="000000"/>
            </w:tcBorders>
            <w:shd w:fill="CCEEFF" w:val="clear"/>
            <w:vAlign w:val="center"/>
          </w:tcPr>
          <w:p>
            <w:pPr>
              <w:pStyle w:val="TableContents"/>
              <w:bidi w:val="0"/>
              <w:spacing w:before="0" w:after="0"/>
              <w:jc w:val="right"/>
              <w:rPr>
                <w:color w:val="333333"/>
              </w:rPr>
            </w:pPr>
            <w:r>
              <w:rPr>
                <w:color w:val="333333"/>
              </w:rPr>
              <w:t> </w:t>
            </w:r>
          </w:p>
        </w:tc>
        <w:tc>
          <w:tcPr>
            <w:tcW w:w="110" w:type="dxa"/>
            <w:tcBorders>
              <w:top w:val="single" w:sz="8" w:space="0" w:color="000000"/>
              <w:bottom w:val="double" w:sz="6" w:space="0" w:color="000000"/>
            </w:tcBorders>
            <w:shd w:fill="CCEE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65" w:type="dxa"/>
            <w:tcBorders>
              <w:top w:val="single" w:sz="8"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138,093</w:t>
            </w:r>
          </w:p>
        </w:tc>
        <w:tc>
          <w:tcPr>
            <w:tcW w:w="60" w:type="dxa"/>
            <w:tcBorders>
              <w:top w:val="single" w:sz="8" w:space="0" w:color="000000"/>
              <w:bottom w:val="double" w:sz="6" w:space="0" w:color="000000"/>
            </w:tcBorders>
            <w:shd w:fill="CCEEFF" w:val="clear"/>
            <w:vAlign w:val="center"/>
          </w:tcPr>
          <w:p>
            <w:pPr>
              <w:pStyle w:val="TableContents"/>
              <w:bidi w:val="0"/>
              <w:spacing w:before="0" w:after="0"/>
              <w:jc w:val="right"/>
              <w:rPr>
                <w:color w:val="333333"/>
              </w:rPr>
            </w:pPr>
            <w:r>
              <w:rPr>
                <w:color w:val="333333"/>
              </w:rPr>
              <w:t> </w:t>
            </w:r>
          </w:p>
        </w:tc>
        <w:tc>
          <w:tcPr>
            <w:tcW w:w="110" w:type="dxa"/>
            <w:tcBorders>
              <w:top w:val="single" w:sz="8" w:space="0" w:color="000000"/>
              <w:bottom w:val="double" w:sz="6" w:space="0" w:color="000000"/>
            </w:tcBorders>
            <w:shd w:fill="CCEE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80" w:type="dxa"/>
            <w:tcBorders>
              <w:top w:val="single" w:sz="8"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(207,621)</w:t>
            </w:r>
          </w:p>
        </w:tc>
        <w:tc>
          <w:tcPr>
            <w:tcW w:w="60" w:type="dxa"/>
            <w:tcBorders>
              <w:top w:val="single" w:sz="8" w:space="0" w:color="000000"/>
              <w:bottom w:val="double" w:sz="6" w:space="0" w:color="000000"/>
            </w:tcBorders>
            <w:shd w:fill="CCEEFF" w:val="clear"/>
            <w:vAlign w:val="center"/>
          </w:tcPr>
          <w:p>
            <w:pPr>
              <w:pStyle w:val="TableContents"/>
              <w:bidi w:val="0"/>
              <w:spacing w:before="0" w:after="0"/>
              <w:jc w:val="right"/>
              <w:rPr>
                <w:color w:val="333333"/>
              </w:rPr>
            </w:pPr>
            <w:r>
              <w:rPr>
                <w:color w:val="333333"/>
              </w:rPr>
              <w:t> </w:t>
            </w:r>
          </w:p>
        </w:tc>
        <w:tc>
          <w:tcPr>
            <w:tcW w:w="110" w:type="dxa"/>
            <w:tcBorders>
              <w:top w:val="single" w:sz="8" w:space="0" w:color="000000"/>
              <w:bottom w:val="double" w:sz="6" w:space="0" w:color="000000"/>
            </w:tcBorders>
            <w:shd w:fill="CCEE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1115" w:type="dxa"/>
            <w:tcBorders>
              <w:top w:val="single" w:sz="8"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2,290</w:t>
            </w:r>
          </w:p>
        </w:tc>
        <w:tc>
          <w:tcPr>
            <w:tcW w:w="60" w:type="dxa"/>
            <w:tcBorders>
              <w:top w:val="single" w:sz="8" w:space="0" w:color="000000"/>
              <w:bottom w:val="double" w:sz="6" w:space="0" w:color="000000"/>
            </w:tcBorders>
            <w:shd w:fill="CCEEFF" w:val="clear"/>
            <w:vAlign w:val="center"/>
          </w:tcPr>
          <w:p>
            <w:pPr>
              <w:pStyle w:val="TableContents"/>
              <w:bidi w:val="0"/>
              <w:spacing w:before="0" w:after="0"/>
              <w:jc w:val="right"/>
              <w:rPr>
                <w:color w:val="333333"/>
              </w:rPr>
            </w:pPr>
            <w:r>
              <w:rPr>
                <w:color w:val="333333"/>
              </w:rPr>
              <w:t> </w:t>
            </w:r>
          </w:p>
        </w:tc>
        <w:tc>
          <w:tcPr>
            <w:tcW w:w="110" w:type="dxa"/>
            <w:tcBorders>
              <w:top w:val="single" w:sz="8" w:space="0" w:color="000000"/>
              <w:bottom w:val="double" w:sz="6" w:space="0" w:color="000000"/>
            </w:tcBorders>
            <w:shd w:fill="CCEE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20" w:type="dxa"/>
            <w:tcBorders>
              <w:top w:val="single" w:sz="8"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820,956</w:t>
            </w:r>
          </w:p>
        </w:tc>
      </w:tr>
    </w:tbl>
    <w:p>
      <w:pPr>
        <w:pStyle w:val="TextBody"/>
        <w:bidi w:val="0"/>
        <w:spacing w:lineRule="atLeast" w:line="240" w:before="200" w:after="200"/>
        <w:jc w:val="left"/>
        <w:rPr>
          <w:sz w:val="20"/>
        </w:rPr>
      </w:pPr>
      <w:r>
        <w:rPr>
          <w:sz w:val="20"/>
        </w:rPr>
        <w:t>See notes to condensed consolidated financial statements (unaudited).</w:t>
      </w:r>
    </w:p>
    <w:p>
      <w:pPr>
        <w:pStyle w:val="TextBody"/>
        <w:bidi w:val="0"/>
        <w:spacing w:before="0" w:after="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r>
        <w:br w:type="page"/>
      </w:r>
    </w:p>
    <w:p>
      <w:pPr>
        <w:pStyle w:val="TextBody"/>
        <w:bidi w:val="0"/>
        <w:spacing w:lineRule="atLeast" w:line="240" w:before="0" w:after="0"/>
        <w:jc w:val="left"/>
        <w:rPr/>
      </w:pPr>
      <w:hyperlink w:anchor="TOC_TableofContent">
        <w:r>
          <w:rPr>
            <w:rStyle w:val="InternetLink"/>
            <w:strike w:val="false"/>
            <w:dstrike w:val="false"/>
            <w:color w:val="0000FF"/>
            <w:sz w:val="20"/>
            <w:u w:val="single"/>
            <w:effect w:val="none"/>
          </w:rPr>
          <w:t>Table of Contents</w:t>
        </w:r>
      </w:hyperlink>
    </w:p>
    <w:p>
      <w:pPr>
        <w:pStyle w:val="TextBody"/>
        <w:bidi w:val="0"/>
        <w:spacing w:lineRule="atLeast" w:line="220" w:before="200" w:after="0"/>
        <w:jc w:val="center"/>
        <w:rPr>
          <w:sz w:val="20"/>
        </w:rPr>
      </w:pPr>
      <w:r>
        <w:rPr>
          <w:sz w:val="20"/>
        </w:rPr>
        <w:t>HOVNANIAN ENTERPRISES, INC. AND SUBSIDIARIES</w:t>
      </w:r>
    </w:p>
    <w:p>
      <w:pPr>
        <w:pStyle w:val="TextBody"/>
        <w:bidi w:val="0"/>
        <w:spacing w:lineRule="atLeast" w:line="220" w:before="0" w:after="0"/>
        <w:jc w:val="center"/>
        <w:rPr>
          <w:sz w:val="20"/>
        </w:rPr>
      </w:pPr>
      <w:r>
        <w:rPr>
          <w:sz w:val="20"/>
        </w:rPr>
        <w:t>CONDENSED CONSOLIDATED STATEMENTS OF CHANGES IN EQUITY</w:t>
      </w:r>
    </w:p>
    <w:p>
      <w:pPr>
        <w:pStyle w:val="TextBody"/>
        <w:bidi w:val="0"/>
        <w:spacing w:lineRule="atLeast" w:line="264" w:before="0" w:after="0"/>
        <w:jc w:val="center"/>
        <w:rPr>
          <w:caps/>
          <w:sz w:val="20"/>
        </w:rPr>
      </w:pPr>
      <w:r>
        <w:rPr>
          <w:caps/>
          <w:sz w:val="20"/>
        </w:rPr>
        <w:t>THREE AND NINE MONTH PERIODS ENDED JULY 31, 2025</w:t>
      </w:r>
    </w:p>
    <w:p>
      <w:pPr>
        <w:pStyle w:val="TextBody"/>
        <w:bidi w:val="0"/>
        <w:spacing w:lineRule="atLeast" w:line="220" w:before="0" w:after="0"/>
        <w:jc w:val="center"/>
        <w:rPr>
          <w:sz w:val="20"/>
        </w:rPr>
      </w:pPr>
      <w:r>
        <w:rPr>
          <w:sz w:val="20"/>
        </w:rPr>
        <w:t>(In thousands, except share data)</w:t>
      </w:r>
    </w:p>
    <w:p>
      <w:pPr>
        <w:pStyle w:val="TextBody"/>
        <w:bidi w:val="0"/>
        <w:spacing w:lineRule="atLeast" w:line="220" w:before="0" w:after="120"/>
        <w:jc w:val="center"/>
        <w:rPr>
          <w:sz w:val="20"/>
        </w:rPr>
      </w:pPr>
      <w:r>
        <w:rPr>
          <w:sz w:val="20"/>
        </w:rPr>
        <w:t>(Unaudited)</w:t>
      </w:r>
    </w:p>
    <w:tbl>
      <w:tblPr>
        <w:tblW w:w="10205" w:type="dxa"/>
        <w:jc w:val="left"/>
        <w:tblInd w:w="0" w:type="dxa"/>
        <w:tblLayout w:type="fixed"/>
        <w:tblCellMar>
          <w:top w:w="28" w:type="dxa"/>
          <w:left w:w="0" w:type="dxa"/>
          <w:bottom w:w="28" w:type="dxa"/>
          <w:right w:w="0" w:type="dxa"/>
        </w:tblCellMar>
      </w:tblPr>
      <w:tblGrid>
        <w:gridCol w:w="1037"/>
        <w:gridCol w:w="960"/>
        <w:gridCol w:w="60"/>
        <w:gridCol w:w="110"/>
        <w:gridCol w:w="605"/>
        <w:gridCol w:w="60"/>
        <w:gridCol w:w="960"/>
        <w:gridCol w:w="60"/>
        <w:gridCol w:w="110"/>
        <w:gridCol w:w="605"/>
        <w:gridCol w:w="60"/>
        <w:gridCol w:w="960"/>
        <w:gridCol w:w="60"/>
        <w:gridCol w:w="110"/>
        <w:gridCol w:w="605"/>
        <w:gridCol w:w="60"/>
        <w:gridCol w:w="110"/>
        <w:gridCol w:w="1160"/>
        <w:gridCol w:w="60"/>
        <w:gridCol w:w="110"/>
        <w:gridCol w:w="686"/>
        <w:gridCol w:w="60"/>
        <w:gridCol w:w="110"/>
        <w:gridCol w:w="693"/>
        <w:gridCol w:w="60"/>
        <w:gridCol w:w="110"/>
        <w:gridCol w:w="624"/>
      </w:tblGrid>
      <w:tr>
        <w:trPr/>
        <w:tc>
          <w:tcPr>
            <w:tcW w:w="1037"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1735" w:type="dxa"/>
            <w:gridSpan w:val="4"/>
            <w:tcBorders>
              <w:top w:val="single" w:sz="8" w:space="0" w:color="000000"/>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 Common Stock</w:t>
            </w:r>
          </w:p>
        </w:tc>
        <w:tc>
          <w:tcPr>
            <w:tcW w:w="6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1735" w:type="dxa"/>
            <w:gridSpan w:val="4"/>
            <w:tcBorders>
              <w:top w:val="single" w:sz="8" w:space="0" w:color="000000"/>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B Common Stock</w:t>
            </w:r>
          </w:p>
        </w:tc>
        <w:tc>
          <w:tcPr>
            <w:tcW w:w="6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1735" w:type="dxa"/>
            <w:gridSpan w:val="4"/>
            <w:tcBorders>
              <w:top w:val="single" w:sz="8" w:space="0" w:color="000000"/>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Preferred Stock</w:t>
            </w:r>
          </w:p>
        </w:tc>
        <w:tc>
          <w:tcPr>
            <w:tcW w:w="6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11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116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6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11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686"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6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11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693"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6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11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624" w:type="dxa"/>
            <w:tcBorders>
              <w:top w:val="single" w:sz="8" w:space="0" w:color="000000"/>
              <w:bottom w:val="single" w:sz="8" w:space="0" w:color="000000"/>
            </w:tcBorders>
            <w:vAlign w:val="center"/>
          </w:tcPr>
          <w:p>
            <w:pPr>
              <w:pStyle w:val="TableContents"/>
              <w:bidi w:val="0"/>
              <w:spacing w:before="0" w:after="0"/>
              <w:jc w:val="left"/>
              <w:rPr/>
            </w:pPr>
            <w:r>
              <w:rPr/>
              <w:t> </w:t>
            </w:r>
          </w:p>
        </w:tc>
      </w:tr>
      <w:tr>
        <w:trPr/>
        <w:tc>
          <w:tcPr>
            <w:tcW w:w="1037"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960" w:type="dxa"/>
            <w:tcBorders>
              <w:top w:val="single" w:sz="8" w:space="0" w:color="000000"/>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Shares Issued and Outstanding</w:t>
            </w:r>
          </w:p>
        </w:tc>
        <w:tc>
          <w:tcPr>
            <w:tcW w:w="6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11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605" w:type="dxa"/>
            <w:tcBorders>
              <w:top w:val="single" w:sz="8" w:space="0" w:color="000000"/>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Amount</w:t>
            </w:r>
          </w:p>
        </w:tc>
        <w:tc>
          <w:tcPr>
            <w:tcW w:w="6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960" w:type="dxa"/>
            <w:tcBorders>
              <w:top w:val="single" w:sz="8" w:space="0" w:color="000000"/>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Shares Issued and Outstanding</w:t>
            </w:r>
          </w:p>
        </w:tc>
        <w:tc>
          <w:tcPr>
            <w:tcW w:w="6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11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605" w:type="dxa"/>
            <w:tcBorders>
              <w:top w:val="single" w:sz="8" w:space="0" w:color="000000"/>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Amount</w:t>
            </w:r>
          </w:p>
        </w:tc>
        <w:tc>
          <w:tcPr>
            <w:tcW w:w="6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960" w:type="dxa"/>
            <w:tcBorders>
              <w:top w:val="single" w:sz="8" w:space="0" w:color="000000"/>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Shares Issued and Outstanding</w:t>
            </w:r>
          </w:p>
        </w:tc>
        <w:tc>
          <w:tcPr>
            <w:tcW w:w="6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11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605" w:type="dxa"/>
            <w:tcBorders>
              <w:top w:val="single" w:sz="8" w:space="0" w:color="000000"/>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Amount</w:t>
            </w:r>
          </w:p>
        </w:tc>
        <w:tc>
          <w:tcPr>
            <w:tcW w:w="6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11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1160" w:type="dxa"/>
            <w:tcBorders>
              <w:top w:val="single" w:sz="8" w:space="0" w:color="000000"/>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Paid-In-Capital</w:t>
            </w:r>
          </w:p>
        </w:tc>
        <w:tc>
          <w:tcPr>
            <w:tcW w:w="6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11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686" w:type="dxa"/>
            <w:tcBorders>
              <w:top w:val="single" w:sz="8" w:space="0" w:color="000000"/>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Retained Earnings</w:t>
            </w:r>
          </w:p>
        </w:tc>
        <w:tc>
          <w:tcPr>
            <w:tcW w:w="6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11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693" w:type="dxa"/>
            <w:tcBorders>
              <w:top w:val="single" w:sz="8" w:space="0" w:color="000000"/>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Treasury Stock</w:t>
            </w:r>
          </w:p>
        </w:tc>
        <w:tc>
          <w:tcPr>
            <w:tcW w:w="6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110" w:type="dxa"/>
            <w:tcBorders>
              <w:top w:val="single" w:sz="8" w:space="0" w:color="000000"/>
              <w:bottom w:val="single" w:sz="8" w:space="0" w:color="000000"/>
            </w:tcBorders>
            <w:vAlign w:val="center"/>
          </w:tcPr>
          <w:p>
            <w:pPr>
              <w:pStyle w:val="TableContents"/>
              <w:bidi w:val="0"/>
              <w:spacing w:before="0" w:after="0"/>
              <w:jc w:val="left"/>
              <w:rPr/>
            </w:pPr>
            <w:r>
              <w:rPr/>
              <w:t> </w:t>
            </w:r>
          </w:p>
        </w:tc>
        <w:tc>
          <w:tcPr>
            <w:tcW w:w="624" w:type="dxa"/>
            <w:tcBorders>
              <w:top w:val="single" w:sz="8" w:space="0" w:color="000000"/>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r>
      <w:tr>
        <w:trPr/>
        <w:tc>
          <w:tcPr>
            <w:tcW w:w="1037" w:type="dxa"/>
            <w:tcBorders>
              <w:top w:val="single" w:sz="8" w:space="0" w:color="000000"/>
            </w:tcBorders>
            <w:shd w:fill="CCEEFF" w:val="clear"/>
            <w:tcMar>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Balance, October 31, 2024</w:t>
            </w:r>
          </w:p>
        </w:tc>
        <w:tc>
          <w:tcPr>
            <w:tcW w:w="960" w:type="dxa"/>
            <w:tcBorders>
              <w:top w:val="single" w:sz="8" w:space="0" w:color="000000"/>
            </w:tcBorders>
            <w:shd w:fill="CCEEFF" w:val="clear"/>
            <w:tcMar>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5,325,615</w:t>
            </w:r>
          </w:p>
        </w:tc>
        <w:tc>
          <w:tcPr>
            <w:tcW w:w="60" w:type="dxa"/>
            <w:tcBorders>
              <w:top w:val="single" w:sz="8" w:space="0" w:color="000000"/>
            </w:tcBorders>
            <w:shd w:fill="CCEEFF" w:val="clear"/>
            <w:tcMar>
              <w:bottom w:w="0" w:type="dxa"/>
            </w:tcMar>
            <w:vAlign w:val="center"/>
          </w:tcPr>
          <w:p>
            <w:pPr>
              <w:pStyle w:val="TableContents"/>
              <w:bidi w:val="0"/>
              <w:spacing w:before="0" w:after="0"/>
              <w:jc w:val="left"/>
              <w:rPr/>
            </w:pPr>
            <w:r>
              <w:rPr/>
              <w:t> </w:t>
            </w:r>
          </w:p>
        </w:tc>
        <w:tc>
          <w:tcPr>
            <w:tcW w:w="110" w:type="dxa"/>
            <w:tcBorders>
              <w:top w:val="single" w:sz="8" w:space="0" w:color="000000"/>
            </w:tcBorders>
            <w:shd w:fill="CCEEFF" w:val="clear"/>
            <w:tcMar>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w:t>
            </w:r>
          </w:p>
        </w:tc>
        <w:tc>
          <w:tcPr>
            <w:tcW w:w="605" w:type="dxa"/>
            <w:tcBorders>
              <w:top w:val="single" w:sz="8" w:space="0" w:color="000000"/>
            </w:tcBorders>
            <w:shd w:fill="CCEEFF" w:val="clear"/>
            <w:tcMar>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64</w:t>
            </w:r>
          </w:p>
        </w:tc>
        <w:tc>
          <w:tcPr>
            <w:tcW w:w="60" w:type="dxa"/>
            <w:tcBorders>
              <w:top w:val="single" w:sz="8" w:space="0" w:color="000000"/>
            </w:tcBorders>
            <w:shd w:fill="CCEEFF" w:val="clear"/>
            <w:tcMar>
              <w:bottom w:w="0" w:type="dxa"/>
            </w:tcMar>
            <w:vAlign w:val="center"/>
          </w:tcPr>
          <w:p>
            <w:pPr>
              <w:pStyle w:val="TableContents"/>
              <w:bidi w:val="0"/>
              <w:spacing w:before="0" w:after="0"/>
              <w:jc w:val="left"/>
              <w:rPr/>
            </w:pPr>
            <w:r>
              <w:rPr/>
              <w:t> </w:t>
            </w:r>
          </w:p>
        </w:tc>
        <w:tc>
          <w:tcPr>
            <w:tcW w:w="960" w:type="dxa"/>
            <w:tcBorders>
              <w:top w:val="single" w:sz="8" w:space="0" w:color="000000"/>
            </w:tcBorders>
            <w:shd w:fill="CCEEFF" w:val="clear"/>
            <w:tcMar>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729,354</w:t>
            </w:r>
          </w:p>
        </w:tc>
        <w:tc>
          <w:tcPr>
            <w:tcW w:w="60" w:type="dxa"/>
            <w:tcBorders>
              <w:top w:val="single" w:sz="8" w:space="0" w:color="000000"/>
            </w:tcBorders>
            <w:shd w:fill="CCEEFF" w:val="clear"/>
            <w:tcMar>
              <w:bottom w:w="0" w:type="dxa"/>
            </w:tcMar>
            <w:vAlign w:val="center"/>
          </w:tcPr>
          <w:p>
            <w:pPr>
              <w:pStyle w:val="TableContents"/>
              <w:bidi w:val="0"/>
              <w:spacing w:before="0" w:after="0"/>
              <w:jc w:val="left"/>
              <w:rPr/>
            </w:pPr>
            <w:r>
              <w:rPr/>
              <w:t> </w:t>
            </w:r>
          </w:p>
        </w:tc>
        <w:tc>
          <w:tcPr>
            <w:tcW w:w="110" w:type="dxa"/>
            <w:tcBorders>
              <w:top w:val="single" w:sz="8" w:space="0" w:color="000000"/>
            </w:tcBorders>
            <w:shd w:fill="CCEEFF" w:val="clear"/>
            <w:tcMar>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w:t>
            </w:r>
          </w:p>
        </w:tc>
        <w:tc>
          <w:tcPr>
            <w:tcW w:w="605" w:type="dxa"/>
            <w:tcBorders>
              <w:top w:val="single" w:sz="8" w:space="0" w:color="000000"/>
            </w:tcBorders>
            <w:shd w:fill="CCEEFF" w:val="clear"/>
            <w:tcMar>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8</w:t>
            </w:r>
          </w:p>
        </w:tc>
        <w:tc>
          <w:tcPr>
            <w:tcW w:w="60" w:type="dxa"/>
            <w:tcBorders>
              <w:top w:val="single" w:sz="8" w:space="0" w:color="000000"/>
            </w:tcBorders>
            <w:shd w:fill="CCEEFF" w:val="clear"/>
            <w:tcMar>
              <w:bottom w:w="0" w:type="dxa"/>
            </w:tcMar>
            <w:vAlign w:val="center"/>
          </w:tcPr>
          <w:p>
            <w:pPr>
              <w:pStyle w:val="TableContents"/>
              <w:bidi w:val="0"/>
              <w:spacing w:before="0" w:after="0"/>
              <w:jc w:val="left"/>
              <w:rPr/>
            </w:pPr>
            <w:r>
              <w:rPr/>
              <w:t> </w:t>
            </w:r>
          </w:p>
        </w:tc>
        <w:tc>
          <w:tcPr>
            <w:tcW w:w="960" w:type="dxa"/>
            <w:tcBorders>
              <w:top w:val="single" w:sz="8" w:space="0" w:color="000000"/>
            </w:tcBorders>
            <w:shd w:fill="CCEEFF" w:val="clear"/>
            <w:tcMar>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5,600</w:t>
            </w:r>
          </w:p>
        </w:tc>
        <w:tc>
          <w:tcPr>
            <w:tcW w:w="60" w:type="dxa"/>
            <w:tcBorders>
              <w:top w:val="single" w:sz="8" w:space="0" w:color="000000"/>
            </w:tcBorders>
            <w:shd w:fill="CCEEFF" w:val="clear"/>
            <w:tcMar>
              <w:bottom w:w="0" w:type="dxa"/>
            </w:tcMar>
            <w:vAlign w:val="center"/>
          </w:tcPr>
          <w:p>
            <w:pPr>
              <w:pStyle w:val="TableContents"/>
              <w:bidi w:val="0"/>
              <w:spacing w:before="0" w:after="0"/>
              <w:jc w:val="left"/>
              <w:rPr/>
            </w:pPr>
            <w:r>
              <w:rPr/>
              <w:t> </w:t>
            </w:r>
          </w:p>
        </w:tc>
        <w:tc>
          <w:tcPr>
            <w:tcW w:w="110" w:type="dxa"/>
            <w:tcBorders>
              <w:top w:val="single" w:sz="8" w:space="0" w:color="000000"/>
            </w:tcBorders>
            <w:shd w:fill="CCEEFF" w:val="clear"/>
            <w:tcMar>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w:t>
            </w:r>
          </w:p>
        </w:tc>
        <w:tc>
          <w:tcPr>
            <w:tcW w:w="605" w:type="dxa"/>
            <w:tcBorders>
              <w:top w:val="single" w:sz="8" w:space="0" w:color="000000"/>
            </w:tcBorders>
            <w:shd w:fill="CCEEFF" w:val="clear"/>
            <w:tcMar>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135,299</w:t>
            </w:r>
          </w:p>
        </w:tc>
        <w:tc>
          <w:tcPr>
            <w:tcW w:w="60" w:type="dxa"/>
            <w:tcBorders>
              <w:top w:val="single" w:sz="8" w:space="0" w:color="000000"/>
            </w:tcBorders>
            <w:shd w:fill="CCEEFF" w:val="clear"/>
            <w:tcMar>
              <w:bottom w:w="0" w:type="dxa"/>
            </w:tcMar>
            <w:vAlign w:val="center"/>
          </w:tcPr>
          <w:p>
            <w:pPr>
              <w:pStyle w:val="TableContents"/>
              <w:bidi w:val="0"/>
              <w:spacing w:before="0" w:after="0"/>
              <w:jc w:val="left"/>
              <w:rPr/>
            </w:pPr>
            <w:r>
              <w:rPr/>
              <w:t> </w:t>
            </w:r>
          </w:p>
        </w:tc>
        <w:tc>
          <w:tcPr>
            <w:tcW w:w="110" w:type="dxa"/>
            <w:tcBorders>
              <w:top w:val="single" w:sz="8" w:space="0" w:color="000000"/>
            </w:tcBorders>
            <w:shd w:fill="CCEEFF" w:val="clear"/>
            <w:tcMar>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w:t>
            </w:r>
          </w:p>
        </w:tc>
        <w:tc>
          <w:tcPr>
            <w:tcW w:w="1160" w:type="dxa"/>
            <w:tcBorders>
              <w:top w:val="single" w:sz="8" w:space="0" w:color="000000"/>
            </w:tcBorders>
            <w:shd w:fill="CCEEFF" w:val="clear"/>
            <w:tcMar>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749,752</w:t>
            </w:r>
          </w:p>
        </w:tc>
        <w:tc>
          <w:tcPr>
            <w:tcW w:w="60" w:type="dxa"/>
            <w:tcBorders>
              <w:top w:val="single" w:sz="8" w:space="0" w:color="000000"/>
            </w:tcBorders>
            <w:shd w:fill="CCEEFF" w:val="clear"/>
            <w:tcMar>
              <w:bottom w:w="0" w:type="dxa"/>
            </w:tcMar>
            <w:vAlign w:val="center"/>
          </w:tcPr>
          <w:p>
            <w:pPr>
              <w:pStyle w:val="TableContents"/>
              <w:bidi w:val="0"/>
              <w:spacing w:before="0" w:after="0"/>
              <w:jc w:val="left"/>
              <w:rPr/>
            </w:pPr>
            <w:r>
              <w:rPr/>
              <w:t> </w:t>
            </w:r>
          </w:p>
        </w:tc>
        <w:tc>
          <w:tcPr>
            <w:tcW w:w="110" w:type="dxa"/>
            <w:tcBorders>
              <w:top w:val="single" w:sz="8" w:space="0" w:color="000000"/>
            </w:tcBorders>
            <w:shd w:fill="CCEEFF" w:val="clear"/>
            <w:tcMar>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w:t>
            </w:r>
          </w:p>
        </w:tc>
        <w:tc>
          <w:tcPr>
            <w:tcW w:w="686" w:type="dxa"/>
            <w:tcBorders>
              <w:top w:val="single" w:sz="8" w:space="0" w:color="000000"/>
            </w:tcBorders>
            <w:shd w:fill="CCEEFF" w:val="clear"/>
            <w:tcMar>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74,136</w:t>
            </w:r>
          </w:p>
        </w:tc>
        <w:tc>
          <w:tcPr>
            <w:tcW w:w="60" w:type="dxa"/>
            <w:tcBorders>
              <w:top w:val="single" w:sz="8" w:space="0" w:color="000000"/>
            </w:tcBorders>
            <w:shd w:fill="CCEEFF" w:val="clear"/>
            <w:tcMar>
              <w:bottom w:w="0" w:type="dxa"/>
            </w:tcMar>
            <w:vAlign w:val="center"/>
          </w:tcPr>
          <w:p>
            <w:pPr>
              <w:pStyle w:val="TableContents"/>
              <w:bidi w:val="0"/>
              <w:spacing w:before="0" w:after="0"/>
              <w:jc w:val="left"/>
              <w:rPr/>
            </w:pPr>
            <w:r>
              <w:rPr/>
              <w:t> </w:t>
            </w:r>
          </w:p>
        </w:tc>
        <w:tc>
          <w:tcPr>
            <w:tcW w:w="110" w:type="dxa"/>
            <w:tcBorders>
              <w:top w:val="single" w:sz="8" w:space="0" w:color="000000"/>
            </w:tcBorders>
            <w:shd w:fill="CCEEFF" w:val="clear"/>
            <w:tcMar>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w:t>
            </w:r>
          </w:p>
        </w:tc>
        <w:tc>
          <w:tcPr>
            <w:tcW w:w="693" w:type="dxa"/>
            <w:tcBorders>
              <w:top w:val="single" w:sz="8" w:space="0" w:color="000000"/>
            </w:tcBorders>
            <w:shd w:fill="CCEEFF" w:val="clear"/>
            <w:tcMar>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(158,910)</w:t>
            </w:r>
          </w:p>
        </w:tc>
        <w:tc>
          <w:tcPr>
            <w:tcW w:w="60" w:type="dxa"/>
            <w:tcBorders>
              <w:top w:val="single" w:sz="8" w:space="0" w:color="000000"/>
            </w:tcBorders>
            <w:shd w:fill="CCEEFF" w:val="clear"/>
            <w:tcMar>
              <w:bottom w:w="0" w:type="dxa"/>
            </w:tcMar>
            <w:vAlign w:val="center"/>
          </w:tcPr>
          <w:p>
            <w:pPr>
              <w:pStyle w:val="TableContents"/>
              <w:bidi w:val="0"/>
              <w:spacing w:before="0" w:after="0"/>
              <w:jc w:val="left"/>
              <w:rPr/>
            </w:pPr>
            <w:r>
              <w:rPr/>
              <w:t> </w:t>
            </w:r>
          </w:p>
        </w:tc>
        <w:tc>
          <w:tcPr>
            <w:tcW w:w="110" w:type="dxa"/>
            <w:tcBorders>
              <w:top w:val="single" w:sz="8" w:space="0" w:color="000000"/>
            </w:tcBorders>
            <w:shd w:fill="CCEEFF" w:val="clear"/>
            <w:tcMar>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w:t>
            </w:r>
          </w:p>
        </w:tc>
        <w:tc>
          <w:tcPr>
            <w:tcW w:w="624" w:type="dxa"/>
            <w:tcBorders>
              <w:top w:val="single" w:sz="8" w:space="0" w:color="000000"/>
            </w:tcBorders>
            <w:shd w:fill="CCEEFF" w:val="clear"/>
            <w:tcMar>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800,349</w:t>
            </w:r>
          </w:p>
        </w:tc>
      </w:tr>
      <w:tr>
        <w:trPr/>
        <w:tc>
          <w:tcPr>
            <w:tcW w:w="1037" w:type="dxa"/>
            <w:tcBorders/>
            <w:shd w:fill="FFFFFF" w:val="clear"/>
            <w:tcMar>
              <w:top w:w="0" w:type="dxa"/>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Stock options, amortization and issuances</w:t>
            </w:r>
          </w:p>
        </w:tc>
        <w:tc>
          <w:tcPr>
            <w:tcW w:w="960" w:type="dxa"/>
            <w:tcBorders/>
            <w:shd w:fill="FFFF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476</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96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96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116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86"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93"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24" w:type="dxa"/>
            <w:tcBorders/>
            <w:shd w:fill="FFFF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w:t>
            </w:r>
          </w:p>
        </w:tc>
      </w:tr>
      <w:tr>
        <w:trPr/>
        <w:tc>
          <w:tcPr>
            <w:tcW w:w="1037" w:type="dxa"/>
            <w:tcBorders/>
            <w:shd w:fill="CCEEFF" w:val="clear"/>
            <w:tcMar>
              <w:top w:w="0" w:type="dxa"/>
              <w:bottom w:w="0" w:type="dxa"/>
            </w:tcMar>
            <w:vAlign w:val="center"/>
          </w:tcPr>
          <w:p>
            <w:pPr>
              <w:pStyle w:val="TableContents"/>
              <w:bidi w:val="0"/>
              <w:spacing w:before="0" w:after="0"/>
              <w:jc w:val="left"/>
              <w:rPr>
                <w:sz w:val="16"/>
              </w:rPr>
            </w:pPr>
            <w:r>
              <w:rPr>
                <w:rFonts w:ascii="Times New Roman" w:hAnsi="Times New Roman"/>
                <w:sz w:val="16"/>
              </w:rPr>
              <w:t>Preferred dividend declared ($476.56</w:t>
            </w:r>
            <w:r>
              <w:rPr>
                <w:sz w:val="16"/>
              </w:rPr>
              <w:t> </w:t>
            </w:r>
            <w:r>
              <w:rPr>
                <w:rFonts w:ascii="Times New Roman" w:hAnsi="Times New Roman"/>
                <w:sz w:val="16"/>
              </w:rPr>
              <w:t>per share)</w:t>
            </w:r>
          </w:p>
        </w:tc>
        <w:tc>
          <w:tcPr>
            <w:tcW w:w="960"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05"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960"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05"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960"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05"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1160"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86" w:type="dxa"/>
            <w:tcBorders/>
            <w:shd w:fill="CCEE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(2,669)</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93"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24" w:type="dxa"/>
            <w:tcBorders/>
            <w:shd w:fill="CCEE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(2,669)</w:t>
            </w:r>
          </w:p>
        </w:tc>
      </w:tr>
      <w:tr>
        <w:trPr/>
        <w:tc>
          <w:tcPr>
            <w:tcW w:w="1037" w:type="dxa"/>
            <w:tcBorders/>
            <w:shd w:fill="FFFFFF" w:val="clear"/>
            <w:tcMar>
              <w:top w:w="0" w:type="dxa"/>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Restricted stock amortization, issuances and forfeitures</w:t>
            </w:r>
          </w:p>
        </w:tc>
        <w:tc>
          <w:tcPr>
            <w:tcW w:w="960" w:type="dxa"/>
            <w:tcBorders/>
            <w:shd w:fill="FFFF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666</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96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96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1160" w:type="dxa"/>
            <w:tcBorders/>
            <w:shd w:fill="FFFF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3,605</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86"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93"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24" w:type="dxa"/>
            <w:tcBorders/>
            <w:shd w:fill="FFFF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3,605</w:t>
            </w:r>
          </w:p>
        </w:tc>
      </w:tr>
      <w:tr>
        <w:trPr/>
        <w:tc>
          <w:tcPr>
            <w:tcW w:w="1037" w:type="dxa"/>
            <w:tcBorders/>
            <w:shd w:fill="CCEEFF" w:val="clear"/>
            <w:tcMar>
              <w:top w:w="0" w:type="dxa"/>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Conversion of Class B to Class A common stock</w:t>
            </w:r>
          </w:p>
        </w:tc>
        <w:tc>
          <w:tcPr>
            <w:tcW w:w="960" w:type="dxa"/>
            <w:tcBorders/>
            <w:shd w:fill="CCEE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5</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05"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960" w:type="dxa"/>
            <w:tcBorders/>
            <w:shd w:fill="CCEE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(5)</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05"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960"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05"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1160"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86"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93"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24" w:type="dxa"/>
            <w:tcBorders/>
            <w:shd w:fill="CCEE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w:t>
            </w:r>
          </w:p>
        </w:tc>
      </w:tr>
      <w:tr>
        <w:trPr/>
        <w:tc>
          <w:tcPr>
            <w:tcW w:w="1037" w:type="dxa"/>
            <w:tcBorders/>
            <w:shd w:fill="FFFFFF" w:val="clear"/>
            <w:tcMar>
              <w:top w:w="0" w:type="dxa"/>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Share repurchases, including excise taxes</w:t>
            </w:r>
          </w:p>
        </w:tc>
        <w:tc>
          <w:tcPr>
            <w:tcW w:w="960" w:type="dxa"/>
            <w:tcBorders/>
            <w:shd w:fill="FFFF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(131,460)</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96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96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116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86"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93" w:type="dxa"/>
            <w:tcBorders/>
            <w:shd w:fill="FFFF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(18,050)</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24" w:type="dxa"/>
            <w:tcBorders/>
            <w:shd w:fill="FFFF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(18,050)</w:t>
            </w:r>
          </w:p>
        </w:tc>
      </w:tr>
      <w:tr>
        <w:trPr/>
        <w:tc>
          <w:tcPr>
            <w:tcW w:w="1037" w:type="dxa"/>
            <w:tcBorders>
              <w:bottom w:val="single" w:sz="8" w:space="0" w:color="000000"/>
            </w:tcBorders>
            <w:shd w:fill="CCEEFF" w:val="clear"/>
            <w:tcMar>
              <w:top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Net income</w:t>
            </w:r>
          </w:p>
        </w:tc>
        <w:tc>
          <w:tcPr>
            <w:tcW w:w="960" w:type="dxa"/>
            <w:tcBorders>
              <w:bottom w:val="single" w:sz="8" w:space="0" w:color="000000"/>
            </w:tcBorders>
            <w:shd w:fill="CCEEFF" w:val="clear"/>
            <w:tcMar>
              <w:top w:w="0" w:type="dxa"/>
            </w:tcMar>
            <w:vAlign w:val="center"/>
          </w:tcPr>
          <w:p>
            <w:pPr>
              <w:pStyle w:val="TableContents"/>
              <w:bidi w:val="0"/>
              <w:spacing w:before="0" w:after="0"/>
              <w:jc w:val="righ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0"/>
              <w:jc w:val="left"/>
              <w:rPr/>
            </w:pPr>
            <w:r>
              <w:rPr/>
              <w:t> </w:t>
            </w:r>
          </w:p>
        </w:tc>
        <w:tc>
          <w:tcPr>
            <w:tcW w:w="110" w:type="dxa"/>
            <w:tcBorders>
              <w:bottom w:val="single" w:sz="8" w:space="0" w:color="000000"/>
            </w:tcBorders>
            <w:shd w:fill="CCEEFF" w:val="clear"/>
            <w:tcMar>
              <w:top w:w="0" w:type="dxa"/>
            </w:tcMar>
            <w:vAlign w:val="center"/>
          </w:tcPr>
          <w:p>
            <w:pPr>
              <w:pStyle w:val="TableContents"/>
              <w:bidi w:val="0"/>
              <w:spacing w:before="0" w:after="0"/>
              <w:jc w:val="left"/>
              <w:rPr/>
            </w:pPr>
            <w:r>
              <w:rPr/>
              <w:t> </w:t>
            </w:r>
          </w:p>
        </w:tc>
        <w:tc>
          <w:tcPr>
            <w:tcW w:w="605" w:type="dxa"/>
            <w:tcBorders>
              <w:bottom w:val="single" w:sz="8" w:space="0" w:color="000000"/>
            </w:tcBorders>
            <w:shd w:fill="CCEEFF" w:val="clear"/>
            <w:tcMar>
              <w:top w:w="0" w:type="dxa"/>
            </w:tcMar>
            <w:vAlign w:val="center"/>
          </w:tcPr>
          <w:p>
            <w:pPr>
              <w:pStyle w:val="TableContents"/>
              <w:bidi w:val="0"/>
              <w:spacing w:before="0" w:after="0"/>
              <w:jc w:val="righ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0"/>
              <w:jc w:val="left"/>
              <w:rPr/>
            </w:pPr>
            <w:r>
              <w:rPr/>
              <w:t> </w:t>
            </w:r>
          </w:p>
        </w:tc>
        <w:tc>
          <w:tcPr>
            <w:tcW w:w="960" w:type="dxa"/>
            <w:tcBorders>
              <w:bottom w:val="single" w:sz="8" w:space="0" w:color="000000"/>
            </w:tcBorders>
            <w:shd w:fill="CCEEFF" w:val="clear"/>
            <w:tcMar>
              <w:top w:w="0" w:type="dxa"/>
            </w:tcMar>
            <w:vAlign w:val="center"/>
          </w:tcPr>
          <w:p>
            <w:pPr>
              <w:pStyle w:val="TableContents"/>
              <w:bidi w:val="0"/>
              <w:spacing w:before="0" w:after="0"/>
              <w:jc w:val="righ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0"/>
              <w:jc w:val="left"/>
              <w:rPr/>
            </w:pPr>
            <w:r>
              <w:rPr/>
              <w:t> </w:t>
            </w:r>
          </w:p>
        </w:tc>
        <w:tc>
          <w:tcPr>
            <w:tcW w:w="110" w:type="dxa"/>
            <w:tcBorders>
              <w:bottom w:val="single" w:sz="8" w:space="0" w:color="000000"/>
            </w:tcBorders>
            <w:shd w:fill="CCEEFF" w:val="clear"/>
            <w:tcMar>
              <w:top w:w="0" w:type="dxa"/>
            </w:tcMar>
            <w:vAlign w:val="center"/>
          </w:tcPr>
          <w:p>
            <w:pPr>
              <w:pStyle w:val="TableContents"/>
              <w:bidi w:val="0"/>
              <w:spacing w:before="0" w:after="0"/>
              <w:jc w:val="left"/>
              <w:rPr/>
            </w:pPr>
            <w:r>
              <w:rPr/>
              <w:t> </w:t>
            </w:r>
          </w:p>
        </w:tc>
        <w:tc>
          <w:tcPr>
            <w:tcW w:w="605" w:type="dxa"/>
            <w:tcBorders>
              <w:bottom w:val="single" w:sz="8" w:space="0" w:color="000000"/>
            </w:tcBorders>
            <w:shd w:fill="CCEEFF" w:val="clear"/>
            <w:tcMar>
              <w:top w:w="0" w:type="dxa"/>
            </w:tcMar>
            <w:vAlign w:val="center"/>
          </w:tcPr>
          <w:p>
            <w:pPr>
              <w:pStyle w:val="TableContents"/>
              <w:bidi w:val="0"/>
              <w:spacing w:before="0" w:after="0"/>
              <w:jc w:val="righ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0"/>
              <w:jc w:val="left"/>
              <w:rPr/>
            </w:pPr>
            <w:r>
              <w:rPr/>
              <w:t> </w:t>
            </w:r>
          </w:p>
        </w:tc>
        <w:tc>
          <w:tcPr>
            <w:tcW w:w="960" w:type="dxa"/>
            <w:tcBorders>
              <w:bottom w:val="single" w:sz="8" w:space="0" w:color="000000"/>
            </w:tcBorders>
            <w:shd w:fill="CCEEFF" w:val="clear"/>
            <w:tcMar>
              <w:top w:w="0" w:type="dxa"/>
            </w:tcMar>
            <w:vAlign w:val="center"/>
          </w:tcPr>
          <w:p>
            <w:pPr>
              <w:pStyle w:val="TableContents"/>
              <w:bidi w:val="0"/>
              <w:spacing w:before="0" w:after="0"/>
              <w:jc w:val="righ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0"/>
              <w:jc w:val="left"/>
              <w:rPr/>
            </w:pPr>
            <w:r>
              <w:rPr/>
              <w:t> </w:t>
            </w:r>
          </w:p>
        </w:tc>
        <w:tc>
          <w:tcPr>
            <w:tcW w:w="110" w:type="dxa"/>
            <w:tcBorders>
              <w:bottom w:val="single" w:sz="8" w:space="0" w:color="000000"/>
            </w:tcBorders>
            <w:shd w:fill="CCEEFF" w:val="clear"/>
            <w:tcMar>
              <w:top w:w="0" w:type="dxa"/>
            </w:tcMar>
            <w:vAlign w:val="center"/>
          </w:tcPr>
          <w:p>
            <w:pPr>
              <w:pStyle w:val="TableContents"/>
              <w:bidi w:val="0"/>
              <w:spacing w:before="0" w:after="0"/>
              <w:jc w:val="left"/>
              <w:rPr/>
            </w:pPr>
            <w:r>
              <w:rPr/>
              <w:t> </w:t>
            </w:r>
          </w:p>
        </w:tc>
        <w:tc>
          <w:tcPr>
            <w:tcW w:w="605" w:type="dxa"/>
            <w:tcBorders>
              <w:bottom w:val="single" w:sz="8" w:space="0" w:color="000000"/>
            </w:tcBorders>
            <w:shd w:fill="CCEEFF" w:val="clear"/>
            <w:tcMar>
              <w:top w:w="0" w:type="dxa"/>
            </w:tcMar>
            <w:vAlign w:val="center"/>
          </w:tcPr>
          <w:p>
            <w:pPr>
              <w:pStyle w:val="TableContents"/>
              <w:bidi w:val="0"/>
              <w:spacing w:before="0" w:after="0"/>
              <w:jc w:val="righ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0"/>
              <w:jc w:val="left"/>
              <w:rPr/>
            </w:pPr>
            <w:r>
              <w:rPr/>
              <w:t> </w:t>
            </w:r>
          </w:p>
        </w:tc>
        <w:tc>
          <w:tcPr>
            <w:tcW w:w="110" w:type="dxa"/>
            <w:tcBorders>
              <w:bottom w:val="single" w:sz="8" w:space="0" w:color="000000"/>
            </w:tcBorders>
            <w:shd w:fill="CCEEFF" w:val="clear"/>
            <w:tcMar>
              <w:top w:w="0" w:type="dxa"/>
            </w:tcMar>
            <w:vAlign w:val="center"/>
          </w:tcPr>
          <w:p>
            <w:pPr>
              <w:pStyle w:val="TableContents"/>
              <w:bidi w:val="0"/>
              <w:spacing w:before="0" w:after="0"/>
              <w:jc w:val="left"/>
              <w:rPr/>
            </w:pPr>
            <w:r>
              <w:rPr/>
              <w:t> </w:t>
            </w:r>
          </w:p>
        </w:tc>
        <w:tc>
          <w:tcPr>
            <w:tcW w:w="1160" w:type="dxa"/>
            <w:tcBorders>
              <w:bottom w:val="single" w:sz="8" w:space="0" w:color="000000"/>
            </w:tcBorders>
            <w:shd w:fill="CCEEFF" w:val="clear"/>
            <w:tcMar>
              <w:top w:w="0" w:type="dxa"/>
            </w:tcMar>
            <w:vAlign w:val="center"/>
          </w:tcPr>
          <w:p>
            <w:pPr>
              <w:pStyle w:val="TableContents"/>
              <w:bidi w:val="0"/>
              <w:spacing w:before="0" w:after="0"/>
              <w:jc w:val="righ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0"/>
              <w:jc w:val="left"/>
              <w:rPr/>
            </w:pPr>
            <w:r>
              <w:rPr/>
              <w:t> </w:t>
            </w:r>
          </w:p>
        </w:tc>
        <w:tc>
          <w:tcPr>
            <w:tcW w:w="110" w:type="dxa"/>
            <w:tcBorders>
              <w:bottom w:val="single" w:sz="8" w:space="0" w:color="000000"/>
            </w:tcBorders>
            <w:shd w:fill="CCEEFF" w:val="clear"/>
            <w:tcMar>
              <w:top w:w="0" w:type="dxa"/>
            </w:tcMar>
            <w:vAlign w:val="center"/>
          </w:tcPr>
          <w:p>
            <w:pPr>
              <w:pStyle w:val="TableContents"/>
              <w:bidi w:val="0"/>
              <w:spacing w:before="0" w:after="0"/>
              <w:jc w:val="left"/>
              <w:rPr/>
            </w:pPr>
            <w:r>
              <w:rPr/>
              <w:t> </w:t>
            </w:r>
          </w:p>
        </w:tc>
        <w:tc>
          <w:tcPr>
            <w:tcW w:w="686" w:type="dxa"/>
            <w:tcBorders>
              <w:bottom w:val="single" w:sz="8" w:space="0" w:color="000000"/>
            </w:tcBorders>
            <w:shd w:fill="CCEEFF" w:val="clear"/>
            <w:tcMar>
              <w:top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28,191</w:t>
            </w:r>
          </w:p>
        </w:tc>
        <w:tc>
          <w:tcPr>
            <w:tcW w:w="60" w:type="dxa"/>
            <w:tcBorders>
              <w:bottom w:val="single" w:sz="8" w:space="0" w:color="000000"/>
            </w:tcBorders>
            <w:shd w:fill="CCEEFF" w:val="clear"/>
            <w:tcMar>
              <w:top w:w="0" w:type="dxa"/>
            </w:tcMar>
            <w:vAlign w:val="center"/>
          </w:tcPr>
          <w:p>
            <w:pPr>
              <w:pStyle w:val="TableContents"/>
              <w:bidi w:val="0"/>
              <w:spacing w:before="0" w:after="0"/>
              <w:jc w:val="left"/>
              <w:rPr/>
            </w:pPr>
            <w:r>
              <w:rPr/>
              <w:t> </w:t>
            </w:r>
          </w:p>
        </w:tc>
        <w:tc>
          <w:tcPr>
            <w:tcW w:w="110" w:type="dxa"/>
            <w:tcBorders>
              <w:bottom w:val="single" w:sz="8" w:space="0" w:color="000000"/>
            </w:tcBorders>
            <w:shd w:fill="CCEEFF" w:val="clear"/>
            <w:tcMar>
              <w:top w:w="0" w:type="dxa"/>
            </w:tcMar>
            <w:vAlign w:val="center"/>
          </w:tcPr>
          <w:p>
            <w:pPr>
              <w:pStyle w:val="TableContents"/>
              <w:bidi w:val="0"/>
              <w:spacing w:before="0" w:after="0"/>
              <w:jc w:val="left"/>
              <w:rPr/>
            </w:pPr>
            <w:r>
              <w:rPr/>
              <w:t> </w:t>
            </w:r>
          </w:p>
        </w:tc>
        <w:tc>
          <w:tcPr>
            <w:tcW w:w="693" w:type="dxa"/>
            <w:tcBorders>
              <w:bottom w:val="single" w:sz="8" w:space="0" w:color="000000"/>
            </w:tcBorders>
            <w:shd w:fill="CCEEFF" w:val="clear"/>
            <w:tcMar>
              <w:top w:w="0" w:type="dxa"/>
            </w:tcMar>
            <w:vAlign w:val="center"/>
          </w:tcPr>
          <w:p>
            <w:pPr>
              <w:pStyle w:val="TableContents"/>
              <w:bidi w:val="0"/>
              <w:spacing w:before="0" w:after="0"/>
              <w:jc w:val="righ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0"/>
              <w:jc w:val="left"/>
              <w:rPr/>
            </w:pPr>
            <w:r>
              <w:rPr/>
              <w:t> </w:t>
            </w:r>
          </w:p>
        </w:tc>
        <w:tc>
          <w:tcPr>
            <w:tcW w:w="110" w:type="dxa"/>
            <w:tcBorders>
              <w:bottom w:val="single" w:sz="8" w:space="0" w:color="000000"/>
            </w:tcBorders>
            <w:shd w:fill="CCEEFF" w:val="clear"/>
            <w:tcMar>
              <w:top w:w="0" w:type="dxa"/>
            </w:tcMar>
            <w:vAlign w:val="center"/>
          </w:tcPr>
          <w:p>
            <w:pPr>
              <w:pStyle w:val="TableContents"/>
              <w:bidi w:val="0"/>
              <w:spacing w:before="0" w:after="0"/>
              <w:jc w:val="left"/>
              <w:rPr/>
            </w:pPr>
            <w:r>
              <w:rPr/>
              <w:t> </w:t>
            </w:r>
          </w:p>
        </w:tc>
        <w:tc>
          <w:tcPr>
            <w:tcW w:w="624" w:type="dxa"/>
            <w:tcBorders>
              <w:bottom w:val="single" w:sz="8" w:space="0" w:color="000000"/>
            </w:tcBorders>
            <w:shd w:fill="CCEEFF" w:val="clear"/>
            <w:tcMar>
              <w:top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28,191</w:t>
            </w:r>
          </w:p>
        </w:tc>
      </w:tr>
      <w:tr>
        <w:trPr/>
        <w:tc>
          <w:tcPr>
            <w:tcW w:w="1037" w:type="dxa"/>
            <w:tcBorders>
              <w:top w:val="single" w:sz="8" w:space="0" w:color="000000"/>
              <w:bottom w:val="double" w:sz="6" w:space="0" w:color="000000"/>
            </w:tcBorders>
            <w:shd w:fill="FFFF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Balance, January 31, 2025</w:t>
            </w:r>
          </w:p>
        </w:tc>
        <w:tc>
          <w:tcPr>
            <w:tcW w:w="960" w:type="dxa"/>
            <w:tcBorders>
              <w:top w:val="single" w:sz="8"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5,195,302</w:t>
            </w:r>
          </w:p>
        </w:tc>
        <w:tc>
          <w:tcPr>
            <w:tcW w:w="60" w:type="dxa"/>
            <w:tcBorders>
              <w:top w:val="single" w:sz="8" w:space="0" w:color="000000"/>
              <w:bottom w:val="double" w:sz="6" w:space="0" w:color="000000"/>
            </w:tcBorders>
            <w:shd w:fill="FFFFFF" w:val="clear"/>
            <w:vAlign w:val="center"/>
          </w:tcPr>
          <w:p>
            <w:pPr>
              <w:pStyle w:val="TableContents"/>
              <w:bidi w:val="0"/>
              <w:spacing w:before="0" w:after="0"/>
              <w:jc w:val="left"/>
              <w:rPr>
                <w:color w:val="333333"/>
              </w:rPr>
            </w:pPr>
            <w:r>
              <w:rPr>
                <w:color w:val="333333"/>
              </w:rPr>
              <w:t> </w:t>
            </w:r>
          </w:p>
        </w:tc>
        <w:tc>
          <w:tcPr>
            <w:tcW w:w="110" w:type="dxa"/>
            <w:tcBorders>
              <w:top w:val="single" w:sz="8" w:space="0" w:color="000000"/>
              <w:bottom w:val="double" w:sz="6" w:space="0" w:color="000000"/>
            </w:tcBorders>
            <w:shd w:fill="FFFF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05" w:type="dxa"/>
            <w:tcBorders>
              <w:top w:val="single" w:sz="8"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64</w:t>
            </w:r>
          </w:p>
        </w:tc>
        <w:tc>
          <w:tcPr>
            <w:tcW w:w="60" w:type="dxa"/>
            <w:tcBorders>
              <w:top w:val="single" w:sz="8" w:space="0" w:color="000000"/>
              <w:bottom w:val="double" w:sz="6" w:space="0" w:color="000000"/>
            </w:tcBorders>
            <w:shd w:fill="FFFFFF" w:val="clear"/>
            <w:vAlign w:val="center"/>
          </w:tcPr>
          <w:p>
            <w:pPr>
              <w:pStyle w:val="TableContents"/>
              <w:bidi w:val="0"/>
              <w:spacing w:before="0" w:after="0"/>
              <w:jc w:val="left"/>
              <w:rPr>
                <w:color w:val="333333"/>
              </w:rPr>
            </w:pPr>
            <w:r>
              <w:rPr>
                <w:color w:val="333333"/>
              </w:rPr>
              <w:t> </w:t>
            </w:r>
          </w:p>
        </w:tc>
        <w:tc>
          <w:tcPr>
            <w:tcW w:w="960" w:type="dxa"/>
            <w:tcBorders>
              <w:top w:val="single" w:sz="8"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729,349</w:t>
            </w:r>
          </w:p>
        </w:tc>
        <w:tc>
          <w:tcPr>
            <w:tcW w:w="60" w:type="dxa"/>
            <w:tcBorders>
              <w:top w:val="single" w:sz="8" w:space="0" w:color="000000"/>
              <w:bottom w:val="double" w:sz="6" w:space="0" w:color="000000"/>
            </w:tcBorders>
            <w:shd w:fill="FFFFFF" w:val="clear"/>
            <w:vAlign w:val="center"/>
          </w:tcPr>
          <w:p>
            <w:pPr>
              <w:pStyle w:val="TableContents"/>
              <w:bidi w:val="0"/>
              <w:spacing w:before="0" w:after="0"/>
              <w:jc w:val="left"/>
              <w:rPr>
                <w:color w:val="333333"/>
              </w:rPr>
            </w:pPr>
            <w:r>
              <w:rPr>
                <w:color w:val="333333"/>
              </w:rPr>
              <w:t> </w:t>
            </w:r>
          </w:p>
        </w:tc>
        <w:tc>
          <w:tcPr>
            <w:tcW w:w="110" w:type="dxa"/>
            <w:tcBorders>
              <w:top w:val="single" w:sz="8" w:space="0" w:color="000000"/>
              <w:bottom w:val="double" w:sz="6" w:space="0" w:color="000000"/>
            </w:tcBorders>
            <w:shd w:fill="FFFF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05" w:type="dxa"/>
            <w:tcBorders>
              <w:top w:val="single" w:sz="8"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8</w:t>
            </w:r>
          </w:p>
        </w:tc>
        <w:tc>
          <w:tcPr>
            <w:tcW w:w="60" w:type="dxa"/>
            <w:tcBorders>
              <w:top w:val="single" w:sz="8" w:space="0" w:color="000000"/>
              <w:bottom w:val="double" w:sz="6" w:space="0" w:color="000000"/>
            </w:tcBorders>
            <w:shd w:fill="FFFFFF" w:val="clear"/>
            <w:vAlign w:val="center"/>
          </w:tcPr>
          <w:p>
            <w:pPr>
              <w:pStyle w:val="TableContents"/>
              <w:bidi w:val="0"/>
              <w:spacing w:before="0" w:after="0"/>
              <w:jc w:val="left"/>
              <w:rPr>
                <w:color w:val="333333"/>
              </w:rPr>
            </w:pPr>
            <w:r>
              <w:rPr>
                <w:color w:val="333333"/>
              </w:rPr>
              <w:t> </w:t>
            </w:r>
          </w:p>
        </w:tc>
        <w:tc>
          <w:tcPr>
            <w:tcW w:w="960" w:type="dxa"/>
            <w:tcBorders>
              <w:top w:val="single" w:sz="8"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5,600</w:t>
            </w:r>
          </w:p>
        </w:tc>
        <w:tc>
          <w:tcPr>
            <w:tcW w:w="60" w:type="dxa"/>
            <w:tcBorders>
              <w:top w:val="single" w:sz="8" w:space="0" w:color="000000"/>
              <w:bottom w:val="double" w:sz="6" w:space="0" w:color="000000"/>
            </w:tcBorders>
            <w:shd w:fill="FFFFFF" w:val="clear"/>
            <w:vAlign w:val="center"/>
          </w:tcPr>
          <w:p>
            <w:pPr>
              <w:pStyle w:val="TableContents"/>
              <w:bidi w:val="0"/>
              <w:spacing w:before="0" w:after="0"/>
              <w:jc w:val="left"/>
              <w:rPr>
                <w:color w:val="333333"/>
              </w:rPr>
            </w:pPr>
            <w:r>
              <w:rPr>
                <w:color w:val="333333"/>
              </w:rPr>
              <w:t> </w:t>
            </w:r>
          </w:p>
        </w:tc>
        <w:tc>
          <w:tcPr>
            <w:tcW w:w="110" w:type="dxa"/>
            <w:tcBorders>
              <w:top w:val="single" w:sz="8" w:space="0" w:color="000000"/>
              <w:bottom w:val="double" w:sz="6" w:space="0" w:color="000000"/>
            </w:tcBorders>
            <w:shd w:fill="FFFF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05" w:type="dxa"/>
            <w:tcBorders>
              <w:top w:val="single" w:sz="8"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135,299</w:t>
            </w:r>
          </w:p>
        </w:tc>
        <w:tc>
          <w:tcPr>
            <w:tcW w:w="60" w:type="dxa"/>
            <w:tcBorders>
              <w:top w:val="single" w:sz="8" w:space="0" w:color="000000"/>
              <w:bottom w:val="double" w:sz="6" w:space="0" w:color="000000"/>
            </w:tcBorders>
            <w:shd w:fill="FFFFFF" w:val="clear"/>
            <w:vAlign w:val="center"/>
          </w:tcPr>
          <w:p>
            <w:pPr>
              <w:pStyle w:val="TableContents"/>
              <w:bidi w:val="0"/>
              <w:spacing w:before="0" w:after="0"/>
              <w:jc w:val="left"/>
              <w:rPr>
                <w:color w:val="333333"/>
              </w:rPr>
            </w:pPr>
            <w:r>
              <w:rPr>
                <w:color w:val="333333"/>
              </w:rPr>
              <w:t> </w:t>
            </w:r>
          </w:p>
        </w:tc>
        <w:tc>
          <w:tcPr>
            <w:tcW w:w="110" w:type="dxa"/>
            <w:tcBorders>
              <w:top w:val="single" w:sz="8" w:space="0" w:color="000000"/>
              <w:bottom w:val="double" w:sz="6" w:space="0" w:color="000000"/>
            </w:tcBorders>
            <w:shd w:fill="FFFF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1160" w:type="dxa"/>
            <w:tcBorders>
              <w:top w:val="single" w:sz="8"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753,357</w:t>
            </w:r>
          </w:p>
        </w:tc>
        <w:tc>
          <w:tcPr>
            <w:tcW w:w="60" w:type="dxa"/>
            <w:tcBorders>
              <w:top w:val="single" w:sz="8" w:space="0" w:color="000000"/>
              <w:bottom w:val="double" w:sz="6" w:space="0" w:color="000000"/>
            </w:tcBorders>
            <w:shd w:fill="FFFFFF" w:val="clear"/>
            <w:vAlign w:val="center"/>
          </w:tcPr>
          <w:p>
            <w:pPr>
              <w:pStyle w:val="TableContents"/>
              <w:bidi w:val="0"/>
              <w:spacing w:before="0" w:after="0"/>
              <w:jc w:val="left"/>
              <w:rPr>
                <w:color w:val="333333"/>
              </w:rPr>
            </w:pPr>
            <w:r>
              <w:rPr>
                <w:color w:val="333333"/>
              </w:rPr>
              <w:t> </w:t>
            </w:r>
          </w:p>
        </w:tc>
        <w:tc>
          <w:tcPr>
            <w:tcW w:w="110" w:type="dxa"/>
            <w:tcBorders>
              <w:top w:val="single" w:sz="8" w:space="0" w:color="000000"/>
              <w:bottom w:val="double" w:sz="6" w:space="0" w:color="000000"/>
            </w:tcBorders>
            <w:shd w:fill="FFFF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86" w:type="dxa"/>
            <w:tcBorders>
              <w:top w:val="single" w:sz="8"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99,658</w:t>
            </w:r>
          </w:p>
        </w:tc>
        <w:tc>
          <w:tcPr>
            <w:tcW w:w="60" w:type="dxa"/>
            <w:tcBorders>
              <w:top w:val="single" w:sz="8" w:space="0" w:color="000000"/>
              <w:bottom w:val="double" w:sz="6" w:space="0" w:color="000000"/>
            </w:tcBorders>
            <w:shd w:fill="FFFFFF" w:val="clear"/>
            <w:vAlign w:val="center"/>
          </w:tcPr>
          <w:p>
            <w:pPr>
              <w:pStyle w:val="TableContents"/>
              <w:bidi w:val="0"/>
              <w:spacing w:before="0" w:after="0"/>
              <w:jc w:val="left"/>
              <w:rPr>
                <w:color w:val="333333"/>
              </w:rPr>
            </w:pPr>
            <w:r>
              <w:rPr>
                <w:color w:val="333333"/>
              </w:rPr>
              <w:t> </w:t>
            </w:r>
          </w:p>
        </w:tc>
        <w:tc>
          <w:tcPr>
            <w:tcW w:w="110" w:type="dxa"/>
            <w:tcBorders>
              <w:top w:val="single" w:sz="8" w:space="0" w:color="000000"/>
              <w:bottom w:val="double" w:sz="6" w:space="0" w:color="000000"/>
            </w:tcBorders>
            <w:shd w:fill="FFFF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93" w:type="dxa"/>
            <w:tcBorders>
              <w:top w:val="single" w:sz="8"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(176,960)</w:t>
            </w:r>
          </w:p>
        </w:tc>
        <w:tc>
          <w:tcPr>
            <w:tcW w:w="60" w:type="dxa"/>
            <w:tcBorders>
              <w:top w:val="single" w:sz="8" w:space="0" w:color="000000"/>
              <w:bottom w:val="double" w:sz="6" w:space="0" w:color="000000"/>
            </w:tcBorders>
            <w:shd w:fill="FFFFFF" w:val="clear"/>
            <w:vAlign w:val="center"/>
          </w:tcPr>
          <w:p>
            <w:pPr>
              <w:pStyle w:val="TableContents"/>
              <w:bidi w:val="0"/>
              <w:spacing w:before="0" w:after="0"/>
              <w:jc w:val="left"/>
              <w:rPr>
                <w:color w:val="333333"/>
              </w:rPr>
            </w:pPr>
            <w:r>
              <w:rPr>
                <w:color w:val="333333"/>
              </w:rPr>
              <w:t> </w:t>
            </w:r>
          </w:p>
        </w:tc>
        <w:tc>
          <w:tcPr>
            <w:tcW w:w="110" w:type="dxa"/>
            <w:tcBorders>
              <w:top w:val="single" w:sz="8" w:space="0" w:color="000000"/>
              <w:bottom w:val="double" w:sz="6" w:space="0" w:color="000000"/>
            </w:tcBorders>
            <w:shd w:fill="FFFF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24" w:type="dxa"/>
            <w:tcBorders>
              <w:top w:val="single" w:sz="8" w:space="0" w:color="000000"/>
              <w:bottom w:val="double" w:sz="6" w:space="0" w:color="000000"/>
            </w:tcBorders>
            <w:shd w:fill="FFFF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811,426</w:t>
            </w:r>
          </w:p>
        </w:tc>
      </w:tr>
      <w:tr>
        <w:trPr/>
        <w:tc>
          <w:tcPr>
            <w:tcW w:w="1037" w:type="dxa"/>
            <w:tcBorders>
              <w:top w:val="double" w:sz="6" w:space="0" w:color="000000"/>
            </w:tcBorders>
            <w:shd w:fill="CCEEFF" w:val="clear"/>
            <w:tcMar>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Stock options, amortization and issuances</w:t>
            </w:r>
          </w:p>
        </w:tc>
        <w:tc>
          <w:tcPr>
            <w:tcW w:w="960" w:type="dxa"/>
            <w:tcBorders>
              <w:top w:val="double" w:sz="6" w:space="0" w:color="000000"/>
            </w:tcBorders>
            <w:shd w:fill="CCEEFF" w:val="clear"/>
            <w:tcMar>
              <w:bottom w:w="0" w:type="dxa"/>
            </w:tcMar>
            <w:vAlign w:val="center"/>
          </w:tcPr>
          <w:p>
            <w:pPr>
              <w:pStyle w:val="TableContents"/>
              <w:bidi w:val="0"/>
              <w:spacing w:before="0" w:after="0"/>
              <w:jc w:val="right"/>
              <w:rPr/>
            </w:pPr>
            <w:r>
              <w:rPr/>
              <w:t> </w:t>
            </w:r>
          </w:p>
        </w:tc>
        <w:tc>
          <w:tcPr>
            <w:tcW w:w="60" w:type="dxa"/>
            <w:tcBorders>
              <w:top w:val="double" w:sz="6" w:space="0" w:color="000000"/>
            </w:tcBorders>
            <w:shd w:fill="CCEEFF" w:val="clear"/>
            <w:tcMar>
              <w:bottom w:w="0" w:type="dxa"/>
            </w:tcMar>
            <w:vAlign w:val="center"/>
          </w:tcPr>
          <w:p>
            <w:pPr>
              <w:pStyle w:val="TableContents"/>
              <w:bidi w:val="0"/>
              <w:spacing w:before="0" w:after="0"/>
              <w:jc w:val="left"/>
              <w:rPr/>
            </w:pPr>
            <w:r>
              <w:rPr/>
              <w:t> </w:t>
            </w:r>
          </w:p>
        </w:tc>
        <w:tc>
          <w:tcPr>
            <w:tcW w:w="110" w:type="dxa"/>
            <w:tcBorders>
              <w:top w:val="double" w:sz="6" w:space="0" w:color="000000"/>
            </w:tcBorders>
            <w:shd w:fill="CCEEFF" w:val="clear"/>
            <w:tcMar>
              <w:bottom w:w="0" w:type="dxa"/>
            </w:tcMar>
            <w:vAlign w:val="center"/>
          </w:tcPr>
          <w:p>
            <w:pPr>
              <w:pStyle w:val="TableContents"/>
              <w:bidi w:val="0"/>
              <w:spacing w:before="0" w:after="0"/>
              <w:jc w:val="left"/>
              <w:rPr/>
            </w:pPr>
            <w:r>
              <w:rPr/>
              <w:t> </w:t>
            </w:r>
          </w:p>
        </w:tc>
        <w:tc>
          <w:tcPr>
            <w:tcW w:w="605" w:type="dxa"/>
            <w:tcBorders>
              <w:top w:val="double" w:sz="6" w:space="0" w:color="000000"/>
            </w:tcBorders>
            <w:shd w:fill="CCEEFF" w:val="clear"/>
            <w:tcMar>
              <w:bottom w:w="0" w:type="dxa"/>
            </w:tcMar>
            <w:vAlign w:val="center"/>
          </w:tcPr>
          <w:p>
            <w:pPr>
              <w:pStyle w:val="TableContents"/>
              <w:bidi w:val="0"/>
              <w:spacing w:before="0" w:after="0"/>
              <w:jc w:val="right"/>
              <w:rPr/>
            </w:pPr>
            <w:r>
              <w:rPr/>
              <w:t> </w:t>
            </w:r>
          </w:p>
        </w:tc>
        <w:tc>
          <w:tcPr>
            <w:tcW w:w="60" w:type="dxa"/>
            <w:tcBorders>
              <w:top w:val="double" w:sz="6" w:space="0" w:color="000000"/>
            </w:tcBorders>
            <w:shd w:fill="CCEEFF" w:val="clear"/>
            <w:tcMar>
              <w:bottom w:w="0" w:type="dxa"/>
            </w:tcMar>
            <w:vAlign w:val="center"/>
          </w:tcPr>
          <w:p>
            <w:pPr>
              <w:pStyle w:val="TableContents"/>
              <w:bidi w:val="0"/>
              <w:spacing w:before="0" w:after="0"/>
              <w:jc w:val="left"/>
              <w:rPr/>
            </w:pPr>
            <w:r>
              <w:rPr/>
              <w:t> </w:t>
            </w:r>
          </w:p>
        </w:tc>
        <w:tc>
          <w:tcPr>
            <w:tcW w:w="960" w:type="dxa"/>
            <w:tcBorders>
              <w:top w:val="double" w:sz="6" w:space="0" w:color="000000"/>
            </w:tcBorders>
            <w:shd w:fill="CCEEFF" w:val="clear"/>
            <w:tcMar>
              <w:bottom w:w="0" w:type="dxa"/>
            </w:tcMar>
            <w:vAlign w:val="center"/>
          </w:tcPr>
          <w:p>
            <w:pPr>
              <w:pStyle w:val="TableContents"/>
              <w:bidi w:val="0"/>
              <w:spacing w:before="0" w:after="0"/>
              <w:jc w:val="right"/>
              <w:rPr/>
            </w:pPr>
            <w:r>
              <w:rPr/>
              <w:t> </w:t>
            </w:r>
          </w:p>
        </w:tc>
        <w:tc>
          <w:tcPr>
            <w:tcW w:w="60" w:type="dxa"/>
            <w:tcBorders>
              <w:top w:val="double" w:sz="6" w:space="0" w:color="000000"/>
            </w:tcBorders>
            <w:shd w:fill="CCEEFF" w:val="clear"/>
            <w:tcMar>
              <w:bottom w:w="0" w:type="dxa"/>
            </w:tcMar>
            <w:vAlign w:val="center"/>
          </w:tcPr>
          <w:p>
            <w:pPr>
              <w:pStyle w:val="TableContents"/>
              <w:bidi w:val="0"/>
              <w:spacing w:before="0" w:after="0"/>
              <w:jc w:val="left"/>
              <w:rPr/>
            </w:pPr>
            <w:r>
              <w:rPr/>
              <w:t> </w:t>
            </w:r>
          </w:p>
        </w:tc>
        <w:tc>
          <w:tcPr>
            <w:tcW w:w="110" w:type="dxa"/>
            <w:tcBorders>
              <w:top w:val="double" w:sz="6" w:space="0" w:color="000000"/>
            </w:tcBorders>
            <w:shd w:fill="CCEEFF" w:val="clear"/>
            <w:tcMar>
              <w:bottom w:w="0" w:type="dxa"/>
            </w:tcMar>
            <w:vAlign w:val="center"/>
          </w:tcPr>
          <w:p>
            <w:pPr>
              <w:pStyle w:val="TableContents"/>
              <w:bidi w:val="0"/>
              <w:spacing w:before="0" w:after="0"/>
              <w:jc w:val="left"/>
              <w:rPr/>
            </w:pPr>
            <w:r>
              <w:rPr/>
              <w:t> </w:t>
            </w:r>
          </w:p>
        </w:tc>
        <w:tc>
          <w:tcPr>
            <w:tcW w:w="605" w:type="dxa"/>
            <w:tcBorders>
              <w:top w:val="double" w:sz="6" w:space="0" w:color="000000"/>
            </w:tcBorders>
            <w:shd w:fill="CCEEFF" w:val="clear"/>
            <w:tcMar>
              <w:bottom w:w="0" w:type="dxa"/>
            </w:tcMar>
            <w:vAlign w:val="center"/>
          </w:tcPr>
          <w:p>
            <w:pPr>
              <w:pStyle w:val="TableContents"/>
              <w:bidi w:val="0"/>
              <w:spacing w:before="0" w:after="0"/>
              <w:jc w:val="right"/>
              <w:rPr/>
            </w:pPr>
            <w:r>
              <w:rPr/>
              <w:t> </w:t>
            </w:r>
          </w:p>
        </w:tc>
        <w:tc>
          <w:tcPr>
            <w:tcW w:w="60" w:type="dxa"/>
            <w:tcBorders>
              <w:top w:val="double" w:sz="6" w:space="0" w:color="000000"/>
            </w:tcBorders>
            <w:shd w:fill="CCEEFF" w:val="clear"/>
            <w:tcMar>
              <w:bottom w:w="0" w:type="dxa"/>
            </w:tcMar>
            <w:vAlign w:val="center"/>
          </w:tcPr>
          <w:p>
            <w:pPr>
              <w:pStyle w:val="TableContents"/>
              <w:bidi w:val="0"/>
              <w:spacing w:before="0" w:after="0"/>
              <w:jc w:val="left"/>
              <w:rPr/>
            </w:pPr>
            <w:r>
              <w:rPr/>
              <w:t> </w:t>
            </w:r>
          </w:p>
        </w:tc>
        <w:tc>
          <w:tcPr>
            <w:tcW w:w="960" w:type="dxa"/>
            <w:tcBorders>
              <w:top w:val="double" w:sz="6" w:space="0" w:color="000000"/>
            </w:tcBorders>
            <w:shd w:fill="CCEEFF" w:val="clear"/>
            <w:tcMar>
              <w:bottom w:w="0" w:type="dxa"/>
            </w:tcMar>
            <w:vAlign w:val="center"/>
          </w:tcPr>
          <w:p>
            <w:pPr>
              <w:pStyle w:val="TableContents"/>
              <w:bidi w:val="0"/>
              <w:spacing w:before="0" w:after="0"/>
              <w:jc w:val="right"/>
              <w:rPr/>
            </w:pPr>
            <w:r>
              <w:rPr/>
              <w:t> </w:t>
            </w:r>
          </w:p>
        </w:tc>
        <w:tc>
          <w:tcPr>
            <w:tcW w:w="60" w:type="dxa"/>
            <w:tcBorders>
              <w:top w:val="double" w:sz="6" w:space="0" w:color="000000"/>
            </w:tcBorders>
            <w:shd w:fill="CCEEFF" w:val="clear"/>
            <w:tcMar>
              <w:bottom w:w="0" w:type="dxa"/>
            </w:tcMar>
            <w:vAlign w:val="center"/>
          </w:tcPr>
          <w:p>
            <w:pPr>
              <w:pStyle w:val="TableContents"/>
              <w:bidi w:val="0"/>
              <w:spacing w:before="0" w:after="0"/>
              <w:jc w:val="left"/>
              <w:rPr/>
            </w:pPr>
            <w:r>
              <w:rPr/>
              <w:t> </w:t>
            </w:r>
          </w:p>
        </w:tc>
        <w:tc>
          <w:tcPr>
            <w:tcW w:w="110" w:type="dxa"/>
            <w:tcBorders>
              <w:top w:val="double" w:sz="6" w:space="0" w:color="000000"/>
            </w:tcBorders>
            <w:shd w:fill="CCEEFF" w:val="clear"/>
            <w:tcMar>
              <w:bottom w:w="0" w:type="dxa"/>
            </w:tcMar>
            <w:vAlign w:val="center"/>
          </w:tcPr>
          <w:p>
            <w:pPr>
              <w:pStyle w:val="TableContents"/>
              <w:bidi w:val="0"/>
              <w:spacing w:before="0" w:after="0"/>
              <w:jc w:val="left"/>
              <w:rPr/>
            </w:pPr>
            <w:r>
              <w:rPr/>
              <w:t> </w:t>
            </w:r>
          </w:p>
        </w:tc>
        <w:tc>
          <w:tcPr>
            <w:tcW w:w="605" w:type="dxa"/>
            <w:tcBorders>
              <w:top w:val="double" w:sz="6" w:space="0" w:color="000000"/>
            </w:tcBorders>
            <w:shd w:fill="CCEEFF" w:val="clear"/>
            <w:tcMar>
              <w:bottom w:w="0" w:type="dxa"/>
            </w:tcMar>
            <w:vAlign w:val="center"/>
          </w:tcPr>
          <w:p>
            <w:pPr>
              <w:pStyle w:val="TableContents"/>
              <w:bidi w:val="0"/>
              <w:spacing w:before="0" w:after="0"/>
              <w:jc w:val="right"/>
              <w:rPr/>
            </w:pPr>
            <w:r>
              <w:rPr/>
              <w:t> </w:t>
            </w:r>
          </w:p>
        </w:tc>
        <w:tc>
          <w:tcPr>
            <w:tcW w:w="60" w:type="dxa"/>
            <w:tcBorders>
              <w:top w:val="double" w:sz="6" w:space="0" w:color="000000"/>
            </w:tcBorders>
            <w:shd w:fill="CCEEFF" w:val="clear"/>
            <w:tcMar>
              <w:bottom w:w="0" w:type="dxa"/>
            </w:tcMar>
            <w:vAlign w:val="center"/>
          </w:tcPr>
          <w:p>
            <w:pPr>
              <w:pStyle w:val="TableContents"/>
              <w:bidi w:val="0"/>
              <w:spacing w:before="0" w:after="0"/>
              <w:jc w:val="left"/>
              <w:rPr/>
            </w:pPr>
            <w:r>
              <w:rPr/>
              <w:t> </w:t>
            </w:r>
          </w:p>
        </w:tc>
        <w:tc>
          <w:tcPr>
            <w:tcW w:w="110" w:type="dxa"/>
            <w:tcBorders>
              <w:top w:val="double" w:sz="6" w:space="0" w:color="000000"/>
            </w:tcBorders>
            <w:shd w:fill="CCEEFF" w:val="clear"/>
            <w:tcMar>
              <w:bottom w:w="0" w:type="dxa"/>
            </w:tcMar>
            <w:vAlign w:val="center"/>
          </w:tcPr>
          <w:p>
            <w:pPr>
              <w:pStyle w:val="TableContents"/>
              <w:bidi w:val="0"/>
              <w:spacing w:before="0" w:after="0"/>
              <w:jc w:val="left"/>
              <w:rPr/>
            </w:pPr>
            <w:r>
              <w:rPr/>
              <w:t> </w:t>
            </w:r>
          </w:p>
        </w:tc>
        <w:tc>
          <w:tcPr>
            <w:tcW w:w="1160" w:type="dxa"/>
            <w:tcBorders>
              <w:top w:val="double" w:sz="6" w:space="0" w:color="000000"/>
            </w:tcBorders>
            <w:shd w:fill="CCEEFF" w:val="clear"/>
            <w:tcMar>
              <w:bottom w:w="0" w:type="dxa"/>
            </w:tcMar>
            <w:vAlign w:val="center"/>
          </w:tcPr>
          <w:p>
            <w:pPr>
              <w:pStyle w:val="TableContents"/>
              <w:bidi w:val="0"/>
              <w:spacing w:before="0" w:after="0"/>
              <w:jc w:val="right"/>
              <w:rPr/>
            </w:pPr>
            <w:r>
              <w:rPr/>
              <w:t> </w:t>
            </w:r>
          </w:p>
        </w:tc>
        <w:tc>
          <w:tcPr>
            <w:tcW w:w="60" w:type="dxa"/>
            <w:tcBorders>
              <w:top w:val="double" w:sz="6" w:space="0" w:color="000000"/>
            </w:tcBorders>
            <w:shd w:fill="CCEEFF" w:val="clear"/>
            <w:tcMar>
              <w:bottom w:w="0" w:type="dxa"/>
            </w:tcMar>
            <w:vAlign w:val="center"/>
          </w:tcPr>
          <w:p>
            <w:pPr>
              <w:pStyle w:val="TableContents"/>
              <w:bidi w:val="0"/>
              <w:spacing w:before="0" w:after="0"/>
              <w:jc w:val="left"/>
              <w:rPr/>
            </w:pPr>
            <w:r>
              <w:rPr/>
              <w:t> </w:t>
            </w:r>
          </w:p>
        </w:tc>
        <w:tc>
          <w:tcPr>
            <w:tcW w:w="110" w:type="dxa"/>
            <w:tcBorders>
              <w:top w:val="double" w:sz="6" w:space="0" w:color="000000"/>
            </w:tcBorders>
            <w:shd w:fill="CCEEFF" w:val="clear"/>
            <w:tcMar>
              <w:bottom w:w="0" w:type="dxa"/>
            </w:tcMar>
            <w:vAlign w:val="center"/>
          </w:tcPr>
          <w:p>
            <w:pPr>
              <w:pStyle w:val="TableContents"/>
              <w:bidi w:val="0"/>
              <w:spacing w:before="0" w:after="0"/>
              <w:jc w:val="left"/>
              <w:rPr/>
            </w:pPr>
            <w:r>
              <w:rPr/>
              <w:t> </w:t>
            </w:r>
          </w:p>
        </w:tc>
        <w:tc>
          <w:tcPr>
            <w:tcW w:w="686" w:type="dxa"/>
            <w:tcBorders>
              <w:top w:val="double" w:sz="6" w:space="0" w:color="000000"/>
            </w:tcBorders>
            <w:shd w:fill="CCEEFF" w:val="clear"/>
            <w:tcMar>
              <w:bottom w:w="0" w:type="dxa"/>
            </w:tcMar>
            <w:vAlign w:val="center"/>
          </w:tcPr>
          <w:p>
            <w:pPr>
              <w:pStyle w:val="TableContents"/>
              <w:bidi w:val="0"/>
              <w:spacing w:before="0" w:after="0"/>
              <w:jc w:val="right"/>
              <w:rPr/>
            </w:pPr>
            <w:r>
              <w:rPr/>
              <w:t> </w:t>
            </w:r>
          </w:p>
        </w:tc>
        <w:tc>
          <w:tcPr>
            <w:tcW w:w="60" w:type="dxa"/>
            <w:tcBorders>
              <w:top w:val="double" w:sz="6" w:space="0" w:color="000000"/>
            </w:tcBorders>
            <w:shd w:fill="CCEEFF" w:val="clear"/>
            <w:tcMar>
              <w:bottom w:w="0" w:type="dxa"/>
            </w:tcMar>
            <w:vAlign w:val="center"/>
          </w:tcPr>
          <w:p>
            <w:pPr>
              <w:pStyle w:val="TableContents"/>
              <w:bidi w:val="0"/>
              <w:spacing w:before="0" w:after="0"/>
              <w:jc w:val="left"/>
              <w:rPr/>
            </w:pPr>
            <w:r>
              <w:rPr/>
              <w:t> </w:t>
            </w:r>
          </w:p>
        </w:tc>
        <w:tc>
          <w:tcPr>
            <w:tcW w:w="110" w:type="dxa"/>
            <w:tcBorders>
              <w:top w:val="double" w:sz="6" w:space="0" w:color="000000"/>
            </w:tcBorders>
            <w:shd w:fill="CCEEFF" w:val="clear"/>
            <w:tcMar>
              <w:bottom w:w="0" w:type="dxa"/>
            </w:tcMar>
            <w:vAlign w:val="center"/>
          </w:tcPr>
          <w:p>
            <w:pPr>
              <w:pStyle w:val="TableContents"/>
              <w:bidi w:val="0"/>
              <w:spacing w:before="0" w:after="0"/>
              <w:jc w:val="left"/>
              <w:rPr/>
            </w:pPr>
            <w:r>
              <w:rPr/>
              <w:t> </w:t>
            </w:r>
          </w:p>
        </w:tc>
        <w:tc>
          <w:tcPr>
            <w:tcW w:w="693" w:type="dxa"/>
            <w:tcBorders>
              <w:top w:val="double" w:sz="6" w:space="0" w:color="000000"/>
            </w:tcBorders>
            <w:shd w:fill="CCEEFF" w:val="clear"/>
            <w:tcMar>
              <w:bottom w:w="0" w:type="dxa"/>
            </w:tcMar>
            <w:vAlign w:val="center"/>
          </w:tcPr>
          <w:p>
            <w:pPr>
              <w:pStyle w:val="TableContents"/>
              <w:bidi w:val="0"/>
              <w:spacing w:before="0" w:after="0"/>
              <w:jc w:val="right"/>
              <w:rPr/>
            </w:pPr>
            <w:r>
              <w:rPr/>
              <w:t> </w:t>
            </w:r>
          </w:p>
        </w:tc>
        <w:tc>
          <w:tcPr>
            <w:tcW w:w="60" w:type="dxa"/>
            <w:tcBorders>
              <w:top w:val="double" w:sz="6" w:space="0" w:color="000000"/>
            </w:tcBorders>
            <w:shd w:fill="CCEEFF" w:val="clear"/>
            <w:tcMar>
              <w:bottom w:w="0" w:type="dxa"/>
            </w:tcMar>
            <w:vAlign w:val="center"/>
          </w:tcPr>
          <w:p>
            <w:pPr>
              <w:pStyle w:val="TableContents"/>
              <w:bidi w:val="0"/>
              <w:spacing w:before="0" w:after="0"/>
              <w:jc w:val="left"/>
              <w:rPr/>
            </w:pPr>
            <w:r>
              <w:rPr/>
              <w:t> </w:t>
            </w:r>
          </w:p>
        </w:tc>
        <w:tc>
          <w:tcPr>
            <w:tcW w:w="110" w:type="dxa"/>
            <w:tcBorders>
              <w:top w:val="double" w:sz="6" w:space="0" w:color="000000"/>
            </w:tcBorders>
            <w:shd w:fill="CCEEFF" w:val="clear"/>
            <w:tcMar>
              <w:bottom w:w="0" w:type="dxa"/>
            </w:tcMar>
            <w:vAlign w:val="center"/>
          </w:tcPr>
          <w:p>
            <w:pPr>
              <w:pStyle w:val="TableContents"/>
              <w:bidi w:val="0"/>
              <w:spacing w:before="0" w:after="0"/>
              <w:jc w:val="left"/>
              <w:rPr/>
            </w:pPr>
            <w:r>
              <w:rPr/>
              <w:t> </w:t>
            </w:r>
          </w:p>
        </w:tc>
        <w:tc>
          <w:tcPr>
            <w:tcW w:w="624" w:type="dxa"/>
            <w:tcBorders>
              <w:top w:val="double" w:sz="6" w:space="0" w:color="000000"/>
            </w:tcBorders>
            <w:shd w:fill="CCEEFF" w:val="clear"/>
            <w:tcMar>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w:t>
            </w:r>
          </w:p>
        </w:tc>
      </w:tr>
      <w:tr>
        <w:trPr/>
        <w:tc>
          <w:tcPr>
            <w:tcW w:w="1037" w:type="dxa"/>
            <w:tcBorders/>
            <w:shd w:fill="FFFFFF" w:val="clear"/>
            <w:tcMar>
              <w:top w:w="0" w:type="dxa"/>
              <w:bottom w:w="0" w:type="dxa"/>
            </w:tcMar>
            <w:vAlign w:val="center"/>
          </w:tcPr>
          <w:p>
            <w:pPr>
              <w:pStyle w:val="TableContents"/>
              <w:bidi w:val="0"/>
              <w:spacing w:before="0" w:after="0"/>
              <w:jc w:val="left"/>
              <w:rPr>
                <w:sz w:val="16"/>
              </w:rPr>
            </w:pPr>
            <w:r>
              <w:rPr>
                <w:rFonts w:ascii="Times New Roman" w:hAnsi="Times New Roman"/>
                <w:sz w:val="16"/>
              </w:rPr>
              <w:t>Preferred dividend declared ($476.56</w:t>
            </w:r>
            <w:r>
              <w:rPr>
                <w:sz w:val="16"/>
              </w:rPr>
              <w:t xml:space="preserve"> </w:t>
            </w:r>
            <w:r>
              <w:rPr>
                <w:rFonts w:ascii="Times New Roman" w:hAnsi="Times New Roman"/>
                <w:sz w:val="16"/>
              </w:rPr>
              <w:t>per share)</w:t>
            </w:r>
          </w:p>
        </w:tc>
        <w:tc>
          <w:tcPr>
            <w:tcW w:w="96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96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96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116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86" w:type="dxa"/>
            <w:tcBorders/>
            <w:shd w:fill="FFFF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(2,669)</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93"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24" w:type="dxa"/>
            <w:tcBorders/>
            <w:shd w:fill="FFFF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(2,669)</w:t>
            </w:r>
          </w:p>
        </w:tc>
      </w:tr>
      <w:tr>
        <w:trPr/>
        <w:tc>
          <w:tcPr>
            <w:tcW w:w="1037" w:type="dxa"/>
            <w:tcBorders/>
            <w:shd w:fill="CCEEFF" w:val="clear"/>
            <w:tcMar>
              <w:top w:w="0" w:type="dxa"/>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Restricted stock amortization, issuances and forfeitures</w:t>
            </w:r>
          </w:p>
        </w:tc>
        <w:tc>
          <w:tcPr>
            <w:tcW w:w="960"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05"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960"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05"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960"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05"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1160" w:type="dxa"/>
            <w:tcBorders/>
            <w:shd w:fill="CCEE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4,233</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86"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93"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24" w:type="dxa"/>
            <w:tcBorders/>
            <w:shd w:fill="CCEE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4,233</w:t>
            </w:r>
          </w:p>
        </w:tc>
      </w:tr>
      <w:tr>
        <w:trPr/>
        <w:tc>
          <w:tcPr>
            <w:tcW w:w="1037" w:type="dxa"/>
            <w:tcBorders/>
            <w:shd w:fill="FFFFFF" w:val="clear"/>
            <w:tcMar>
              <w:top w:w="0" w:type="dxa"/>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Conversion of Class B to Class A common stock</w:t>
            </w:r>
          </w:p>
        </w:tc>
        <w:tc>
          <w:tcPr>
            <w:tcW w:w="960" w:type="dxa"/>
            <w:tcBorders/>
            <w:shd w:fill="FFFF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4</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960" w:type="dxa"/>
            <w:tcBorders/>
            <w:shd w:fill="FFFF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(4)</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96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05"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1160"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86"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93" w:type="dxa"/>
            <w:tcBorders/>
            <w:shd w:fill="FFFFFF" w:val="clear"/>
            <w:tcMar>
              <w:top w:w="0" w:type="dxa"/>
              <w:bottom w:w="0" w:type="dxa"/>
            </w:tcMar>
            <w:vAlign w:val="center"/>
          </w:tcPr>
          <w:p>
            <w:pPr>
              <w:pStyle w:val="TableContents"/>
              <w:bidi w:val="0"/>
              <w:spacing w:before="0" w:after="0"/>
              <w:jc w:val="right"/>
              <w:rPr/>
            </w:pPr>
            <w:r>
              <w:rPr/>
              <w:t> </w:t>
            </w:r>
          </w:p>
        </w:tc>
        <w:tc>
          <w:tcPr>
            <w:tcW w:w="60" w:type="dxa"/>
            <w:tcBorders/>
            <w:shd w:fill="FFFFFF" w:val="clear"/>
            <w:tcMar>
              <w:top w:w="0" w:type="dxa"/>
              <w:bottom w:w="0" w:type="dxa"/>
            </w:tcMar>
            <w:vAlign w:val="center"/>
          </w:tcPr>
          <w:p>
            <w:pPr>
              <w:pStyle w:val="TableContents"/>
              <w:bidi w:val="0"/>
              <w:spacing w:before="0" w:after="0"/>
              <w:jc w:val="left"/>
              <w:rPr/>
            </w:pPr>
            <w:r>
              <w:rPr/>
              <w:t> </w:t>
            </w:r>
          </w:p>
        </w:tc>
        <w:tc>
          <w:tcPr>
            <w:tcW w:w="110" w:type="dxa"/>
            <w:tcBorders/>
            <w:shd w:fill="FFFFFF" w:val="clear"/>
            <w:tcMar>
              <w:top w:w="0" w:type="dxa"/>
              <w:bottom w:w="0" w:type="dxa"/>
            </w:tcMar>
            <w:vAlign w:val="center"/>
          </w:tcPr>
          <w:p>
            <w:pPr>
              <w:pStyle w:val="TableContents"/>
              <w:bidi w:val="0"/>
              <w:spacing w:before="0" w:after="0"/>
              <w:jc w:val="left"/>
              <w:rPr/>
            </w:pPr>
            <w:r>
              <w:rPr/>
              <w:t> </w:t>
            </w:r>
          </w:p>
        </w:tc>
        <w:tc>
          <w:tcPr>
            <w:tcW w:w="624" w:type="dxa"/>
            <w:tcBorders/>
            <w:shd w:fill="FFFF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w:t>
            </w:r>
          </w:p>
        </w:tc>
      </w:tr>
      <w:tr>
        <w:trPr/>
        <w:tc>
          <w:tcPr>
            <w:tcW w:w="1037" w:type="dxa"/>
            <w:tcBorders/>
            <w:shd w:fill="CCEEFF" w:val="clear"/>
            <w:tcMar>
              <w:top w:w="0" w:type="dxa"/>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Share repurchases, including excise taxes</w:t>
            </w:r>
          </w:p>
        </w:tc>
        <w:tc>
          <w:tcPr>
            <w:tcW w:w="960" w:type="dxa"/>
            <w:tcBorders/>
            <w:shd w:fill="CCEE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(126,448)</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05"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960"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05"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960"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05"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1160"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86" w:type="dxa"/>
            <w:tcBorders/>
            <w:shd w:fill="CCEEFF" w:val="clear"/>
            <w:tcMar>
              <w:top w:w="0" w:type="dxa"/>
              <w:bottom w:w="0" w:type="dxa"/>
            </w:tcMar>
            <w:vAlign w:val="center"/>
          </w:tcPr>
          <w:p>
            <w:pPr>
              <w:pStyle w:val="TableContents"/>
              <w:bidi w:val="0"/>
              <w:spacing w:before="0" w:after="0"/>
              <w:jc w:val="right"/>
              <w:rPr/>
            </w:pPr>
            <w:r>
              <w:rPr/>
              <w:t> </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93" w:type="dxa"/>
            <w:tcBorders/>
            <w:shd w:fill="CCEEFF" w:val="clear"/>
            <w:tcMar>
              <w:top w:w="0" w:type="dxa"/>
              <w:bottom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(12,346)</w:t>
            </w:r>
          </w:p>
        </w:tc>
        <w:tc>
          <w:tcPr>
            <w:tcW w:w="60" w:type="dxa"/>
            <w:tcBorders/>
            <w:shd w:fill="CCEEFF" w:val="clear"/>
            <w:tcMar>
              <w:top w:w="0" w:type="dxa"/>
              <w:bottom w:w="0" w:type="dxa"/>
            </w:tcMar>
            <w:vAlign w:val="center"/>
          </w:tcPr>
          <w:p>
            <w:pPr>
              <w:pStyle w:val="TableContents"/>
              <w:bidi w:val="0"/>
              <w:spacing w:before="0" w:after="0"/>
              <w:jc w:val="left"/>
              <w:rPr/>
            </w:pPr>
            <w:r>
              <w:rPr/>
              <w:t> </w:t>
            </w:r>
          </w:p>
        </w:tc>
        <w:tc>
          <w:tcPr>
            <w:tcW w:w="110" w:type="dxa"/>
            <w:tcBorders/>
            <w:shd w:fill="CCEEFF" w:val="clear"/>
            <w:tcMar>
              <w:top w:w="0" w:type="dxa"/>
              <w:bottom w:w="0" w:type="dxa"/>
            </w:tcMar>
            <w:vAlign w:val="center"/>
          </w:tcPr>
          <w:p>
            <w:pPr>
              <w:pStyle w:val="TableContents"/>
              <w:bidi w:val="0"/>
              <w:spacing w:before="0" w:after="0"/>
              <w:jc w:val="left"/>
              <w:rPr/>
            </w:pPr>
            <w:r>
              <w:rPr/>
              <w:t> </w:t>
            </w:r>
          </w:p>
        </w:tc>
        <w:tc>
          <w:tcPr>
            <w:tcW w:w="624" w:type="dxa"/>
            <w:tcBorders/>
            <w:shd w:fill="CCEE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(12,346)</w:t>
            </w:r>
          </w:p>
        </w:tc>
      </w:tr>
      <w:tr>
        <w:trPr/>
        <w:tc>
          <w:tcPr>
            <w:tcW w:w="1037" w:type="dxa"/>
            <w:tcBorders>
              <w:bottom w:val="single" w:sz="6" w:space="0" w:color="000000"/>
            </w:tcBorders>
            <w:shd w:fill="FFFFFF" w:val="clear"/>
            <w:tcMar>
              <w:top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Net income</w:t>
            </w:r>
          </w:p>
        </w:tc>
        <w:tc>
          <w:tcPr>
            <w:tcW w:w="960" w:type="dxa"/>
            <w:tcBorders>
              <w:bottom w:val="single" w:sz="6" w:space="0" w:color="000000"/>
            </w:tcBorders>
            <w:shd w:fill="FFFFFF" w:val="clear"/>
            <w:tcMar>
              <w:top w:w="0" w:type="dxa"/>
            </w:tcMar>
            <w:vAlign w:val="center"/>
          </w:tcPr>
          <w:p>
            <w:pPr>
              <w:pStyle w:val="TableContents"/>
              <w:bidi w:val="0"/>
              <w:spacing w:before="0" w:after="0"/>
              <w:jc w:val="right"/>
              <w:rPr/>
            </w:pPr>
            <w:r>
              <w:rPr/>
              <w:t> </w:t>
            </w:r>
          </w:p>
        </w:tc>
        <w:tc>
          <w:tcPr>
            <w:tcW w:w="60" w:type="dxa"/>
            <w:tcBorders>
              <w:bottom w:val="single" w:sz="6" w:space="0" w:color="000000"/>
            </w:tcBorders>
            <w:shd w:fill="FFFFFF" w:val="clear"/>
            <w:tcMar>
              <w:top w:w="0" w:type="dxa"/>
            </w:tcMar>
            <w:vAlign w:val="center"/>
          </w:tcPr>
          <w:p>
            <w:pPr>
              <w:pStyle w:val="TableContents"/>
              <w:bidi w:val="0"/>
              <w:spacing w:before="0" w:after="0"/>
              <w:jc w:val="left"/>
              <w:rPr/>
            </w:pPr>
            <w:r>
              <w:rPr/>
              <w:t> </w:t>
            </w:r>
          </w:p>
        </w:tc>
        <w:tc>
          <w:tcPr>
            <w:tcW w:w="110" w:type="dxa"/>
            <w:tcBorders>
              <w:bottom w:val="single" w:sz="6" w:space="0" w:color="000000"/>
            </w:tcBorders>
            <w:shd w:fill="FFFFFF" w:val="clear"/>
            <w:tcMar>
              <w:top w:w="0" w:type="dxa"/>
            </w:tcMar>
            <w:vAlign w:val="center"/>
          </w:tcPr>
          <w:p>
            <w:pPr>
              <w:pStyle w:val="TableContents"/>
              <w:bidi w:val="0"/>
              <w:spacing w:before="0" w:after="0"/>
              <w:jc w:val="left"/>
              <w:rPr/>
            </w:pPr>
            <w:r>
              <w:rPr/>
              <w:t> </w:t>
            </w:r>
          </w:p>
        </w:tc>
        <w:tc>
          <w:tcPr>
            <w:tcW w:w="605" w:type="dxa"/>
            <w:tcBorders>
              <w:bottom w:val="single" w:sz="6" w:space="0" w:color="000000"/>
            </w:tcBorders>
            <w:shd w:fill="FFFFFF" w:val="clear"/>
            <w:tcMar>
              <w:top w:w="0" w:type="dxa"/>
            </w:tcMar>
            <w:vAlign w:val="center"/>
          </w:tcPr>
          <w:p>
            <w:pPr>
              <w:pStyle w:val="TableContents"/>
              <w:bidi w:val="0"/>
              <w:spacing w:before="0" w:after="0"/>
              <w:jc w:val="right"/>
              <w:rPr/>
            </w:pPr>
            <w:r>
              <w:rPr/>
              <w:t> </w:t>
            </w:r>
          </w:p>
        </w:tc>
        <w:tc>
          <w:tcPr>
            <w:tcW w:w="60" w:type="dxa"/>
            <w:tcBorders>
              <w:bottom w:val="single" w:sz="6" w:space="0" w:color="000000"/>
            </w:tcBorders>
            <w:shd w:fill="FFFFFF" w:val="clear"/>
            <w:tcMar>
              <w:top w:w="0" w:type="dxa"/>
            </w:tcMar>
            <w:vAlign w:val="center"/>
          </w:tcPr>
          <w:p>
            <w:pPr>
              <w:pStyle w:val="TableContents"/>
              <w:bidi w:val="0"/>
              <w:spacing w:before="0" w:after="0"/>
              <w:jc w:val="left"/>
              <w:rPr/>
            </w:pPr>
            <w:r>
              <w:rPr/>
              <w:t> </w:t>
            </w:r>
          </w:p>
        </w:tc>
        <w:tc>
          <w:tcPr>
            <w:tcW w:w="960" w:type="dxa"/>
            <w:tcBorders>
              <w:bottom w:val="single" w:sz="6" w:space="0" w:color="000000"/>
            </w:tcBorders>
            <w:shd w:fill="FFFFFF" w:val="clear"/>
            <w:tcMar>
              <w:top w:w="0" w:type="dxa"/>
            </w:tcMar>
            <w:vAlign w:val="center"/>
          </w:tcPr>
          <w:p>
            <w:pPr>
              <w:pStyle w:val="TableContents"/>
              <w:bidi w:val="0"/>
              <w:spacing w:before="0" w:after="0"/>
              <w:jc w:val="right"/>
              <w:rPr/>
            </w:pPr>
            <w:r>
              <w:rPr/>
              <w:t> </w:t>
            </w:r>
          </w:p>
        </w:tc>
        <w:tc>
          <w:tcPr>
            <w:tcW w:w="60" w:type="dxa"/>
            <w:tcBorders>
              <w:bottom w:val="single" w:sz="6" w:space="0" w:color="000000"/>
            </w:tcBorders>
            <w:shd w:fill="FFFFFF" w:val="clear"/>
            <w:tcMar>
              <w:top w:w="0" w:type="dxa"/>
            </w:tcMar>
            <w:vAlign w:val="center"/>
          </w:tcPr>
          <w:p>
            <w:pPr>
              <w:pStyle w:val="TableContents"/>
              <w:bidi w:val="0"/>
              <w:spacing w:before="0" w:after="0"/>
              <w:jc w:val="left"/>
              <w:rPr/>
            </w:pPr>
            <w:r>
              <w:rPr/>
              <w:t> </w:t>
            </w:r>
          </w:p>
        </w:tc>
        <w:tc>
          <w:tcPr>
            <w:tcW w:w="110" w:type="dxa"/>
            <w:tcBorders>
              <w:bottom w:val="single" w:sz="6" w:space="0" w:color="000000"/>
            </w:tcBorders>
            <w:shd w:fill="FFFFFF" w:val="clear"/>
            <w:tcMar>
              <w:top w:w="0" w:type="dxa"/>
            </w:tcMar>
            <w:vAlign w:val="center"/>
          </w:tcPr>
          <w:p>
            <w:pPr>
              <w:pStyle w:val="TableContents"/>
              <w:bidi w:val="0"/>
              <w:spacing w:before="0" w:after="0"/>
              <w:jc w:val="left"/>
              <w:rPr/>
            </w:pPr>
            <w:r>
              <w:rPr/>
              <w:t> </w:t>
            </w:r>
          </w:p>
        </w:tc>
        <w:tc>
          <w:tcPr>
            <w:tcW w:w="605" w:type="dxa"/>
            <w:tcBorders>
              <w:bottom w:val="single" w:sz="6" w:space="0" w:color="000000"/>
            </w:tcBorders>
            <w:shd w:fill="FFFFFF" w:val="clear"/>
            <w:tcMar>
              <w:top w:w="0" w:type="dxa"/>
            </w:tcMar>
            <w:vAlign w:val="center"/>
          </w:tcPr>
          <w:p>
            <w:pPr>
              <w:pStyle w:val="TableContents"/>
              <w:bidi w:val="0"/>
              <w:spacing w:before="0" w:after="0"/>
              <w:jc w:val="right"/>
              <w:rPr/>
            </w:pPr>
            <w:r>
              <w:rPr/>
              <w:t> </w:t>
            </w:r>
          </w:p>
        </w:tc>
        <w:tc>
          <w:tcPr>
            <w:tcW w:w="60" w:type="dxa"/>
            <w:tcBorders>
              <w:bottom w:val="single" w:sz="6" w:space="0" w:color="000000"/>
            </w:tcBorders>
            <w:shd w:fill="FFFFFF" w:val="clear"/>
            <w:tcMar>
              <w:top w:w="0" w:type="dxa"/>
            </w:tcMar>
            <w:vAlign w:val="center"/>
          </w:tcPr>
          <w:p>
            <w:pPr>
              <w:pStyle w:val="TableContents"/>
              <w:bidi w:val="0"/>
              <w:spacing w:before="0" w:after="0"/>
              <w:jc w:val="left"/>
              <w:rPr/>
            </w:pPr>
            <w:r>
              <w:rPr/>
              <w:t> </w:t>
            </w:r>
          </w:p>
        </w:tc>
        <w:tc>
          <w:tcPr>
            <w:tcW w:w="960" w:type="dxa"/>
            <w:tcBorders>
              <w:bottom w:val="single" w:sz="6" w:space="0" w:color="000000"/>
            </w:tcBorders>
            <w:shd w:fill="FFFFFF" w:val="clear"/>
            <w:tcMar>
              <w:top w:w="0" w:type="dxa"/>
            </w:tcMar>
            <w:vAlign w:val="center"/>
          </w:tcPr>
          <w:p>
            <w:pPr>
              <w:pStyle w:val="TableContents"/>
              <w:bidi w:val="0"/>
              <w:spacing w:before="0" w:after="0"/>
              <w:jc w:val="right"/>
              <w:rPr/>
            </w:pPr>
            <w:r>
              <w:rPr/>
              <w:t> </w:t>
            </w:r>
          </w:p>
        </w:tc>
        <w:tc>
          <w:tcPr>
            <w:tcW w:w="60" w:type="dxa"/>
            <w:tcBorders>
              <w:bottom w:val="single" w:sz="6" w:space="0" w:color="000000"/>
            </w:tcBorders>
            <w:shd w:fill="FFFFFF" w:val="clear"/>
            <w:tcMar>
              <w:top w:w="0" w:type="dxa"/>
            </w:tcMar>
            <w:vAlign w:val="center"/>
          </w:tcPr>
          <w:p>
            <w:pPr>
              <w:pStyle w:val="TableContents"/>
              <w:bidi w:val="0"/>
              <w:spacing w:before="0" w:after="0"/>
              <w:jc w:val="left"/>
              <w:rPr/>
            </w:pPr>
            <w:r>
              <w:rPr/>
              <w:t> </w:t>
            </w:r>
          </w:p>
        </w:tc>
        <w:tc>
          <w:tcPr>
            <w:tcW w:w="110" w:type="dxa"/>
            <w:tcBorders>
              <w:bottom w:val="single" w:sz="6" w:space="0" w:color="000000"/>
            </w:tcBorders>
            <w:shd w:fill="FFFFFF" w:val="clear"/>
            <w:tcMar>
              <w:top w:w="0" w:type="dxa"/>
            </w:tcMar>
            <w:vAlign w:val="center"/>
          </w:tcPr>
          <w:p>
            <w:pPr>
              <w:pStyle w:val="TableContents"/>
              <w:bidi w:val="0"/>
              <w:spacing w:before="0" w:after="0"/>
              <w:jc w:val="left"/>
              <w:rPr/>
            </w:pPr>
            <w:r>
              <w:rPr/>
              <w:t> </w:t>
            </w:r>
          </w:p>
        </w:tc>
        <w:tc>
          <w:tcPr>
            <w:tcW w:w="605" w:type="dxa"/>
            <w:tcBorders>
              <w:bottom w:val="single" w:sz="6" w:space="0" w:color="000000"/>
            </w:tcBorders>
            <w:shd w:fill="FFFFFF" w:val="clear"/>
            <w:tcMar>
              <w:top w:w="0" w:type="dxa"/>
            </w:tcMar>
            <w:vAlign w:val="center"/>
          </w:tcPr>
          <w:p>
            <w:pPr>
              <w:pStyle w:val="TableContents"/>
              <w:bidi w:val="0"/>
              <w:spacing w:before="0" w:after="0"/>
              <w:jc w:val="right"/>
              <w:rPr/>
            </w:pPr>
            <w:r>
              <w:rPr/>
              <w:t> </w:t>
            </w:r>
          </w:p>
        </w:tc>
        <w:tc>
          <w:tcPr>
            <w:tcW w:w="60" w:type="dxa"/>
            <w:tcBorders>
              <w:bottom w:val="single" w:sz="6" w:space="0" w:color="000000"/>
            </w:tcBorders>
            <w:shd w:fill="FFFFFF" w:val="clear"/>
            <w:tcMar>
              <w:top w:w="0" w:type="dxa"/>
            </w:tcMar>
            <w:vAlign w:val="center"/>
          </w:tcPr>
          <w:p>
            <w:pPr>
              <w:pStyle w:val="TableContents"/>
              <w:bidi w:val="0"/>
              <w:spacing w:before="0" w:after="0"/>
              <w:jc w:val="left"/>
              <w:rPr/>
            </w:pPr>
            <w:r>
              <w:rPr/>
              <w:t> </w:t>
            </w:r>
          </w:p>
        </w:tc>
        <w:tc>
          <w:tcPr>
            <w:tcW w:w="110" w:type="dxa"/>
            <w:tcBorders>
              <w:bottom w:val="single" w:sz="6" w:space="0" w:color="000000"/>
            </w:tcBorders>
            <w:shd w:fill="FFFFFF" w:val="clear"/>
            <w:tcMar>
              <w:top w:w="0" w:type="dxa"/>
            </w:tcMar>
            <w:vAlign w:val="center"/>
          </w:tcPr>
          <w:p>
            <w:pPr>
              <w:pStyle w:val="TableContents"/>
              <w:bidi w:val="0"/>
              <w:spacing w:before="0" w:after="0"/>
              <w:jc w:val="left"/>
              <w:rPr/>
            </w:pPr>
            <w:r>
              <w:rPr/>
              <w:t> </w:t>
            </w:r>
          </w:p>
        </w:tc>
        <w:tc>
          <w:tcPr>
            <w:tcW w:w="1160" w:type="dxa"/>
            <w:tcBorders>
              <w:bottom w:val="single" w:sz="6" w:space="0" w:color="000000"/>
            </w:tcBorders>
            <w:shd w:fill="FFFFFF" w:val="clear"/>
            <w:tcMar>
              <w:top w:w="0" w:type="dxa"/>
            </w:tcMar>
            <w:vAlign w:val="center"/>
          </w:tcPr>
          <w:p>
            <w:pPr>
              <w:pStyle w:val="TableContents"/>
              <w:bidi w:val="0"/>
              <w:spacing w:before="0" w:after="0"/>
              <w:jc w:val="right"/>
              <w:rPr/>
            </w:pPr>
            <w:r>
              <w:rPr/>
              <w:t> </w:t>
            </w:r>
          </w:p>
        </w:tc>
        <w:tc>
          <w:tcPr>
            <w:tcW w:w="60" w:type="dxa"/>
            <w:tcBorders>
              <w:bottom w:val="single" w:sz="6" w:space="0" w:color="000000"/>
            </w:tcBorders>
            <w:shd w:fill="FFFFFF" w:val="clear"/>
            <w:tcMar>
              <w:top w:w="0" w:type="dxa"/>
            </w:tcMar>
            <w:vAlign w:val="center"/>
          </w:tcPr>
          <w:p>
            <w:pPr>
              <w:pStyle w:val="TableContents"/>
              <w:bidi w:val="0"/>
              <w:spacing w:before="0" w:after="0"/>
              <w:jc w:val="left"/>
              <w:rPr/>
            </w:pPr>
            <w:r>
              <w:rPr/>
              <w:t> </w:t>
            </w:r>
          </w:p>
        </w:tc>
        <w:tc>
          <w:tcPr>
            <w:tcW w:w="110" w:type="dxa"/>
            <w:tcBorders>
              <w:bottom w:val="single" w:sz="6" w:space="0" w:color="000000"/>
            </w:tcBorders>
            <w:shd w:fill="FFFFFF" w:val="clear"/>
            <w:tcMar>
              <w:top w:w="0" w:type="dxa"/>
            </w:tcMar>
            <w:vAlign w:val="center"/>
          </w:tcPr>
          <w:p>
            <w:pPr>
              <w:pStyle w:val="TableContents"/>
              <w:bidi w:val="0"/>
              <w:spacing w:before="0" w:after="0"/>
              <w:jc w:val="left"/>
              <w:rPr/>
            </w:pPr>
            <w:r>
              <w:rPr/>
              <w:t> </w:t>
            </w:r>
          </w:p>
        </w:tc>
        <w:tc>
          <w:tcPr>
            <w:tcW w:w="686" w:type="dxa"/>
            <w:tcBorders>
              <w:bottom w:val="single" w:sz="6" w:space="0" w:color="000000"/>
            </w:tcBorders>
            <w:shd w:fill="FFFFFF" w:val="clear"/>
            <w:tcMar>
              <w:top w:w="0"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19,726</w:t>
            </w:r>
          </w:p>
        </w:tc>
        <w:tc>
          <w:tcPr>
            <w:tcW w:w="60" w:type="dxa"/>
            <w:tcBorders>
              <w:bottom w:val="single" w:sz="6" w:space="0" w:color="000000"/>
            </w:tcBorders>
            <w:shd w:fill="FFFFFF" w:val="clear"/>
            <w:tcMar>
              <w:top w:w="0" w:type="dxa"/>
            </w:tcMar>
            <w:vAlign w:val="center"/>
          </w:tcPr>
          <w:p>
            <w:pPr>
              <w:pStyle w:val="TableContents"/>
              <w:bidi w:val="0"/>
              <w:spacing w:before="0" w:after="0"/>
              <w:jc w:val="left"/>
              <w:rPr/>
            </w:pPr>
            <w:r>
              <w:rPr/>
              <w:t> </w:t>
            </w:r>
          </w:p>
        </w:tc>
        <w:tc>
          <w:tcPr>
            <w:tcW w:w="110" w:type="dxa"/>
            <w:tcBorders>
              <w:bottom w:val="single" w:sz="6" w:space="0" w:color="000000"/>
            </w:tcBorders>
            <w:shd w:fill="FFFFFF" w:val="clear"/>
            <w:tcMar>
              <w:top w:w="0" w:type="dxa"/>
            </w:tcMar>
            <w:vAlign w:val="center"/>
          </w:tcPr>
          <w:p>
            <w:pPr>
              <w:pStyle w:val="TableContents"/>
              <w:bidi w:val="0"/>
              <w:spacing w:before="0" w:after="0"/>
              <w:jc w:val="left"/>
              <w:rPr/>
            </w:pPr>
            <w:r>
              <w:rPr/>
              <w:t> </w:t>
            </w:r>
          </w:p>
        </w:tc>
        <w:tc>
          <w:tcPr>
            <w:tcW w:w="693" w:type="dxa"/>
            <w:tcBorders>
              <w:bottom w:val="single" w:sz="6" w:space="0" w:color="000000"/>
            </w:tcBorders>
            <w:shd w:fill="FFFFFF" w:val="clear"/>
            <w:tcMar>
              <w:top w:w="0" w:type="dxa"/>
            </w:tcMar>
            <w:vAlign w:val="center"/>
          </w:tcPr>
          <w:p>
            <w:pPr>
              <w:pStyle w:val="TableContents"/>
              <w:bidi w:val="0"/>
              <w:spacing w:before="0" w:after="0"/>
              <w:jc w:val="right"/>
              <w:rPr/>
            </w:pPr>
            <w:r>
              <w:rPr/>
              <w:t> </w:t>
            </w:r>
          </w:p>
        </w:tc>
        <w:tc>
          <w:tcPr>
            <w:tcW w:w="60" w:type="dxa"/>
            <w:tcBorders>
              <w:bottom w:val="single" w:sz="6" w:space="0" w:color="000000"/>
            </w:tcBorders>
            <w:shd w:fill="FFFFFF" w:val="clear"/>
            <w:tcMar>
              <w:top w:w="0" w:type="dxa"/>
            </w:tcMar>
            <w:vAlign w:val="center"/>
          </w:tcPr>
          <w:p>
            <w:pPr>
              <w:pStyle w:val="TableContents"/>
              <w:bidi w:val="0"/>
              <w:spacing w:before="0" w:after="0"/>
              <w:jc w:val="left"/>
              <w:rPr/>
            </w:pPr>
            <w:r>
              <w:rPr/>
              <w:t> </w:t>
            </w:r>
          </w:p>
        </w:tc>
        <w:tc>
          <w:tcPr>
            <w:tcW w:w="110" w:type="dxa"/>
            <w:tcBorders>
              <w:bottom w:val="single" w:sz="6" w:space="0" w:color="000000"/>
            </w:tcBorders>
            <w:shd w:fill="FFFFFF" w:val="clear"/>
            <w:tcMar>
              <w:top w:w="0" w:type="dxa"/>
            </w:tcMar>
            <w:vAlign w:val="center"/>
          </w:tcPr>
          <w:p>
            <w:pPr>
              <w:pStyle w:val="TableContents"/>
              <w:bidi w:val="0"/>
              <w:spacing w:before="0" w:after="0"/>
              <w:jc w:val="left"/>
              <w:rPr/>
            </w:pPr>
            <w:r>
              <w:rPr/>
              <w:t> </w:t>
            </w:r>
          </w:p>
        </w:tc>
        <w:tc>
          <w:tcPr>
            <w:tcW w:w="624" w:type="dxa"/>
            <w:tcBorders>
              <w:bottom w:val="single" w:sz="6" w:space="0" w:color="000000"/>
            </w:tcBorders>
            <w:shd w:fill="FFFFFF" w:val="clear"/>
            <w:tcMar>
              <w:top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19,726</w:t>
            </w:r>
          </w:p>
        </w:tc>
      </w:tr>
      <w:tr>
        <w:trPr/>
        <w:tc>
          <w:tcPr>
            <w:tcW w:w="1037" w:type="dxa"/>
            <w:tcBorders>
              <w:top w:val="single" w:sz="6" w:space="0" w:color="000000"/>
              <w:bottom w:val="double" w:sz="6" w:space="0" w:color="000000"/>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Balance, April 30, 2025</w:t>
            </w:r>
          </w:p>
        </w:tc>
        <w:tc>
          <w:tcPr>
            <w:tcW w:w="960" w:type="dxa"/>
            <w:tcBorders>
              <w:top w:val="single" w:sz="6"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5,068,858</w:t>
            </w:r>
          </w:p>
        </w:tc>
        <w:tc>
          <w:tcPr>
            <w:tcW w:w="60" w:type="dxa"/>
            <w:tcBorders>
              <w:top w:val="single" w:sz="6" w:space="0" w:color="000000"/>
              <w:bottom w:val="double" w:sz="6" w:space="0" w:color="000000"/>
            </w:tcBorders>
            <w:shd w:fill="CCEEFF" w:val="clear"/>
            <w:vAlign w:val="center"/>
          </w:tcPr>
          <w:p>
            <w:pPr>
              <w:pStyle w:val="TableContents"/>
              <w:bidi w:val="0"/>
              <w:spacing w:before="0" w:after="0"/>
              <w:jc w:val="left"/>
              <w:rPr>
                <w:color w:val="333333"/>
              </w:rPr>
            </w:pPr>
            <w:r>
              <w:rPr>
                <w:color w:val="333333"/>
              </w:rPr>
              <w:t> </w:t>
            </w:r>
          </w:p>
        </w:tc>
        <w:tc>
          <w:tcPr>
            <w:tcW w:w="110" w:type="dxa"/>
            <w:tcBorders>
              <w:top w:val="single" w:sz="6" w:space="0" w:color="000000"/>
              <w:bottom w:val="double" w:sz="6" w:space="0" w:color="000000"/>
            </w:tcBorders>
            <w:shd w:fill="CCEE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05" w:type="dxa"/>
            <w:tcBorders>
              <w:top w:val="single" w:sz="6"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64</w:t>
            </w:r>
          </w:p>
        </w:tc>
        <w:tc>
          <w:tcPr>
            <w:tcW w:w="60" w:type="dxa"/>
            <w:tcBorders>
              <w:top w:val="single" w:sz="6" w:space="0" w:color="000000"/>
              <w:bottom w:val="double" w:sz="6" w:space="0" w:color="000000"/>
            </w:tcBorders>
            <w:shd w:fill="CCEEFF" w:val="clear"/>
            <w:vAlign w:val="center"/>
          </w:tcPr>
          <w:p>
            <w:pPr>
              <w:pStyle w:val="TableContents"/>
              <w:bidi w:val="0"/>
              <w:spacing w:before="0" w:after="0"/>
              <w:jc w:val="left"/>
              <w:rPr>
                <w:color w:val="333333"/>
              </w:rPr>
            </w:pPr>
            <w:r>
              <w:rPr>
                <w:color w:val="333333"/>
              </w:rPr>
              <w:t> </w:t>
            </w:r>
          </w:p>
        </w:tc>
        <w:tc>
          <w:tcPr>
            <w:tcW w:w="960" w:type="dxa"/>
            <w:tcBorders>
              <w:top w:val="single" w:sz="6"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729,345</w:t>
            </w:r>
          </w:p>
        </w:tc>
        <w:tc>
          <w:tcPr>
            <w:tcW w:w="60" w:type="dxa"/>
            <w:tcBorders>
              <w:top w:val="single" w:sz="6" w:space="0" w:color="000000"/>
              <w:bottom w:val="double" w:sz="6" w:space="0" w:color="000000"/>
            </w:tcBorders>
            <w:shd w:fill="CCEEFF" w:val="clear"/>
            <w:vAlign w:val="center"/>
          </w:tcPr>
          <w:p>
            <w:pPr>
              <w:pStyle w:val="TableContents"/>
              <w:bidi w:val="0"/>
              <w:spacing w:before="0" w:after="0"/>
              <w:jc w:val="left"/>
              <w:rPr>
                <w:color w:val="333333"/>
              </w:rPr>
            </w:pPr>
            <w:r>
              <w:rPr>
                <w:color w:val="333333"/>
              </w:rPr>
              <w:t> </w:t>
            </w:r>
          </w:p>
        </w:tc>
        <w:tc>
          <w:tcPr>
            <w:tcW w:w="110" w:type="dxa"/>
            <w:tcBorders>
              <w:top w:val="single" w:sz="6" w:space="0" w:color="000000"/>
              <w:bottom w:val="double" w:sz="6" w:space="0" w:color="000000"/>
            </w:tcBorders>
            <w:shd w:fill="CCEE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05" w:type="dxa"/>
            <w:tcBorders>
              <w:top w:val="single" w:sz="6"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8</w:t>
            </w:r>
          </w:p>
        </w:tc>
        <w:tc>
          <w:tcPr>
            <w:tcW w:w="60" w:type="dxa"/>
            <w:tcBorders>
              <w:top w:val="single" w:sz="6" w:space="0" w:color="000000"/>
              <w:bottom w:val="double" w:sz="6" w:space="0" w:color="000000"/>
            </w:tcBorders>
            <w:shd w:fill="CCEEFF" w:val="clear"/>
            <w:vAlign w:val="center"/>
          </w:tcPr>
          <w:p>
            <w:pPr>
              <w:pStyle w:val="TableContents"/>
              <w:bidi w:val="0"/>
              <w:spacing w:before="0" w:after="0"/>
              <w:jc w:val="left"/>
              <w:rPr>
                <w:color w:val="333333"/>
              </w:rPr>
            </w:pPr>
            <w:r>
              <w:rPr>
                <w:color w:val="333333"/>
              </w:rPr>
              <w:t> </w:t>
            </w:r>
          </w:p>
        </w:tc>
        <w:tc>
          <w:tcPr>
            <w:tcW w:w="960" w:type="dxa"/>
            <w:tcBorders>
              <w:top w:val="single" w:sz="6"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5,600</w:t>
            </w:r>
          </w:p>
        </w:tc>
        <w:tc>
          <w:tcPr>
            <w:tcW w:w="60" w:type="dxa"/>
            <w:tcBorders>
              <w:top w:val="single" w:sz="6" w:space="0" w:color="000000"/>
              <w:bottom w:val="double" w:sz="6" w:space="0" w:color="000000"/>
            </w:tcBorders>
            <w:shd w:fill="CCEEFF" w:val="clear"/>
            <w:vAlign w:val="center"/>
          </w:tcPr>
          <w:p>
            <w:pPr>
              <w:pStyle w:val="TableContents"/>
              <w:bidi w:val="0"/>
              <w:spacing w:before="0" w:after="0"/>
              <w:jc w:val="left"/>
              <w:rPr>
                <w:color w:val="333333"/>
              </w:rPr>
            </w:pPr>
            <w:r>
              <w:rPr>
                <w:color w:val="333333"/>
              </w:rPr>
              <w:t> </w:t>
            </w:r>
          </w:p>
        </w:tc>
        <w:tc>
          <w:tcPr>
            <w:tcW w:w="110" w:type="dxa"/>
            <w:tcBorders>
              <w:top w:val="single" w:sz="6" w:space="0" w:color="000000"/>
              <w:bottom w:val="double" w:sz="6" w:space="0" w:color="000000"/>
            </w:tcBorders>
            <w:shd w:fill="CCEE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05" w:type="dxa"/>
            <w:tcBorders>
              <w:top w:val="single" w:sz="6"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135,299</w:t>
            </w:r>
          </w:p>
        </w:tc>
        <w:tc>
          <w:tcPr>
            <w:tcW w:w="60" w:type="dxa"/>
            <w:tcBorders>
              <w:top w:val="single" w:sz="6" w:space="0" w:color="000000"/>
              <w:bottom w:val="double" w:sz="6" w:space="0" w:color="000000"/>
            </w:tcBorders>
            <w:shd w:fill="CCEEFF" w:val="clear"/>
            <w:vAlign w:val="center"/>
          </w:tcPr>
          <w:p>
            <w:pPr>
              <w:pStyle w:val="TableContents"/>
              <w:bidi w:val="0"/>
              <w:spacing w:before="0" w:after="0"/>
              <w:jc w:val="left"/>
              <w:rPr>
                <w:color w:val="333333"/>
              </w:rPr>
            </w:pPr>
            <w:r>
              <w:rPr>
                <w:color w:val="333333"/>
              </w:rPr>
              <w:t> </w:t>
            </w:r>
          </w:p>
        </w:tc>
        <w:tc>
          <w:tcPr>
            <w:tcW w:w="110" w:type="dxa"/>
            <w:tcBorders>
              <w:top w:val="single" w:sz="6" w:space="0" w:color="000000"/>
              <w:bottom w:val="double" w:sz="6" w:space="0" w:color="000000"/>
            </w:tcBorders>
            <w:shd w:fill="CCEE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1160" w:type="dxa"/>
            <w:tcBorders>
              <w:top w:val="single" w:sz="6"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757,590</w:t>
            </w:r>
          </w:p>
        </w:tc>
        <w:tc>
          <w:tcPr>
            <w:tcW w:w="60" w:type="dxa"/>
            <w:tcBorders>
              <w:top w:val="single" w:sz="6" w:space="0" w:color="000000"/>
              <w:bottom w:val="double" w:sz="6" w:space="0" w:color="000000"/>
            </w:tcBorders>
            <w:shd w:fill="CCEEFF" w:val="clear"/>
            <w:vAlign w:val="center"/>
          </w:tcPr>
          <w:p>
            <w:pPr>
              <w:pStyle w:val="TableContents"/>
              <w:bidi w:val="0"/>
              <w:spacing w:before="0" w:after="0"/>
              <w:jc w:val="left"/>
              <w:rPr>
                <w:color w:val="333333"/>
              </w:rPr>
            </w:pPr>
            <w:r>
              <w:rPr>
                <w:color w:val="333333"/>
              </w:rPr>
              <w:t> </w:t>
            </w:r>
          </w:p>
        </w:tc>
        <w:tc>
          <w:tcPr>
            <w:tcW w:w="110" w:type="dxa"/>
            <w:tcBorders>
              <w:top w:val="single" w:sz="6" w:space="0" w:color="000000"/>
              <w:bottom w:val="double" w:sz="6" w:space="0" w:color="000000"/>
            </w:tcBorders>
            <w:shd w:fill="CCEE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86" w:type="dxa"/>
            <w:tcBorders>
              <w:top w:val="single" w:sz="6"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116,715</w:t>
            </w:r>
          </w:p>
        </w:tc>
        <w:tc>
          <w:tcPr>
            <w:tcW w:w="60" w:type="dxa"/>
            <w:tcBorders>
              <w:top w:val="single" w:sz="6" w:space="0" w:color="000000"/>
              <w:bottom w:val="double" w:sz="6" w:space="0" w:color="000000"/>
            </w:tcBorders>
            <w:shd w:fill="CCEEFF" w:val="clear"/>
            <w:vAlign w:val="center"/>
          </w:tcPr>
          <w:p>
            <w:pPr>
              <w:pStyle w:val="TableContents"/>
              <w:bidi w:val="0"/>
              <w:spacing w:before="0" w:after="0"/>
              <w:jc w:val="left"/>
              <w:rPr>
                <w:color w:val="333333"/>
              </w:rPr>
            </w:pPr>
            <w:r>
              <w:rPr>
                <w:color w:val="333333"/>
              </w:rPr>
              <w:t> </w:t>
            </w:r>
          </w:p>
        </w:tc>
        <w:tc>
          <w:tcPr>
            <w:tcW w:w="110" w:type="dxa"/>
            <w:tcBorders>
              <w:top w:val="single" w:sz="6" w:space="0" w:color="000000"/>
              <w:bottom w:val="double" w:sz="6" w:space="0" w:color="000000"/>
            </w:tcBorders>
            <w:shd w:fill="CCEE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93" w:type="dxa"/>
            <w:tcBorders>
              <w:top w:val="single" w:sz="6"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(189,306)</w:t>
            </w:r>
          </w:p>
        </w:tc>
        <w:tc>
          <w:tcPr>
            <w:tcW w:w="60" w:type="dxa"/>
            <w:tcBorders>
              <w:top w:val="single" w:sz="6" w:space="0" w:color="000000"/>
              <w:bottom w:val="double" w:sz="6" w:space="0" w:color="000000"/>
            </w:tcBorders>
            <w:shd w:fill="CCEEFF" w:val="clear"/>
            <w:vAlign w:val="center"/>
          </w:tcPr>
          <w:p>
            <w:pPr>
              <w:pStyle w:val="TableContents"/>
              <w:bidi w:val="0"/>
              <w:spacing w:before="0" w:after="0"/>
              <w:jc w:val="left"/>
              <w:rPr>
                <w:color w:val="333333"/>
              </w:rPr>
            </w:pPr>
            <w:r>
              <w:rPr>
                <w:color w:val="333333"/>
              </w:rPr>
              <w:t> </w:t>
            </w:r>
          </w:p>
        </w:tc>
        <w:tc>
          <w:tcPr>
            <w:tcW w:w="110" w:type="dxa"/>
            <w:tcBorders>
              <w:top w:val="single" w:sz="6" w:space="0" w:color="000000"/>
              <w:bottom w:val="double" w:sz="6" w:space="0" w:color="000000"/>
            </w:tcBorders>
            <w:shd w:fill="CCEE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24" w:type="dxa"/>
            <w:tcBorders>
              <w:top w:val="single" w:sz="6"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820,370</w:t>
            </w:r>
          </w:p>
        </w:tc>
      </w:tr>
      <w:tr>
        <w:trPr/>
        <w:tc>
          <w:tcPr>
            <w:tcW w:w="1037" w:type="dxa"/>
            <w:tcBorders>
              <w:top w:val="double" w:sz="6" w:space="0" w:color="000000"/>
            </w:tcBorders>
            <w:shd w:fill="FFFFFF" w:val="clear"/>
            <w:tcMar>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Stock options, amortization and issuances</w:t>
            </w:r>
          </w:p>
        </w:tc>
        <w:tc>
          <w:tcPr>
            <w:tcW w:w="960" w:type="dxa"/>
            <w:tcBorders>
              <w:top w:val="double" w:sz="6" w:space="0" w:color="000000"/>
            </w:tcBorders>
            <w:shd w:fill="FFFFFF" w:val="clear"/>
            <w:tcMar>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1,179</w:t>
            </w:r>
          </w:p>
        </w:tc>
        <w:tc>
          <w:tcPr>
            <w:tcW w:w="60" w:type="dxa"/>
            <w:tcBorders>
              <w:top w:val="double" w:sz="6" w:space="0" w:color="000000"/>
            </w:tcBorders>
            <w:shd w:fill="FFFFFF" w:val="clear"/>
            <w:tcMar>
              <w:bottom w:w="0" w:type="dxa"/>
            </w:tcMar>
            <w:vAlign w:val="center"/>
          </w:tcPr>
          <w:p>
            <w:pPr>
              <w:pStyle w:val="TableContents"/>
              <w:bidi w:val="0"/>
              <w:spacing w:before="0" w:after="0"/>
              <w:jc w:val="left"/>
              <w:rPr>
                <w:color w:val="333333"/>
              </w:rPr>
            </w:pPr>
            <w:r>
              <w:rPr>
                <w:color w:val="333333"/>
              </w:rPr>
              <w:t> </w:t>
            </w:r>
          </w:p>
        </w:tc>
        <w:tc>
          <w:tcPr>
            <w:tcW w:w="110" w:type="dxa"/>
            <w:tcBorders>
              <w:top w:val="double" w:sz="6" w:space="0" w:color="000000"/>
            </w:tcBorders>
            <w:shd w:fill="FFFFFF" w:val="clear"/>
            <w:tcMar>
              <w:bottom w:w="0" w:type="dxa"/>
            </w:tcMar>
            <w:vAlign w:val="center"/>
          </w:tcPr>
          <w:p>
            <w:pPr>
              <w:pStyle w:val="TableContents"/>
              <w:bidi w:val="0"/>
              <w:spacing w:before="0" w:after="0"/>
              <w:jc w:val="left"/>
              <w:rPr>
                <w:color w:val="333333"/>
              </w:rPr>
            </w:pPr>
            <w:r>
              <w:rPr>
                <w:color w:val="333333"/>
              </w:rPr>
              <w:t> </w:t>
            </w:r>
          </w:p>
        </w:tc>
        <w:tc>
          <w:tcPr>
            <w:tcW w:w="605" w:type="dxa"/>
            <w:tcBorders>
              <w:top w:val="double" w:sz="6" w:space="0" w:color="000000"/>
            </w:tcBorders>
            <w:shd w:fill="FFFFFF" w:val="clear"/>
            <w:tcMar>
              <w:bottom w:w="0" w:type="dxa"/>
            </w:tcMar>
            <w:vAlign w:val="center"/>
          </w:tcPr>
          <w:p>
            <w:pPr>
              <w:pStyle w:val="TableContents"/>
              <w:bidi w:val="0"/>
              <w:spacing w:before="0" w:after="0"/>
              <w:jc w:val="right"/>
              <w:rPr>
                <w:color w:val="333333"/>
              </w:rPr>
            </w:pPr>
            <w:r>
              <w:rPr>
                <w:color w:val="333333"/>
              </w:rPr>
              <w:t> </w:t>
            </w:r>
          </w:p>
        </w:tc>
        <w:tc>
          <w:tcPr>
            <w:tcW w:w="60" w:type="dxa"/>
            <w:tcBorders>
              <w:top w:val="double" w:sz="6" w:space="0" w:color="000000"/>
            </w:tcBorders>
            <w:shd w:fill="FFFFFF" w:val="clear"/>
            <w:tcMar>
              <w:bottom w:w="0" w:type="dxa"/>
            </w:tcMar>
            <w:vAlign w:val="center"/>
          </w:tcPr>
          <w:p>
            <w:pPr>
              <w:pStyle w:val="TableContents"/>
              <w:bidi w:val="0"/>
              <w:spacing w:before="0" w:after="0"/>
              <w:jc w:val="left"/>
              <w:rPr>
                <w:color w:val="333333"/>
              </w:rPr>
            </w:pPr>
            <w:r>
              <w:rPr>
                <w:color w:val="333333"/>
              </w:rPr>
              <w:t> </w:t>
            </w:r>
          </w:p>
        </w:tc>
        <w:tc>
          <w:tcPr>
            <w:tcW w:w="960" w:type="dxa"/>
            <w:tcBorders>
              <w:top w:val="double" w:sz="6" w:space="0" w:color="000000"/>
            </w:tcBorders>
            <w:shd w:fill="FFFFFF" w:val="clear"/>
            <w:tcMar>
              <w:bottom w:w="0" w:type="dxa"/>
            </w:tcMar>
            <w:vAlign w:val="center"/>
          </w:tcPr>
          <w:p>
            <w:pPr>
              <w:pStyle w:val="TableContents"/>
              <w:bidi w:val="0"/>
              <w:spacing w:before="0" w:after="0"/>
              <w:jc w:val="right"/>
              <w:rPr>
                <w:color w:val="333333"/>
              </w:rPr>
            </w:pPr>
            <w:r>
              <w:rPr>
                <w:color w:val="333333"/>
              </w:rPr>
              <w:t> </w:t>
            </w:r>
          </w:p>
        </w:tc>
        <w:tc>
          <w:tcPr>
            <w:tcW w:w="60" w:type="dxa"/>
            <w:tcBorders>
              <w:top w:val="double" w:sz="6" w:space="0" w:color="000000"/>
            </w:tcBorders>
            <w:shd w:fill="FFFFFF" w:val="clear"/>
            <w:tcMar>
              <w:bottom w:w="0" w:type="dxa"/>
            </w:tcMar>
            <w:vAlign w:val="center"/>
          </w:tcPr>
          <w:p>
            <w:pPr>
              <w:pStyle w:val="TableContents"/>
              <w:bidi w:val="0"/>
              <w:spacing w:before="0" w:after="0"/>
              <w:jc w:val="left"/>
              <w:rPr>
                <w:color w:val="333333"/>
              </w:rPr>
            </w:pPr>
            <w:r>
              <w:rPr>
                <w:color w:val="333333"/>
              </w:rPr>
              <w:t> </w:t>
            </w:r>
          </w:p>
        </w:tc>
        <w:tc>
          <w:tcPr>
            <w:tcW w:w="110" w:type="dxa"/>
            <w:tcBorders>
              <w:top w:val="double" w:sz="6" w:space="0" w:color="000000"/>
            </w:tcBorders>
            <w:shd w:fill="FFFFFF" w:val="clear"/>
            <w:tcMar>
              <w:bottom w:w="0" w:type="dxa"/>
            </w:tcMar>
            <w:vAlign w:val="center"/>
          </w:tcPr>
          <w:p>
            <w:pPr>
              <w:pStyle w:val="TableContents"/>
              <w:bidi w:val="0"/>
              <w:spacing w:before="0" w:after="0"/>
              <w:jc w:val="left"/>
              <w:rPr>
                <w:color w:val="333333"/>
              </w:rPr>
            </w:pPr>
            <w:r>
              <w:rPr>
                <w:color w:val="333333"/>
              </w:rPr>
              <w:t> </w:t>
            </w:r>
          </w:p>
        </w:tc>
        <w:tc>
          <w:tcPr>
            <w:tcW w:w="605" w:type="dxa"/>
            <w:tcBorders>
              <w:top w:val="double" w:sz="6" w:space="0" w:color="000000"/>
            </w:tcBorders>
            <w:shd w:fill="FFFFFF" w:val="clear"/>
            <w:tcMar>
              <w:bottom w:w="0" w:type="dxa"/>
            </w:tcMar>
            <w:vAlign w:val="center"/>
          </w:tcPr>
          <w:p>
            <w:pPr>
              <w:pStyle w:val="TableContents"/>
              <w:bidi w:val="0"/>
              <w:spacing w:before="0" w:after="0"/>
              <w:jc w:val="right"/>
              <w:rPr>
                <w:color w:val="333333"/>
              </w:rPr>
            </w:pPr>
            <w:r>
              <w:rPr>
                <w:color w:val="333333"/>
              </w:rPr>
              <w:t> </w:t>
            </w:r>
          </w:p>
        </w:tc>
        <w:tc>
          <w:tcPr>
            <w:tcW w:w="60" w:type="dxa"/>
            <w:tcBorders>
              <w:top w:val="double" w:sz="6" w:space="0" w:color="000000"/>
            </w:tcBorders>
            <w:shd w:fill="FFFFFF" w:val="clear"/>
            <w:tcMar>
              <w:bottom w:w="0" w:type="dxa"/>
            </w:tcMar>
            <w:vAlign w:val="center"/>
          </w:tcPr>
          <w:p>
            <w:pPr>
              <w:pStyle w:val="TableContents"/>
              <w:bidi w:val="0"/>
              <w:spacing w:before="0" w:after="0"/>
              <w:jc w:val="left"/>
              <w:rPr>
                <w:color w:val="333333"/>
              </w:rPr>
            </w:pPr>
            <w:r>
              <w:rPr>
                <w:color w:val="333333"/>
              </w:rPr>
              <w:t> </w:t>
            </w:r>
          </w:p>
        </w:tc>
        <w:tc>
          <w:tcPr>
            <w:tcW w:w="960" w:type="dxa"/>
            <w:tcBorders>
              <w:top w:val="double" w:sz="6" w:space="0" w:color="000000"/>
            </w:tcBorders>
            <w:shd w:fill="FFFFFF" w:val="clear"/>
            <w:tcMar>
              <w:bottom w:w="0" w:type="dxa"/>
            </w:tcMar>
            <w:vAlign w:val="center"/>
          </w:tcPr>
          <w:p>
            <w:pPr>
              <w:pStyle w:val="TableContents"/>
              <w:bidi w:val="0"/>
              <w:spacing w:before="0" w:after="0"/>
              <w:jc w:val="right"/>
              <w:rPr>
                <w:color w:val="333333"/>
              </w:rPr>
            </w:pPr>
            <w:r>
              <w:rPr>
                <w:color w:val="333333"/>
              </w:rPr>
              <w:t> </w:t>
            </w:r>
          </w:p>
        </w:tc>
        <w:tc>
          <w:tcPr>
            <w:tcW w:w="60" w:type="dxa"/>
            <w:tcBorders>
              <w:top w:val="double" w:sz="6" w:space="0" w:color="000000"/>
            </w:tcBorders>
            <w:shd w:fill="FFFFFF" w:val="clear"/>
            <w:tcMar>
              <w:bottom w:w="0" w:type="dxa"/>
            </w:tcMar>
            <w:vAlign w:val="center"/>
          </w:tcPr>
          <w:p>
            <w:pPr>
              <w:pStyle w:val="TableContents"/>
              <w:bidi w:val="0"/>
              <w:spacing w:before="0" w:after="0"/>
              <w:jc w:val="left"/>
              <w:rPr>
                <w:color w:val="333333"/>
              </w:rPr>
            </w:pPr>
            <w:r>
              <w:rPr>
                <w:color w:val="333333"/>
              </w:rPr>
              <w:t> </w:t>
            </w:r>
          </w:p>
        </w:tc>
        <w:tc>
          <w:tcPr>
            <w:tcW w:w="110" w:type="dxa"/>
            <w:tcBorders>
              <w:top w:val="double" w:sz="6" w:space="0" w:color="000000"/>
            </w:tcBorders>
            <w:shd w:fill="FFFFFF" w:val="clear"/>
            <w:tcMar>
              <w:bottom w:w="0" w:type="dxa"/>
            </w:tcMar>
            <w:vAlign w:val="center"/>
          </w:tcPr>
          <w:p>
            <w:pPr>
              <w:pStyle w:val="TableContents"/>
              <w:bidi w:val="0"/>
              <w:spacing w:before="0" w:after="0"/>
              <w:jc w:val="left"/>
              <w:rPr>
                <w:color w:val="333333"/>
              </w:rPr>
            </w:pPr>
            <w:r>
              <w:rPr>
                <w:color w:val="333333"/>
              </w:rPr>
              <w:t> </w:t>
            </w:r>
          </w:p>
        </w:tc>
        <w:tc>
          <w:tcPr>
            <w:tcW w:w="605" w:type="dxa"/>
            <w:tcBorders>
              <w:top w:val="double" w:sz="6" w:space="0" w:color="000000"/>
            </w:tcBorders>
            <w:shd w:fill="FFFFFF" w:val="clear"/>
            <w:tcMar>
              <w:bottom w:w="0" w:type="dxa"/>
            </w:tcMar>
            <w:vAlign w:val="center"/>
          </w:tcPr>
          <w:p>
            <w:pPr>
              <w:pStyle w:val="TableContents"/>
              <w:bidi w:val="0"/>
              <w:spacing w:before="0" w:after="0"/>
              <w:jc w:val="right"/>
              <w:rPr>
                <w:color w:val="333333"/>
              </w:rPr>
            </w:pPr>
            <w:r>
              <w:rPr>
                <w:color w:val="333333"/>
              </w:rPr>
              <w:t> </w:t>
            </w:r>
          </w:p>
        </w:tc>
        <w:tc>
          <w:tcPr>
            <w:tcW w:w="60" w:type="dxa"/>
            <w:tcBorders>
              <w:top w:val="double" w:sz="6" w:space="0" w:color="000000"/>
            </w:tcBorders>
            <w:shd w:fill="FFFFFF" w:val="clear"/>
            <w:tcMar>
              <w:bottom w:w="0" w:type="dxa"/>
            </w:tcMar>
            <w:vAlign w:val="center"/>
          </w:tcPr>
          <w:p>
            <w:pPr>
              <w:pStyle w:val="TableContents"/>
              <w:bidi w:val="0"/>
              <w:spacing w:before="0" w:after="0"/>
              <w:jc w:val="left"/>
              <w:rPr>
                <w:color w:val="333333"/>
              </w:rPr>
            </w:pPr>
            <w:r>
              <w:rPr>
                <w:color w:val="333333"/>
              </w:rPr>
              <w:t> </w:t>
            </w:r>
          </w:p>
        </w:tc>
        <w:tc>
          <w:tcPr>
            <w:tcW w:w="110" w:type="dxa"/>
            <w:tcBorders>
              <w:top w:val="double" w:sz="6" w:space="0" w:color="000000"/>
            </w:tcBorders>
            <w:shd w:fill="FFFFFF" w:val="clear"/>
            <w:tcMar>
              <w:bottom w:w="0" w:type="dxa"/>
            </w:tcMar>
            <w:vAlign w:val="center"/>
          </w:tcPr>
          <w:p>
            <w:pPr>
              <w:pStyle w:val="TableContents"/>
              <w:bidi w:val="0"/>
              <w:spacing w:before="0" w:after="0"/>
              <w:jc w:val="left"/>
              <w:rPr>
                <w:color w:val="333333"/>
              </w:rPr>
            </w:pPr>
            <w:r>
              <w:rPr>
                <w:color w:val="333333"/>
              </w:rPr>
              <w:t> </w:t>
            </w:r>
          </w:p>
        </w:tc>
        <w:tc>
          <w:tcPr>
            <w:tcW w:w="1160" w:type="dxa"/>
            <w:tcBorders>
              <w:top w:val="double" w:sz="6" w:space="0" w:color="000000"/>
            </w:tcBorders>
            <w:shd w:fill="FFFFFF" w:val="clear"/>
            <w:tcMar>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25</w:t>
            </w:r>
          </w:p>
        </w:tc>
        <w:tc>
          <w:tcPr>
            <w:tcW w:w="60" w:type="dxa"/>
            <w:tcBorders>
              <w:top w:val="double" w:sz="6" w:space="0" w:color="000000"/>
            </w:tcBorders>
            <w:shd w:fill="FFFFFF" w:val="clear"/>
            <w:tcMar>
              <w:bottom w:w="0" w:type="dxa"/>
            </w:tcMar>
            <w:vAlign w:val="center"/>
          </w:tcPr>
          <w:p>
            <w:pPr>
              <w:pStyle w:val="TableContents"/>
              <w:bidi w:val="0"/>
              <w:spacing w:before="0" w:after="0"/>
              <w:jc w:val="left"/>
              <w:rPr>
                <w:color w:val="333333"/>
              </w:rPr>
            </w:pPr>
            <w:r>
              <w:rPr>
                <w:color w:val="333333"/>
              </w:rPr>
              <w:t> </w:t>
            </w:r>
          </w:p>
        </w:tc>
        <w:tc>
          <w:tcPr>
            <w:tcW w:w="110" w:type="dxa"/>
            <w:tcBorders>
              <w:top w:val="double" w:sz="6" w:space="0" w:color="000000"/>
            </w:tcBorders>
            <w:shd w:fill="FFFFFF" w:val="clear"/>
            <w:tcMar>
              <w:bottom w:w="0" w:type="dxa"/>
            </w:tcMar>
            <w:vAlign w:val="center"/>
          </w:tcPr>
          <w:p>
            <w:pPr>
              <w:pStyle w:val="TableContents"/>
              <w:bidi w:val="0"/>
              <w:spacing w:before="0" w:after="0"/>
              <w:jc w:val="left"/>
              <w:rPr>
                <w:color w:val="333333"/>
              </w:rPr>
            </w:pPr>
            <w:r>
              <w:rPr>
                <w:color w:val="333333"/>
              </w:rPr>
              <w:t> </w:t>
            </w:r>
          </w:p>
        </w:tc>
        <w:tc>
          <w:tcPr>
            <w:tcW w:w="686" w:type="dxa"/>
            <w:tcBorders>
              <w:top w:val="double" w:sz="6" w:space="0" w:color="000000"/>
            </w:tcBorders>
            <w:shd w:fill="FFFFFF" w:val="clear"/>
            <w:tcMar>
              <w:bottom w:w="0" w:type="dxa"/>
            </w:tcMar>
            <w:vAlign w:val="center"/>
          </w:tcPr>
          <w:p>
            <w:pPr>
              <w:pStyle w:val="TableContents"/>
              <w:bidi w:val="0"/>
              <w:spacing w:before="0" w:after="0"/>
              <w:jc w:val="right"/>
              <w:rPr>
                <w:color w:val="333333"/>
              </w:rPr>
            </w:pPr>
            <w:r>
              <w:rPr>
                <w:color w:val="333333"/>
              </w:rPr>
              <w:t> </w:t>
            </w:r>
          </w:p>
        </w:tc>
        <w:tc>
          <w:tcPr>
            <w:tcW w:w="60" w:type="dxa"/>
            <w:tcBorders>
              <w:top w:val="double" w:sz="6" w:space="0" w:color="000000"/>
            </w:tcBorders>
            <w:shd w:fill="FFFFFF" w:val="clear"/>
            <w:tcMar>
              <w:bottom w:w="0" w:type="dxa"/>
            </w:tcMar>
            <w:vAlign w:val="center"/>
          </w:tcPr>
          <w:p>
            <w:pPr>
              <w:pStyle w:val="TableContents"/>
              <w:bidi w:val="0"/>
              <w:spacing w:before="0" w:after="0"/>
              <w:jc w:val="left"/>
              <w:rPr>
                <w:color w:val="333333"/>
              </w:rPr>
            </w:pPr>
            <w:r>
              <w:rPr>
                <w:color w:val="333333"/>
              </w:rPr>
              <w:t> </w:t>
            </w:r>
          </w:p>
        </w:tc>
        <w:tc>
          <w:tcPr>
            <w:tcW w:w="110" w:type="dxa"/>
            <w:tcBorders>
              <w:top w:val="double" w:sz="6" w:space="0" w:color="000000"/>
            </w:tcBorders>
            <w:shd w:fill="FFFFFF" w:val="clear"/>
            <w:tcMar>
              <w:bottom w:w="0" w:type="dxa"/>
            </w:tcMar>
            <w:vAlign w:val="center"/>
          </w:tcPr>
          <w:p>
            <w:pPr>
              <w:pStyle w:val="TableContents"/>
              <w:bidi w:val="0"/>
              <w:spacing w:before="0" w:after="0"/>
              <w:jc w:val="left"/>
              <w:rPr>
                <w:color w:val="333333"/>
              </w:rPr>
            </w:pPr>
            <w:r>
              <w:rPr>
                <w:color w:val="333333"/>
              </w:rPr>
              <w:t> </w:t>
            </w:r>
          </w:p>
        </w:tc>
        <w:tc>
          <w:tcPr>
            <w:tcW w:w="693" w:type="dxa"/>
            <w:tcBorders>
              <w:top w:val="double" w:sz="6" w:space="0" w:color="000000"/>
            </w:tcBorders>
            <w:shd w:fill="FFFFFF" w:val="clear"/>
            <w:tcMar>
              <w:bottom w:w="0" w:type="dxa"/>
            </w:tcMar>
            <w:vAlign w:val="center"/>
          </w:tcPr>
          <w:p>
            <w:pPr>
              <w:pStyle w:val="TableContents"/>
              <w:bidi w:val="0"/>
              <w:spacing w:before="0" w:after="0"/>
              <w:jc w:val="right"/>
              <w:rPr>
                <w:color w:val="333333"/>
              </w:rPr>
            </w:pPr>
            <w:r>
              <w:rPr>
                <w:color w:val="333333"/>
              </w:rPr>
              <w:t> </w:t>
            </w:r>
          </w:p>
        </w:tc>
        <w:tc>
          <w:tcPr>
            <w:tcW w:w="60" w:type="dxa"/>
            <w:tcBorders>
              <w:top w:val="double" w:sz="6" w:space="0" w:color="000000"/>
            </w:tcBorders>
            <w:shd w:fill="FFFFFF" w:val="clear"/>
            <w:tcMar>
              <w:bottom w:w="0" w:type="dxa"/>
            </w:tcMar>
            <w:vAlign w:val="center"/>
          </w:tcPr>
          <w:p>
            <w:pPr>
              <w:pStyle w:val="TableContents"/>
              <w:bidi w:val="0"/>
              <w:spacing w:before="0" w:after="0"/>
              <w:jc w:val="left"/>
              <w:rPr>
                <w:color w:val="333333"/>
              </w:rPr>
            </w:pPr>
            <w:r>
              <w:rPr>
                <w:color w:val="333333"/>
              </w:rPr>
              <w:t> </w:t>
            </w:r>
          </w:p>
        </w:tc>
        <w:tc>
          <w:tcPr>
            <w:tcW w:w="110" w:type="dxa"/>
            <w:tcBorders>
              <w:top w:val="double" w:sz="6" w:space="0" w:color="000000"/>
            </w:tcBorders>
            <w:shd w:fill="FFFFFF" w:val="clear"/>
            <w:tcMar>
              <w:bottom w:w="0" w:type="dxa"/>
            </w:tcMar>
            <w:vAlign w:val="center"/>
          </w:tcPr>
          <w:p>
            <w:pPr>
              <w:pStyle w:val="TableContents"/>
              <w:bidi w:val="0"/>
              <w:spacing w:before="0" w:after="0"/>
              <w:jc w:val="left"/>
              <w:rPr>
                <w:color w:val="333333"/>
              </w:rPr>
            </w:pPr>
            <w:r>
              <w:rPr>
                <w:color w:val="333333"/>
              </w:rPr>
              <w:t> </w:t>
            </w:r>
          </w:p>
        </w:tc>
        <w:tc>
          <w:tcPr>
            <w:tcW w:w="624" w:type="dxa"/>
            <w:tcBorders>
              <w:top w:val="double" w:sz="6" w:space="0" w:color="000000"/>
            </w:tcBorders>
            <w:shd w:fill="FFFFFF" w:val="clear"/>
            <w:tcMar>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25</w:t>
            </w:r>
          </w:p>
        </w:tc>
      </w:tr>
      <w:tr>
        <w:trPr/>
        <w:tc>
          <w:tcPr>
            <w:tcW w:w="1037" w:type="dxa"/>
            <w:tcBorders/>
            <w:shd w:fill="CCEEFF" w:val="clear"/>
            <w:tcMar>
              <w:top w:w="0" w:type="dxa"/>
              <w:bottom w:w="0" w:type="dxa"/>
            </w:tcMar>
            <w:vAlign w:val="center"/>
          </w:tcPr>
          <w:p>
            <w:pPr>
              <w:pStyle w:val="TableContents"/>
              <w:bidi w:val="0"/>
              <w:spacing w:before="0" w:after="0"/>
              <w:jc w:val="left"/>
              <w:rPr>
                <w:sz w:val="16"/>
              </w:rPr>
            </w:pPr>
            <w:r>
              <w:rPr>
                <w:rFonts w:ascii="Times New Roman" w:hAnsi="Times New Roman"/>
                <w:sz w:val="16"/>
              </w:rPr>
              <w:t>Preferred dividend declared ($476.56</w:t>
            </w:r>
            <w:r>
              <w:rPr>
                <w:sz w:val="16"/>
              </w:rPr>
              <w:t xml:space="preserve"> </w:t>
            </w:r>
            <w:r>
              <w:rPr>
                <w:rFonts w:ascii="Times New Roman" w:hAnsi="Times New Roman"/>
                <w:sz w:val="16"/>
              </w:rPr>
              <w:t>per share)</w:t>
            </w:r>
          </w:p>
        </w:tc>
        <w:tc>
          <w:tcPr>
            <w:tcW w:w="96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11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605"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96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11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605"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96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11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605"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11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116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11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686" w:type="dxa"/>
            <w:tcBorders/>
            <w:shd w:fill="CCEE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(2,669)</w:t>
            </w:r>
          </w:p>
        </w:tc>
        <w:tc>
          <w:tcPr>
            <w:tcW w:w="6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11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693"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11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624" w:type="dxa"/>
            <w:tcBorders/>
            <w:shd w:fill="CCEE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(2,669)</w:t>
            </w:r>
          </w:p>
        </w:tc>
      </w:tr>
      <w:tr>
        <w:trPr/>
        <w:tc>
          <w:tcPr>
            <w:tcW w:w="1037" w:type="dxa"/>
            <w:tcBorders/>
            <w:shd w:fill="FFFFFF" w:val="clear"/>
            <w:tcMar>
              <w:top w:w="0" w:type="dxa"/>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Restricted stock amortization, issuances and forfeitures</w:t>
            </w:r>
          </w:p>
        </w:tc>
        <w:tc>
          <w:tcPr>
            <w:tcW w:w="960" w:type="dxa"/>
            <w:tcBorders/>
            <w:shd w:fill="FFFF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61,595</w:t>
            </w:r>
          </w:p>
        </w:tc>
        <w:tc>
          <w:tcPr>
            <w:tcW w:w="6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11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605" w:type="dxa"/>
            <w:tcBorders/>
            <w:shd w:fill="FFFF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w:t>
            </w:r>
          </w:p>
        </w:tc>
        <w:tc>
          <w:tcPr>
            <w:tcW w:w="6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960" w:type="dxa"/>
            <w:tcBorders/>
            <w:shd w:fill="FFFF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31,042</w:t>
            </w:r>
          </w:p>
        </w:tc>
        <w:tc>
          <w:tcPr>
            <w:tcW w:w="6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11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605"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960"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11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605"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11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1160" w:type="dxa"/>
            <w:tcBorders/>
            <w:shd w:fill="FFFF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927</w:t>
            </w:r>
          </w:p>
        </w:tc>
        <w:tc>
          <w:tcPr>
            <w:tcW w:w="6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11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686"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11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693" w:type="dxa"/>
            <w:tcBorders/>
            <w:shd w:fill="FFFF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110" w:type="dxa"/>
            <w:tcBorders/>
            <w:shd w:fill="FFFFFF" w:val="clear"/>
            <w:tcMar>
              <w:top w:w="0" w:type="dxa"/>
              <w:bottom w:w="0" w:type="dxa"/>
            </w:tcMar>
            <w:vAlign w:val="center"/>
          </w:tcPr>
          <w:p>
            <w:pPr>
              <w:pStyle w:val="TableContents"/>
              <w:bidi w:val="0"/>
              <w:spacing w:before="0" w:after="0"/>
              <w:jc w:val="left"/>
              <w:rPr>
                <w:color w:val="333333"/>
              </w:rPr>
            </w:pPr>
            <w:r>
              <w:rPr>
                <w:color w:val="333333"/>
              </w:rPr>
              <w:t> </w:t>
            </w:r>
          </w:p>
        </w:tc>
        <w:tc>
          <w:tcPr>
            <w:tcW w:w="624" w:type="dxa"/>
            <w:tcBorders/>
            <w:shd w:fill="FFFF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928</w:t>
            </w:r>
          </w:p>
        </w:tc>
      </w:tr>
      <w:tr>
        <w:trPr/>
        <w:tc>
          <w:tcPr>
            <w:tcW w:w="1037" w:type="dxa"/>
            <w:tcBorders/>
            <w:shd w:fill="CCEEFF" w:val="clear"/>
            <w:tcMar>
              <w:top w:w="0" w:type="dxa"/>
              <w:bottom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Share repurchases, including excise taxes</w:t>
            </w:r>
          </w:p>
        </w:tc>
        <w:tc>
          <w:tcPr>
            <w:tcW w:w="960" w:type="dxa"/>
            <w:tcBorders/>
            <w:shd w:fill="CCEE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w:t>
            </w:r>
          </w:p>
        </w:tc>
        <w:tc>
          <w:tcPr>
            <w:tcW w:w="6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11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605"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96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11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605"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96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11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605"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11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1160"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11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686" w:type="dxa"/>
            <w:tcBorders/>
            <w:shd w:fill="CCEEFF" w:val="clear"/>
            <w:tcMar>
              <w:top w:w="0" w:type="dxa"/>
              <w:bottom w:w="0" w:type="dxa"/>
            </w:tcMar>
            <w:vAlign w:val="center"/>
          </w:tcPr>
          <w:p>
            <w:pPr>
              <w:pStyle w:val="TableContents"/>
              <w:bidi w:val="0"/>
              <w:spacing w:before="0" w:after="0"/>
              <w:jc w:val="right"/>
              <w:rPr>
                <w:color w:val="333333"/>
              </w:rPr>
            </w:pPr>
            <w:r>
              <w:rPr>
                <w:color w:val="333333"/>
              </w:rPr>
              <w:t> </w:t>
            </w:r>
          </w:p>
        </w:tc>
        <w:tc>
          <w:tcPr>
            <w:tcW w:w="6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11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693" w:type="dxa"/>
            <w:tcBorders/>
            <w:shd w:fill="CCEE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94</w:t>
            </w:r>
          </w:p>
        </w:tc>
        <w:tc>
          <w:tcPr>
            <w:tcW w:w="6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110" w:type="dxa"/>
            <w:tcBorders/>
            <w:shd w:fill="CCEEFF" w:val="clear"/>
            <w:tcMar>
              <w:top w:w="0" w:type="dxa"/>
              <w:bottom w:w="0" w:type="dxa"/>
            </w:tcMar>
            <w:vAlign w:val="center"/>
          </w:tcPr>
          <w:p>
            <w:pPr>
              <w:pStyle w:val="TableContents"/>
              <w:bidi w:val="0"/>
              <w:spacing w:before="0" w:after="0"/>
              <w:jc w:val="left"/>
              <w:rPr>
                <w:color w:val="333333"/>
              </w:rPr>
            </w:pPr>
            <w:r>
              <w:rPr>
                <w:color w:val="333333"/>
              </w:rPr>
              <w:t> </w:t>
            </w:r>
          </w:p>
        </w:tc>
        <w:tc>
          <w:tcPr>
            <w:tcW w:w="624" w:type="dxa"/>
            <w:tcBorders/>
            <w:shd w:fill="CCEEFF" w:val="clear"/>
            <w:tcMar>
              <w:top w:w="0" w:type="dxa"/>
              <w:bottom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94</w:t>
            </w:r>
          </w:p>
        </w:tc>
      </w:tr>
      <w:tr>
        <w:trPr/>
        <w:tc>
          <w:tcPr>
            <w:tcW w:w="1037" w:type="dxa"/>
            <w:tcBorders>
              <w:bottom w:val="single" w:sz="8" w:space="0" w:color="000000"/>
            </w:tcBorders>
            <w:shd w:fill="FFFFFF" w:val="clear"/>
            <w:tcMar>
              <w:top w:w="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Net income</w:t>
            </w:r>
          </w:p>
        </w:tc>
        <w:tc>
          <w:tcPr>
            <w:tcW w:w="960" w:type="dxa"/>
            <w:tcBorders>
              <w:bottom w:val="single" w:sz="8" w:space="0" w:color="000000"/>
            </w:tcBorders>
            <w:shd w:fill="FFFFFF" w:val="clear"/>
            <w:tcMar>
              <w:top w:w="0" w:type="dxa"/>
            </w:tcMar>
            <w:vAlign w:val="center"/>
          </w:tcPr>
          <w:p>
            <w:pPr>
              <w:pStyle w:val="TableContents"/>
              <w:bidi w:val="0"/>
              <w:spacing w:before="0" w:after="0"/>
              <w:jc w:val="right"/>
              <w:rPr>
                <w:color w:val="333333"/>
              </w:rPr>
            </w:pPr>
            <w:r>
              <w:rPr>
                <w:color w:val="333333"/>
              </w:rPr>
              <w:t> </w:t>
            </w:r>
          </w:p>
        </w:tc>
        <w:tc>
          <w:tcPr>
            <w:tcW w:w="60" w:type="dxa"/>
            <w:tcBorders>
              <w:bottom w:val="single" w:sz="8" w:space="0" w:color="000000"/>
            </w:tcBorders>
            <w:shd w:fill="FFFFFF" w:val="clear"/>
            <w:tcMar>
              <w:top w:w="0" w:type="dxa"/>
            </w:tcMar>
            <w:vAlign w:val="center"/>
          </w:tcPr>
          <w:p>
            <w:pPr>
              <w:pStyle w:val="TableContents"/>
              <w:bidi w:val="0"/>
              <w:spacing w:before="0" w:after="0"/>
              <w:jc w:val="left"/>
              <w:rPr>
                <w:color w:val="333333"/>
              </w:rPr>
            </w:pPr>
            <w:r>
              <w:rPr>
                <w:color w:val="333333"/>
              </w:rPr>
              <w:t> </w:t>
            </w:r>
          </w:p>
        </w:tc>
        <w:tc>
          <w:tcPr>
            <w:tcW w:w="110" w:type="dxa"/>
            <w:tcBorders>
              <w:bottom w:val="single" w:sz="8" w:space="0" w:color="000000"/>
            </w:tcBorders>
            <w:shd w:fill="FFFFFF" w:val="clear"/>
            <w:tcMar>
              <w:top w:w="0" w:type="dxa"/>
            </w:tcMar>
            <w:vAlign w:val="center"/>
          </w:tcPr>
          <w:p>
            <w:pPr>
              <w:pStyle w:val="TableContents"/>
              <w:bidi w:val="0"/>
              <w:spacing w:before="0" w:after="0"/>
              <w:jc w:val="left"/>
              <w:rPr>
                <w:color w:val="333333"/>
              </w:rPr>
            </w:pPr>
            <w:r>
              <w:rPr>
                <w:color w:val="333333"/>
              </w:rPr>
              <w:t> </w:t>
            </w:r>
          </w:p>
        </w:tc>
        <w:tc>
          <w:tcPr>
            <w:tcW w:w="605" w:type="dxa"/>
            <w:tcBorders>
              <w:bottom w:val="single" w:sz="8" w:space="0" w:color="000000"/>
            </w:tcBorders>
            <w:shd w:fill="FFFFFF" w:val="clear"/>
            <w:tcMar>
              <w:top w:w="0" w:type="dxa"/>
            </w:tcMar>
            <w:vAlign w:val="center"/>
          </w:tcPr>
          <w:p>
            <w:pPr>
              <w:pStyle w:val="TableContents"/>
              <w:bidi w:val="0"/>
              <w:spacing w:before="0" w:after="0"/>
              <w:jc w:val="right"/>
              <w:rPr>
                <w:color w:val="333333"/>
              </w:rPr>
            </w:pPr>
            <w:r>
              <w:rPr>
                <w:color w:val="333333"/>
              </w:rPr>
              <w:t> </w:t>
            </w:r>
          </w:p>
        </w:tc>
        <w:tc>
          <w:tcPr>
            <w:tcW w:w="60" w:type="dxa"/>
            <w:tcBorders>
              <w:bottom w:val="single" w:sz="8" w:space="0" w:color="000000"/>
            </w:tcBorders>
            <w:shd w:fill="FFFFFF" w:val="clear"/>
            <w:tcMar>
              <w:top w:w="0" w:type="dxa"/>
            </w:tcMar>
            <w:vAlign w:val="center"/>
          </w:tcPr>
          <w:p>
            <w:pPr>
              <w:pStyle w:val="TableContents"/>
              <w:bidi w:val="0"/>
              <w:spacing w:before="0" w:after="0"/>
              <w:jc w:val="left"/>
              <w:rPr>
                <w:color w:val="333333"/>
              </w:rPr>
            </w:pPr>
            <w:r>
              <w:rPr>
                <w:color w:val="333333"/>
              </w:rPr>
              <w:t> </w:t>
            </w:r>
          </w:p>
        </w:tc>
        <w:tc>
          <w:tcPr>
            <w:tcW w:w="960" w:type="dxa"/>
            <w:tcBorders>
              <w:bottom w:val="single" w:sz="8" w:space="0" w:color="000000"/>
            </w:tcBorders>
            <w:shd w:fill="FFFFFF" w:val="clear"/>
            <w:tcMar>
              <w:top w:w="0" w:type="dxa"/>
            </w:tcMar>
            <w:vAlign w:val="center"/>
          </w:tcPr>
          <w:p>
            <w:pPr>
              <w:pStyle w:val="TableContents"/>
              <w:bidi w:val="0"/>
              <w:spacing w:before="0" w:after="0"/>
              <w:jc w:val="right"/>
              <w:rPr>
                <w:color w:val="333333"/>
              </w:rPr>
            </w:pPr>
            <w:r>
              <w:rPr>
                <w:color w:val="333333"/>
              </w:rPr>
              <w:t> </w:t>
            </w:r>
          </w:p>
        </w:tc>
        <w:tc>
          <w:tcPr>
            <w:tcW w:w="60" w:type="dxa"/>
            <w:tcBorders>
              <w:bottom w:val="single" w:sz="8" w:space="0" w:color="000000"/>
            </w:tcBorders>
            <w:shd w:fill="FFFFFF" w:val="clear"/>
            <w:tcMar>
              <w:top w:w="0" w:type="dxa"/>
            </w:tcMar>
            <w:vAlign w:val="center"/>
          </w:tcPr>
          <w:p>
            <w:pPr>
              <w:pStyle w:val="TableContents"/>
              <w:bidi w:val="0"/>
              <w:spacing w:before="0" w:after="0"/>
              <w:jc w:val="left"/>
              <w:rPr>
                <w:color w:val="333333"/>
              </w:rPr>
            </w:pPr>
            <w:r>
              <w:rPr>
                <w:color w:val="333333"/>
              </w:rPr>
              <w:t> </w:t>
            </w:r>
          </w:p>
        </w:tc>
        <w:tc>
          <w:tcPr>
            <w:tcW w:w="110" w:type="dxa"/>
            <w:tcBorders>
              <w:bottom w:val="single" w:sz="8" w:space="0" w:color="000000"/>
            </w:tcBorders>
            <w:shd w:fill="FFFFFF" w:val="clear"/>
            <w:tcMar>
              <w:top w:w="0" w:type="dxa"/>
            </w:tcMar>
            <w:vAlign w:val="center"/>
          </w:tcPr>
          <w:p>
            <w:pPr>
              <w:pStyle w:val="TableContents"/>
              <w:bidi w:val="0"/>
              <w:spacing w:before="0" w:after="0"/>
              <w:jc w:val="left"/>
              <w:rPr>
                <w:color w:val="333333"/>
              </w:rPr>
            </w:pPr>
            <w:r>
              <w:rPr>
                <w:color w:val="333333"/>
              </w:rPr>
              <w:t> </w:t>
            </w:r>
          </w:p>
        </w:tc>
        <w:tc>
          <w:tcPr>
            <w:tcW w:w="605" w:type="dxa"/>
            <w:tcBorders>
              <w:bottom w:val="single" w:sz="8" w:space="0" w:color="000000"/>
            </w:tcBorders>
            <w:shd w:fill="FFFFFF" w:val="clear"/>
            <w:tcMar>
              <w:top w:w="0" w:type="dxa"/>
            </w:tcMar>
            <w:vAlign w:val="center"/>
          </w:tcPr>
          <w:p>
            <w:pPr>
              <w:pStyle w:val="TableContents"/>
              <w:bidi w:val="0"/>
              <w:spacing w:before="0" w:after="0"/>
              <w:jc w:val="right"/>
              <w:rPr>
                <w:color w:val="333333"/>
              </w:rPr>
            </w:pPr>
            <w:r>
              <w:rPr>
                <w:color w:val="333333"/>
              </w:rPr>
              <w:t> </w:t>
            </w:r>
          </w:p>
        </w:tc>
        <w:tc>
          <w:tcPr>
            <w:tcW w:w="60" w:type="dxa"/>
            <w:tcBorders>
              <w:bottom w:val="single" w:sz="8" w:space="0" w:color="000000"/>
            </w:tcBorders>
            <w:shd w:fill="FFFFFF" w:val="clear"/>
            <w:tcMar>
              <w:top w:w="0" w:type="dxa"/>
            </w:tcMar>
            <w:vAlign w:val="center"/>
          </w:tcPr>
          <w:p>
            <w:pPr>
              <w:pStyle w:val="TableContents"/>
              <w:bidi w:val="0"/>
              <w:spacing w:before="0" w:after="0"/>
              <w:jc w:val="left"/>
              <w:rPr>
                <w:color w:val="333333"/>
              </w:rPr>
            </w:pPr>
            <w:r>
              <w:rPr>
                <w:color w:val="333333"/>
              </w:rPr>
              <w:t> </w:t>
            </w:r>
          </w:p>
        </w:tc>
        <w:tc>
          <w:tcPr>
            <w:tcW w:w="960" w:type="dxa"/>
            <w:tcBorders>
              <w:bottom w:val="single" w:sz="8" w:space="0" w:color="000000"/>
            </w:tcBorders>
            <w:shd w:fill="FFFFFF" w:val="clear"/>
            <w:tcMar>
              <w:top w:w="0" w:type="dxa"/>
            </w:tcMar>
            <w:vAlign w:val="center"/>
          </w:tcPr>
          <w:p>
            <w:pPr>
              <w:pStyle w:val="TableContents"/>
              <w:bidi w:val="0"/>
              <w:spacing w:before="0" w:after="0"/>
              <w:jc w:val="right"/>
              <w:rPr>
                <w:color w:val="333333"/>
              </w:rPr>
            </w:pPr>
            <w:r>
              <w:rPr>
                <w:color w:val="333333"/>
              </w:rPr>
              <w:t> </w:t>
            </w:r>
          </w:p>
        </w:tc>
        <w:tc>
          <w:tcPr>
            <w:tcW w:w="60" w:type="dxa"/>
            <w:tcBorders>
              <w:bottom w:val="single" w:sz="8" w:space="0" w:color="000000"/>
            </w:tcBorders>
            <w:shd w:fill="FFFFFF" w:val="clear"/>
            <w:tcMar>
              <w:top w:w="0" w:type="dxa"/>
            </w:tcMar>
            <w:vAlign w:val="center"/>
          </w:tcPr>
          <w:p>
            <w:pPr>
              <w:pStyle w:val="TableContents"/>
              <w:bidi w:val="0"/>
              <w:spacing w:before="0" w:after="0"/>
              <w:jc w:val="left"/>
              <w:rPr>
                <w:color w:val="333333"/>
              </w:rPr>
            </w:pPr>
            <w:r>
              <w:rPr>
                <w:color w:val="333333"/>
              </w:rPr>
              <w:t> </w:t>
            </w:r>
          </w:p>
        </w:tc>
        <w:tc>
          <w:tcPr>
            <w:tcW w:w="110" w:type="dxa"/>
            <w:tcBorders>
              <w:bottom w:val="single" w:sz="8" w:space="0" w:color="000000"/>
            </w:tcBorders>
            <w:shd w:fill="FFFFFF" w:val="clear"/>
            <w:tcMar>
              <w:top w:w="0" w:type="dxa"/>
            </w:tcMar>
            <w:vAlign w:val="center"/>
          </w:tcPr>
          <w:p>
            <w:pPr>
              <w:pStyle w:val="TableContents"/>
              <w:bidi w:val="0"/>
              <w:spacing w:before="0" w:after="0"/>
              <w:jc w:val="left"/>
              <w:rPr>
                <w:color w:val="333333"/>
              </w:rPr>
            </w:pPr>
            <w:r>
              <w:rPr>
                <w:color w:val="333333"/>
              </w:rPr>
              <w:t> </w:t>
            </w:r>
          </w:p>
        </w:tc>
        <w:tc>
          <w:tcPr>
            <w:tcW w:w="605" w:type="dxa"/>
            <w:tcBorders>
              <w:bottom w:val="single" w:sz="8" w:space="0" w:color="000000"/>
            </w:tcBorders>
            <w:shd w:fill="FFFFFF" w:val="clear"/>
            <w:tcMar>
              <w:top w:w="0" w:type="dxa"/>
            </w:tcMar>
            <w:vAlign w:val="center"/>
          </w:tcPr>
          <w:p>
            <w:pPr>
              <w:pStyle w:val="TableContents"/>
              <w:bidi w:val="0"/>
              <w:spacing w:before="0" w:after="0"/>
              <w:jc w:val="right"/>
              <w:rPr>
                <w:color w:val="333333"/>
              </w:rPr>
            </w:pPr>
            <w:r>
              <w:rPr>
                <w:color w:val="333333"/>
              </w:rPr>
              <w:t> </w:t>
            </w:r>
          </w:p>
        </w:tc>
        <w:tc>
          <w:tcPr>
            <w:tcW w:w="60" w:type="dxa"/>
            <w:tcBorders>
              <w:bottom w:val="single" w:sz="8" w:space="0" w:color="000000"/>
            </w:tcBorders>
            <w:shd w:fill="FFFFFF" w:val="clear"/>
            <w:tcMar>
              <w:top w:w="0" w:type="dxa"/>
            </w:tcMar>
            <w:vAlign w:val="center"/>
          </w:tcPr>
          <w:p>
            <w:pPr>
              <w:pStyle w:val="TableContents"/>
              <w:bidi w:val="0"/>
              <w:spacing w:before="0" w:after="0"/>
              <w:jc w:val="left"/>
              <w:rPr>
                <w:color w:val="333333"/>
              </w:rPr>
            </w:pPr>
            <w:r>
              <w:rPr>
                <w:color w:val="333333"/>
              </w:rPr>
              <w:t> </w:t>
            </w:r>
          </w:p>
        </w:tc>
        <w:tc>
          <w:tcPr>
            <w:tcW w:w="110" w:type="dxa"/>
            <w:tcBorders>
              <w:bottom w:val="single" w:sz="8" w:space="0" w:color="000000"/>
            </w:tcBorders>
            <w:shd w:fill="FFFFFF" w:val="clear"/>
            <w:tcMar>
              <w:top w:w="0" w:type="dxa"/>
            </w:tcMar>
            <w:vAlign w:val="center"/>
          </w:tcPr>
          <w:p>
            <w:pPr>
              <w:pStyle w:val="TableContents"/>
              <w:bidi w:val="0"/>
              <w:spacing w:before="0" w:after="0"/>
              <w:jc w:val="left"/>
              <w:rPr>
                <w:color w:val="333333"/>
              </w:rPr>
            </w:pPr>
            <w:r>
              <w:rPr>
                <w:color w:val="333333"/>
              </w:rPr>
              <w:t> </w:t>
            </w:r>
          </w:p>
        </w:tc>
        <w:tc>
          <w:tcPr>
            <w:tcW w:w="1160" w:type="dxa"/>
            <w:tcBorders>
              <w:bottom w:val="single" w:sz="8" w:space="0" w:color="000000"/>
            </w:tcBorders>
            <w:shd w:fill="FFFFFF" w:val="clear"/>
            <w:tcMar>
              <w:top w:w="0" w:type="dxa"/>
            </w:tcMar>
            <w:vAlign w:val="center"/>
          </w:tcPr>
          <w:p>
            <w:pPr>
              <w:pStyle w:val="TableContents"/>
              <w:bidi w:val="0"/>
              <w:spacing w:before="0" w:after="0"/>
              <w:jc w:val="right"/>
              <w:rPr>
                <w:color w:val="333333"/>
              </w:rPr>
            </w:pPr>
            <w:r>
              <w:rPr>
                <w:color w:val="333333"/>
              </w:rPr>
              <w:t> </w:t>
            </w:r>
          </w:p>
        </w:tc>
        <w:tc>
          <w:tcPr>
            <w:tcW w:w="60" w:type="dxa"/>
            <w:tcBorders>
              <w:bottom w:val="single" w:sz="8" w:space="0" w:color="000000"/>
            </w:tcBorders>
            <w:shd w:fill="FFFFFF" w:val="clear"/>
            <w:tcMar>
              <w:top w:w="0" w:type="dxa"/>
            </w:tcMar>
            <w:vAlign w:val="center"/>
          </w:tcPr>
          <w:p>
            <w:pPr>
              <w:pStyle w:val="TableContents"/>
              <w:bidi w:val="0"/>
              <w:spacing w:before="0" w:after="0"/>
              <w:jc w:val="left"/>
              <w:rPr>
                <w:color w:val="333333"/>
              </w:rPr>
            </w:pPr>
            <w:r>
              <w:rPr>
                <w:color w:val="333333"/>
              </w:rPr>
              <w:t> </w:t>
            </w:r>
          </w:p>
        </w:tc>
        <w:tc>
          <w:tcPr>
            <w:tcW w:w="110" w:type="dxa"/>
            <w:tcBorders>
              <w:bottom w:val="single" w:sz="8" w:space="0" w:color="000000"/>
            </w:tcBorders>
            <w:shd w:fill="FFFFFF" w:val="clear"/>
            <w:tcMar>
              <w:top w:w="0" w:type="dxa"/>
            </w:tcMar>
            <w:vAlign w:val="center"/>
          </w:tcPr>
          <w:p>
            <w:pPr>
              <w:pStyle w:val="TableContents"/>
              <w:bidi w:val="0"/>
              <w:spacing w:before="0" w:after="0"/>
              <w:jc w:val="left"/>
              <w:rPr>
                <w:color w:val="333333"/>
              </w:rPr>
            </w:pPr>
            <w:r>
              <w:rPr>
                <w:color w:val="333333"/>
              </w:rPr>
              <w:t> </w:t>
            </w:r>
          </w:p>
        </w:tc>
        <w:tc>
          <w:tcPr>
            <w:tcW w:w="686" w:type="dxa"/>
            <w:tcBorders>
              <w:bottom w:val="single" w:sz="8" w:space="0" w:color="000000"/>
            </w:tcBorders>
            <w:shd w:fill="FFFFFF" w:val="clear"/>
            <w:tcMar>
              <w:top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16,615</w:t>
            </w:r>
          </w:p>
        </w:tc>
        <w:tc>
          <w:tcPr>
            <w:tcW w:w="60" w:type="dxa"/>
            <w:tcBorders>
              <w:bottom w:val="single" w:sz="8" w:space="0" w:color="000000"/>
            </w:tcBorders>
            <w:shd w:fill="FFFFFF" w:val="clear"/>
            <w:tcMar>
              <w:top w:w="0" w:type="dxa"/>
            </w:tcMar>
            <w:vAlign w:val="center"/>
          </w:tcPr>
          <w:p>
            <w:pPr>
              <w:pStyle w:val="TableContents"/>
              <w:bidi w:val="0"/>
              <w:spacing w:before="0" w:after="0"/>
              <w:jc w:val="left"/>
              <w:rPr>
                <w:color w:val="333333"/>
              </w:rPr>
            </w:pPr>
            <w:r>
              <w:rPr>
                <w:color w:val="333333"/>
              </w:rPr>
              <w:t> </w:t>
            </w:r>
          </w:p>
        </w:tc>
        <w:tc>
          <w:tcPr>
            <w:tcW w:w="110" w:type="dxa"/>
            <w:tcBorders>
              <w:bottom w:val="single" w:sz="8" w:space="0" w:color="000000"/>
            </w:tcBorders>
            <w:shd w:fill="FFFFFF" w:val="clear"/>
            <w:tcMar>
              <w:top w:w="0" w:type="dxa"/>
            </w:tcMar>
            <w:vAlign w:val="center"/>
          </w:tcPr>
          <w:p>
            <w:pPr>
              <w:pStyle w:val="TableContents"/>
              <w:bidi w:val="0"/>
              <w:spacing w:before="0" w:after="0"/>
              <w:jc w:val="left"/>
              <w:rPr>
                <w:color w:val="333333"/>
              </w:rPr>
            </w:pPr>
            <w:r>
              <w:rPr>
                <w:color w:val="333333"/>
              </w:rPr>
              <w:t> </w:t>
            </w:r>
          </w:p>
        </w:tc>
        <w:tc>
          <w:tcPr>
            <w:tcW w:w="693" w:type="dxa"/>
            <w:tcBorders>
              <w:bottom w:val="single" w:sz="8" w:space="0" w:color="000000"/>
            </w:tcBorders>
            <w:shd w:fill="FFFFFF" w:val="clear"/>
            <w:tcMar>
              <w:top w:w="0" w:type="dxa"/>
            </w:tcMar>
            <w:vAlign w:val="center"/>
          </w:tcPr>
          <w:p>
            <w:pPr>
              <w:pStyle w:val="TableContents"/>
              <w:bidi w:val="0"/>
              <w:spacing w:before="0" w:after="0"/>
              <w:jc w:val="right"/>
              <w:rPr>
                <w:color w:val="333333"/>
              </w:rPr>
            </w:pPr>
            <w:r>
              <w:rPr>
                <w:color w:val="333333"/>
              </w:rPr>
              <w:t> </w:t>
            </w:r>
          </w:p>
        </w:tc>
        <w:tc>
          <w:tcPr>
            <w:tcW w:w="60" w:type="dxa"/>
            <w:tcBorders>
              <w:bottom w:val="single" w:sz="8" w:space="0" w:color="000000"/>
            </w:tcBorders>
            <w:shd w:fill="FFFFFF" w:val="clear"/>
            <w:tcMar>
              <w:top w:w="0" w:type="dxa"/>
            </w:tcMar>
            <w:vAlign w:val="center"/>
          </w:tcPr>
          <w:p>
            <w:pPr>
              <w:pStyle w:val="TableContents"/>
              <w:bidi w:val="0"/>
              <w:spacing w:before="0" w:after="0"/>
              <w:jc w:val="left"/>
              <w:rPr>
                <w:color w:val="333333"/>
              </w:rPr>
            </w:pPr>
            <w:r>
              <w:rPr>
                <w:color w:val="333333"/>
              </w:rPr>
              <w:t> </w:t>
            </w:r>
          </w:p>
        </w:tc>
        <w:tc>
          <w:tcPr>
            <w:tcW w:w="110" w:type="dxa"/>
            <w:tcBorders>
              <w:bottom w:val="single" w:sz="8" w:space="0" w:color="000000"/>
            </w:tcBorders>
            <w:shd w:fill="FFFFFF" w:val="clear"/>
            <w:tcMar>
              <w:top w:w="0" w:type="dxa"/>
            </w:tcMar>
            <w:vAlign w:val="center"/>
          </w:tcPr>
          <w:p>
            <w:pPr>
              <w:pStyle w:val="TableContents"/>
              <w:bidi w:val="0"/>
              <w:spacing w:before="0" w:after="0"/>
              <w:jc w:val="left"/>
              <w:rPr>
                <w:color w:val="333333"/>
              </w:rPr>
            </w:pPr>
            <w:r>
              <w:rPr>
                <w:color w:val="333333"/>
              </w:rPr>
              <w:t> </w:t>
            </w:r>
          </w:p>
        </w:tc>
        <w:tc>
          <w:tcPr>
            <w:tcW w:w="624" w:type="dxa"/>
            <w:tcBorders>
              <w:bottom w:val="single" w:sz="8" w:space="0" w:color="000000"/>
            </w:tcBorders>
            <w:shd w:fill="FFFFFF" w:val="clear"/>
            <w:tcMar>
              <w:top w:w="0" w:type="dxa"/>
            </w:tcM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16,615</w:t>
            </w:r>
          </w:p>
        </w:tc>
      </w:tr>
      <w:tr>
        <w:trPr/>
        <w:tc>
          <w:tcPr>
            <w:tcW w:w="1037" w:type="dxa"/>
            <w:tcBorders>
              <w:top w:val="single" w:sz="8" w:space="0" w:color="000000"/>
              <w:bottom w:val="double" w:sz="6" w:space="0" w:color="000000"/>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Balance, July 31, 2025</w:t>
            </w:r>
          </w:p>
        </w:tc>
        <w:tc>
          <w:tcPr>
            <w:tcW w:w="960" w:type="dxa"/>
            <w:tcBorders>
              <w:top w:val="single" w:sz="8"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5,131,632</w:t>
            </w:r>
          </w:p>
        </w:tc>
        <w:tc>
          <w:tcPr>
            <w:tcW w:w="60" w:type="dxa"/>
            <w:tcBorders>
              <w:top w:val="single" w:sz="8" w:space="0" w:color="000000"/>
              <w:bottom w:val="double" w:sz="6" w:space="0" w:color="000000"/>
            </w:tcBorders>
            <w:shd w:fill="CCEEFF" w:val="clear"/>
            <w:vAlign w:val="center"/>
          </w:tcPr>
          <w:p>
            <w:pPr>
              <w:pStyle w:val="TableContents"/>
              <w:bidi w:val="0"/>
              <w:spacing w:before="0" w:after="0"/>
              <w:jc w:val="left"/>
              <w:rPr>
                <w:color w:val="333333"/>
              </w:rPr>
            </w:pPr>
            <w:r>
              <w:rPr>
                <w:color w:val="333333"/>
              </w:rPr>
              <w:t> </w:t>
            </w:r>
          </w:p>
        </w:tc>
        <w:tc>
          <w:tcPr>
            <w:tcW w:w="110" w:type="dxa"/>
            <w:tcBorders>
              <w:top w:val="single" w:sz="8" w:space="0" w:color="000000"/>
              <w:bottom w:val="double" w:sz="6" w:space="0" w:color="000000"/>
            </w:tcBorders>
            <w:shd w:fill="CCEE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05" w:type="dxa"/>
            <w:tcBorders>
              <w:top w:val="single" w:sz="8"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65</w:t>
            </w:r>
          </w:p>
        </w:tc>
        <w:tc>
          <w:tcPr>
            <w:tcW w:w="60" w:type="dxa"/>
            <w:tcBorders>
              <w:top w:val="single" w:sz="8" w:space="0" w:color="000000"/>
              <w:bottom w:val="double" w:sz="6" w:space="0" w:color="000000"/>
            </w:tcBorders>
            <w:shd w:fill="CCEEFF" w:val="clear"/>
            <w:vAlign w:val="center"/>
          </w:tcPr>
          <w:p>
            <w:pPr>
              <w:pStyle w:val="TableContents"/>
              <w:bidi w:val="0"/>
              <w:spacing w:before="0" w:after="0"/>
              <w:jc w:val="left"/>
              <w:rPr>
                <w:color w:val="333333"/>
              </w:rPr>
            </w:pPr>
            <w:r>
              <w:rPr>
                <w:color w:val="333333"/>
              </w:rPr>
              <w:t> </w:t>
            </w:r>
          </w:p>
        </w:tc>
        <w:tc>
          <w:tcPr>
            <w:tcW w:w="960" w:type="dxa"/>
            <w:tcBorders>
              <w:top w:val="single" w:sz="8"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760,387</w:t>
            </w:r>
          </w:p>
        </w:tc>
        <w:tc>
          <w:tcPr>
            <w:tcW w:w="60" w:type="dxa"/>
            <w:tcBorders>
              <w:top w:val="single" w:sz="8" w:space="0" w:color="000000"/>
              <w:bottom w:val="double" w:sz="6" w:space="0" w:color="000000"/>
            </w:tcBorders>
            <w:shd w:fill="CCEEFF" w:val="clear"/>
            <w:vAlign w:val="center"/>
          </w:tcPr>
          <w:p>
            <w:pPr>
              <w:pStyle w:val="TableContents"/>
              <w:bidi w:val="0"/>
              <w:spacing w:before="0" w:after="0"/>
              <w:jc w:val="left"/>
              <w:rPr>
                <w:color w:val="333333"/>
              </w:rPr>
            </w:pPr>
            <w:r>
              <w:rPr>
                <w:color w:val="333333"/>
              </w:rPr>
              <w:t> </w:t>
            </w:r>
          </w:p>
        </w:tc>
        <w:tc>
          <w:tcPr>
            <w:tcW w:w="110" w:type="dxa"/>
            <w:tcBorders>
              <w:top w:val="single" w:sz="8" w:space="0" w:color="000000"/>
              <w:bottom w:val="double" w:sz="6" w:space="0" w:color="000000"/>
            </w:tcBorders>
            <w:shd w:fill="CCEE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05" w:type="dxa"/>
            <w:tcBorders>
              <w:top w:val="single" w:sz="8"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8</w:t>
            </w:r>
          </w:p>
        </w:tc>
        <w:tc>
          <w:tcPr>
            <w:tcW w:w="60" w:type="dxa"/>
            <w:tcBorders>
              <w:top w:val="single" w:sz="8" w:space="0" w:color="000000"/>
              <w:bottom w:val="double" w:sz="6" w:space="0" w:color="000000"/>
            </w:tcBorders>
            <w:shd w:fill="CCEEFF" w:val="clear"/>
            <w:vAlign w:val="center"/>
          </w:tcPr>
          <w:p>
            <w:pPr>
              <w:pStyle w:val="TableContents"/>
              <w:bidi w:val="0"/>
              <w:spacing w:before="0" w:after="0"/>
              <w:jc w:val="left"/>
              <w:rPr>
                <w:color w:val="333333"/>
              </w:rPr>
            </w:pPr>
            <w:r>
              <w:rPr>
                <w:color w:val="333333"/>
              </w:rPr>
              <w:t> </w:t>
            </w:r>
          </w:p>
        </w:tc>
        <w:tc>
          <w:tcPr>
            <w:tcW w:w="960" w:type="dxa"/>
            <w:tcBorders>
              <w:top w:val="single" w:sz="8"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5,600</w:t>
            </w:r>
          </w:p>
        </w:tc>
        <w:tc>
          <w:tcPr>
            <w:tcW w:w="60" w:type="dxa"/>
            <w:tcBorders>
              <w:top w:val="single" w:sz="8" w:space="0" w:color="000000"/>
              <w:bottom w:val="double" w:sz="6" w:space="0" w:color="000000"/>
            </w:tcBorders>
            <w:shd w:fill="CCEEFF" w:val="clear"/>
            <w:vAlign w:val="center"/>
          </w:tcPr>
          <w:p>
            <w:pPr>
              <w:pStyle w:val="TableContents"/>
              <w:bidi w:val="0"/>
              <w:spacing w:before="0" w:after="0"/>
              <w:jc w:val="left"/>
              <w:rPr>
                <w:color w:val="333333"/>
              </w:rPr>
            </w:pPr>
            <w:r>
              <w:rPr>
                <w:color w:val="333333"/>
              </w:rPr>
              <w:t> </w:t>
            </w:r>
          </w:p>
        </w:tc>
        <w:tc>
          <w:tcPr>
            <w:tcW w:w="110" w:type="dxa"/>
            <w:tcBorders>
              <w:top w:val="single" w:sz="8" w:space="0" w:color="000000"/>
              <w:bottom w:val="double" w:sz="6" w:space="0" w:color="000000"/>
            </w:tcBorders>
            <w:shd w:fill="CCEE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05" w:type="dxa"/>
            <w:tcBorders>
              <w:top w:val="single" w:sz="8"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135,299</w:t>
            </w:r>
          </w:p>
        </w:tc>
        <w:tc>
          <w:tcPr>
            <w:tcW w:w="60" w:type="dxa"/>
            <w:tcBorders>
              <w:top w:val="single" w:sz="8" w:space="0" w:color="000000"/>
              <w:bottom w:val="double" w:sz="6" w:space="0" w:color="000000"/>
            </w:tcBorders>
            <w:shd w:fill="CCEEFF" w:val="clear"/>
            <w:vAlign w:val="center"/>
          </w:tcPr>
          <w:p>
            <w:pPr>
              <w:pStyle w:val="TableContents"/>
              <w:bidi w:val="0"/>
              <w:spacing w:before="0" w:after="0"/>
              <w:jc w:val="left"/>
              <w:rPr>
                <w:color w:val="333333"/>
              </w:rPr>
            </w:pPr>
            <w:r>
              <w:rPr>
                <w:color w:val="333333"/>
              </w:rPr>
              <w:t> </w:t>
            </w:r>
          </w:p>
        </w:tc>
        <w:tc>
          <w:tcPr>
            <w:tcW w:w="110" w:type="dxa"/>
            <w:tcBorders>
              <w:top w:val="single" w:sz="8" w:space="0" w:color="000000"/>
              <w:bottom w:val="double" w:sz="6" w:space="0" w:color="000000"/>
            </w:tcBorders>
            <w:shd w:fill="CCEE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1160" w:type="dxa"/>
            <w:tcBorders>
              <w:top w:val="single" w:sz="8"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758,542</w:t>
            </w:r>
          </w:p>
        </w:tc>
        <w:tc>
          <w:tcPr>
            <w:tcW w:w="60" w:type="dxa"/>
            <w:tcBorders>
              <w:top w:val="single" w:sz="8" w:space="0" w:color="000000"/>
              <w:bottom w:val="double" w:sz="6" w:space="0" w:color="000000"/>
            </w:tcBorders>
            <w:shd w:fill="CCEEFF" w:val="clear"/>
            <w:vAlign w:val="center"/>
          </w:tcPr>
          <w:p>
            <w:pPr>
              <w:pStyle w:val="TableContents"/>
              <w:bidi w:val="0"/>
              <w:spacing w:before="0" w:after="0"/>
              <w:jc w:val="left"/>
              <w:rPr>
                <w:color w:val="333333"/>
              </w:rPr>
            </w:pPr>
            <w:r>
              <w:rPr>
                <w:color w:val="333333"/>
              </w:rPr>
              <w:t> </w:t>
            </w:r>
          </w:p>
        </w:tc>
        <w:tc>
          <w:tcPr>
            <w:tcW w:w="110" w:type="dxa"/>
            <w:tcBorders>
              <w:top w:val="single" w:sz="8" w:space="0" w:color="000000"/>
              <w:bottom w:val="double" w:sz="6" w:space="0" w:color="000000"/>
            </w:tcBorders>
            <w:shd w:fill="CCEE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86" w:type="dxa"/>
            <w:tcBorders>
              <w:top w:val="single" w:sz="8"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130,661</w:t>
            </w:r>
          </w:p>
        </w:tc>
        <w:tc>
          <w:tcPr>
            <w:tcW w:w="60" w:type="dxa"/>
            <w:tcBorders>
              <w:top w:val="single" w:sz="8" w:space="0" w:color="000000"/>
              <w:bottom w:val="double" w:sz="6" w:space="0" w:color="000000"/>
            </w:tcBorders>
            <w:shd w:fill="CCEEFF" w:val="clear"/>
            <w:vAlign w:val="center"/>
          </w:tcPr>
          <w:p>
            <w:pPr>
              <w:pStyle w:val="TableContents"/>
              <w:bidi w:val="0"/>
              <w:spacing w:before="0" w:after="0"/>
              <w:jc w:val="left"/>
              <w:rPr>
                <w:color w:val="333333"/>
              </w:rPr>
            </w:pPr>
            <w:r>
              <w:rPr>
                <w:color w:val="333333"/>
              </w:rPr>
              <w:t> </w:t>
            </w:r>
          </w:p>
        </w:tc>
        <w:tc>
          <w:tcPr>
            <w:tcW w:w="110" w:type="dxa"/>
            <w:tcBorders>
              <w:top w:val="single" w:sz="8" w:space="0" w:color="000000"/>
              <w:bottom w:val="double" w:sz="6" w:space="0" w:color="000000"/>
            </w:tcBorders>
            <w:shd w:fill="CCEE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93" w:type="dxa"/>
            <w:tcBorders>
              <w:top w:val="single" w:sz="8"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(189,212)</w:t>
            </w:r>
          </w:p>
        </w:tc>
        <w:tc>
          <w:tcPr>
            <w:tcW w:w="60" w:type="dxa"/>
            <w:tcBorders>
              <w:top w:val="single" w:sz="8" w:space="0" w:color="000000"/>
              <w:bottom w:val="double" w:sz="6" w:space="0" w:color="000000"/>
            </w:tcBorders>
            <w:shd w:fill="CCEEFF" w:val="clear"/>
            <w:vAlign w:val="center"/>
          </w:tcPr>
          <w:p>
            <w:pPr>
              <w:pStyle w:val="TableContents"/>
              <w:bidi w:val="0"/>
              <w:spacing w:before="0" w:after="0"/>
              <w:jc w:val="left"/>
              <w:rPr>
                <w:color w:val="333333"/>
              </w:rPr>
            </w:pPr>
            <w:r>
              <w:rPr>
                <w:color w:val="333333"/>
              </w:rPr>
              <w:t> </w:t>
            </w:r>
          </w:p>
        </w:tc>
        <w:tc>
          <w:tcPr>
            <w:tcW w:w="110" w:type="dxa"/>
            <w:tcBorders>
              <w:top w:val="single" w:sz="8" w:space="0" w:color="000000"/>
              <w:bottom w:val="double" w:sz="6" w:space="0" w:color="000000"/>
            </w:tcBorders>
            <w:shd w:fill="CCEEFF" w:val="clear"/>
            <w:vAlign w:val="center"/>
          </w:tcPr>
          <w:p>
            <w:pPr>
              <w:pStyle w:val="TableContents"/>
              <w:bidi w:val="0"/>
              <w:spacing w:before="0" w:after="0"/>
              <w:jc w:val="left"/>
              <w:rPr>
                <w:rFonts w:ascii="Times New Roman" w:hAnsi="Times New Roman"/>
                <w:color w:val="333333"/>
                <w:sz w:val="16"/>
              </w:rPr>
            </w:pPr>
            <w:r>
              <w:rPr>
                <w:rFonts w:ascii="Times New Roman" w:hAnsi="Times New Roman"/>
                <w:color w:val="333333"/>
                <w:sz w:val="16"/>
              </w:rPr>
              <w:t>$</w:t>
            </w:r>
          </w:p>
        </w:tc>
        <w:tc>
          <w:tcPr>
            <w:tcW w:w="624" w:type="dxa"/>
            <w:tcBorders>
              <w:top w:val="single" w:sz="8" w:space="0" w:color="000000"/>
              <w:bottom w:val="double" w:sz="6" w:space="0" w:color="000000"/>
            </w:tcBorders>
            <w:shd w:fill="CCEEFF" w:val="clear"/>
            <w:vAlign w:val="center"/>
          </w:tcPr>
          <w:p>
            <w:pPr>
              <w:pStyle w:val="TableContents"/>
              <w:bidi w:val="0"/>
              <w:spacing w:before="0" w:after="0"/>
              <w:jc w:val="right"/>
              <w:rPr>
                <w:rFonts w:ascii="Times New Roman" w:hAnsi="Times New Roman"/>
                <w:color w:val="333333"/>
                <w:sz w:val="16"/>
              </w:rPr>
            </w:pPr>
            <w:r>
              <w:rPr>
                <w:rFonts w:ascii="Times New Roman" w:hAnsi="Times New Roman"/>
                <w:color w:val="333333"/>
                <w:sz w:val="16"/>
              </w:rPr>
              <w:t>835,363</w:t>
            </w:r>
          </w:p>
        </w:tc>
      </w:tr>
    </w:tbl>
    <w:p>
      <w:pPr>
        <w:pStyle w:val="TextBody"/>
        <w:bidi w:val="0"/>
        <w:spacing w:lineRule="atLeast" w:line="240" w:before="280" w:after="200"/>
        <w:jc w:val="left"/>
        <w:rPr>
          <w:sz w:val="20"/>
        </w:rPr>
      </w:pPr>
      <w:r>
        <w:rPr>
          <w:sz w:val="20"/>
        </w:rPr>
        <w:t>See notes to condensed consolidated financial statements (unaudited).</w:t>
      </w:r>
    </w:p>
    <w:p>
      <w:pPr>
        <w:pStyle w:val="TextBody"/>
        <w:bidi w:val="0"/>
        <w:spacing w:before="0" w:after="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pPr>
      <w:hyperlink w:anchor="TOC_TableofContent">
        <w:r>
          <w:rPr>
            <w:rStyle w:val="InternetLink"/>
            <w:strike w:val="false"/>
            <w:dstrike w:val="false"/>
            <w:color w:val="0000FF"/>
            <w:sz w:val="20"/>
            <w:u w:val="single"/>
            <w:effect w:val="none"/>
          </w:rPr>
          <w:t>Table of Contents</w:t>
        </w:r>
      </w:hyperlink>
    </w:p>
    <w:p>
      <w:pPr>
        <w:pStyle w:val="TextBody"/>
        <w:bidi w:val="0"/>
        <w:spacing w:lineRule="atLeast" w:line="240" w:before="0" w:after="0"/>
        <w:jc w:val="left"/>
        <w:rPr/>
      </w:pPr>
      <w:r>
        <w:rPr/>
        <w:t> </w:t>
      </w:r>
    </w:p>
    <w:p>
      <w:pPr>
        <w:pStyle w:val="TextBody"/>
        <w:bidi w:val="0"/>
        <w:spacing w:lineRule="atLeast" w:line="240" w:before="0" w:after="0"/>
        <w:jc w:val="center"/>
        <w:rPr/>
      </w:pPr>
      <w:r>
        <w:rPr/>
        <w:t> </w:t>
      </w:r>
      <w:r>
        <w:rPr>
          <w:sz w:val="20"/>
        </w:rPr>
        <w:t>HOVNANIAN ENTERPRISES, INC. AND SUBSIDIARIES</w:t>
      </w:r>
    </w:p>
    <w:p>
      <w:pPr>
        <w:pStyle w:val="TextBody"/>
        <w:bidi w:val="0"/>
        <w:spacing w:before="0" w:after="0"/>
        <w:jc w:val="center"/>
        <w:rPr/>
      </w:pPr>
      <w:hyperlink w:anchor="TOC">
        <w:bookmarkStart w:id="8" w:name="bm_d91a57ea9786b383"/>
        <w:bookmarkEnd w:id="8"/>
        <w:r>
          <w:rPr>
            <w:rStyle w:val="InternetLink"/>
            <w:strike w:val="false"/>
            <w:dstrike w:val="false"/>
            <w:color w:val="000000"/>
            <w:sz w:val="20"/>
            <w:u w:val="none"/>
            <w:effect w:val="none"/>
          </w:rPr>
          <w:t>CONDENSED CONSOLIDATED STATEMENTS OF CASH FLOWS</w:t>
        </w:r>
      </w:hyperlink>
    </w:p>
    <w:p>
      <w:pPr>
        <w:pStyle w:val="TextBody"/>
        <w:bidi w:val="0"/>
        <w:spacing w:lineRule="atLeast" w:line="240" w:before="0" w:after="0"/>
        <w:jc w:val="center"/>
        <w:rPr>
          <w:sz w:val="20"/>
        </w:rPr>
      </w:pPr>
      <w:r>
        <w:rPr>
          <w:sz w:val="20"/>
        </w:rPr>
        <w:t>(In thousands)</w:t>
      </w:r>
    </w:p>
    <w:p>
      <w:pPr>
        <w:pStyle w:val="TextBody"/>
        <w:bidi w:val="0"/>
        <w:spacing w:lineRule="atLeast" w:line="240" w:before="0" w:after="100"/>
        <w:jc w:val="center"/>
        <w:rPr>
          <w:sz w:val="20"/>
        </w:rPr>
      </w:pPr>
      <w:r>
        <w:rPr>
          <w:sz w:val="20"/>
        </w:rPr>
        <w:t>(Unaudited)</w:t>
      </w:r>
    </w:p>
    <w:tbl>
      <w:tblPr>
        <w:tblW w:w="10195" w:type="dxa"/>
        <w:jc w:val="left"/>
        <w:tblInd w:w="0" w:type="dxa"/>
        <w:tblLayout w:type="fixed"/>
        <w:tblCellMar>
          <w:top w:w="0" w:type="dxa"/>
          <w:left w:w="0" w:type="dxa"/>
          <w:bottom w:w="0" w:type="dxa"/>
          <w:right w:w="0" w:type="dxa"/>
        </w:tblCellMar>
      </w:tblPr>
      <w:tblGrid>
        <w:gridCol w:w="7940"/>
        <w:gridCol w:w="125"/>
        <w:gridCol w:w="965"/>
        <w:gridCol w:w="60"/>
        <w:gridCol w:w="125"/>
        <w:gridCol w:w="980"/>
      </w:tblGrid>
      <w:tr>
        <w:trPr/>
        <w:tc>
          <w:tcPr>
            <w:tcW w:w="7940" w:type="dxa"/>
            <w:tcBorders/>
            <w:vAlign w:val="center"/>
          </w:tcPr>
          <w:p>
            <w:pPr>
              <w:pStyle w:val="TableContents"/>
              <w:bidi w:val="0"/>
              <w:spacing w:before="0" w:after="0"/>
              <w:jc w:val="left"/>
              <w:rPr/>
            </w:pPr>
            <w:r>
              <w:rPr/>
              <w:t> </w:t>
            </w:r>
          </w:p>
        </w:tc>
        <w:tc>
          <w:tcPr>
            <w:tcW w:w="2255" w:type="dxa"/>
            <w:gridSpan w:val="5"/>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Nine Months Ended</w:t>
            </w:r>
          </w:p>
        </w:tc>
      </w:tr>
      <w:tr>
        <w:trPr/>
        <w:tc>
          <w:tcPr>
            <w:tcW w:w="7940"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gridSpan w:val="5"/>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July 31,</w:t>
            </w:r>
          </w:p>
        </w:tc>
      </w:tr>
      <w:tr>
        <w:trPr/>
        <w:tc>
          <w:tcPr>
            <w:tcW w:w="794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90"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05"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r>
      <w:tr>
        <w:trPr/>
        <w:tc>
          <w:tcPr>
            <w:tcW w:w="794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6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8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r>
      <w:tr>
        <w:trPr/>
        <w:tc>
          <w:tcPr>
            <w:tcW w:w="79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5" w:type="dxa"/>
            <w:tcBorders/>
            <w:shd w:fill="FFFF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18,049</w:t>
            </w:r>
          </w:p>
        </w:tc>
        <w:tc>
          <w:tcPr>
            <w:tcW w:w="60" w:type="dxa"/>
            <w:tcBorders/>
            <w:shd w:fill="FFFFFF" w:val="clear"/>
            <w:vAlign w:val="center"/>
          </w:tcPr>
          <w:p>
            <w:pPr>
              <w:pStyle w:val="TableContents"/>
              <w:bidi w:val="0"/>
              <w:spacing w:before="0" w:after="0"/>
              <w:jc w:val="left"/>
              <w:rPr>
                <w:color w:val="333333"/>
              </w:rPr>
            </w:pPr>
            <w:r>
              <w:rPr>
                <w:color w:val="333333"/>
              </w:rPr>
              <w:t> </w:t>
            </w:r>
          </w:p>
        </w:tc>
        <w:tc>
          <w:tcPr>
            <w:tcW w:w="125" w:type="dxa"/>
            <w:tcBorders/>
            <w:shd w:fill="FFFFFF" w:val="clear"/>
            <w:vAlign w:val="center"/>
          </w:tcPr>
          <w:p>
            <w:pPr>
              <w:pStyle w:val="TableContents"/>
              <w:bidi w:val="0"/>
              <w:spacing w:before="0" w:after="0"/>
              <w:jc w:val="left"/>
              <w:rPr>
                <w:rFonts w:ascii="Times New Roman" w:hAnsi="Times New Roman"/>
                <w:color w:val="333333"/>
                <w:sz w:val="20"/>
              </w:rPr>
            </w:pPr>
            <w:r>
              <w:rPr>
                <w:rFonts w:ascii="Times New Roman" w:hAnsi="Times New Roman"/>
                <w:color w:val="333333"/>
                <w:sz w:val="20"/>
              </w:rPr>
              <w:t>$</w:t>
            </w:r>
          </w:p>
        </w:tc>
        <w:tc>
          <w:tcPr>
            <w:tcW w:w="980" w:type="dxa"/>
            <w:tcBorders/>
            <w:shd w:fill="FFFF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64,532</w:t>
            </w:r>
          </w:p>
        </w:tc>
      </w:tr>
      <w:tr>
        <w:trPr/>
        <w:tc>
          <w:tcPr>
            <w:tcW w:w="7940"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Adjustments to reconcile net income to net cash provided by operating activities:</w:t>
            </w:r>
          </w:p>
        </w:tc>
        <w:tc>
          <w:tcPr>
            <w:tcW w:w="125"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pPr>
            <w:r>
              <w:rPr/>
              <w:t> </w:t>
            </w:r>
          </w:p>
        </w:tc>
      </w:tr>
      <w:tr>
        <w:trPr/>
        <w:tc>
          <w:tcPr>
            <w:tcW w:w="7940" w:type="dxa"/>
            <w:tcBorders/>
            <w:shd w:fill="FFFF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Depreciation</w:t>
            </w:r>
          </w:p>
        </w:tc>
        <w:tc>
          <w:tcPr>
            <w:tcW w:w="125" w:type="dxa"/>
            <w:tcBorders/>
            <w:shd w:fill="FFFFFF" w:val="clear"/>
            <w:vAlign w:val="center"/>
          </w:tcPr>
          <w:p>
            <w:pPr>
              <w:pStyle w:val="TableContents"/>
              <w:bidi w:val="0"/>
              <w:spacing w:before="0" w:after="0"/>
              <w:jc w:val="left"/>
              <w:rPr/>
            </w:pPr>
            <w:r>
              <w:rPr/>
              <w:t> </w:t>
            </w:r>
          </w:p>
        </w:tc>
        <w:tc>
          <w:tcPr>
            <w:tcW w:w="96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10,536</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8,513</w:t>
            </w:r>
          </w:p>
        </w:tc>
      </w:tr>
      <w:tr>
        <w:trPr/>
        <w:tc>
          <w:tcPr>
            <w:tcW w:w="7940"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Stock-based compensation</w:t>
            </w:r>
          </w:p>
        </w:tc>
        <w:tc>
          <w:tcPr>
            <w:tcW w:w="125"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8,899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14,124</w:t>
            </w:r>
          </w:p>
        </w:tc>
      </w:tr>
      <w:tr>
        <w:trPr/>
        <w:tc>
          <w:tcPr>
            <w:tcW w:w="7940" w:type="dxa"/>
            <w:tcBorders/>
            <w:shd w:fill="FFFF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Amortization of debt discounts, premiums and deferred financing costs</w:t>
            </w:r>
          </w:p>
        </w:tc>
        <w:tc>
          <w:tcPr>
            <w:tcW w:w="125" w:type="dxa"/>
            <w:tcBorders/>
            <w:shd w:fill="FFFFFF" w:val="clear"/>
            <w:vAlign w:val="center"/>
          </w:tcPr>
          <w:p>
            <w:pPr>
              <w:pStyle w:val="TableContents"/>
              <w:bidi w:val="0"/>
              <w:spacing w:before="0" w:after="0"/>
              <w:jc w:val="left"/>
              <w:rPr/>
            </w:pPr>
            <w:r>
              <w:rPr/>
              <w:t> </w:t>
            </w:r>
          </w:p>
        </w:tc>
        <w:tc>
          <w:tcPr>
            <w:tcW w:w="96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7,075</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(1,777)</w:t>
            </w:r>
          </w:p>
        </w:tc>
      </w:tr>
      <w:tr>
        <w:trPr/>
        <w:tc>
          <w:tcPr>
            <w:tcW w:w="7940"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Gain on sale of property and assets</w:t>
            </w:r>
          </w:p>
        </w:tc>
        <w:tc>
          <w:tcPr>
            <w:tcW w:w="125"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(3,732)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(951)</w:t>
            </w:r>
          </w:p>
        </w:tc>
      </w:tr>
      <w:tr>
        <w:trPr/>
        <w:tc>
          <w:tcPr>
            <w:tcW w:w="7940" w:type="dxa"/>
            <w:tcBorders/>
            <w:shd w:fill="FFFF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Gain on consolidation of joint venture</w:t>
            </w:r>
          </w:p>
        </w:tc>
        <w:tc>
          <w:tcPr>
            <w:tcW w:w="125" w:type="dxa"/>
            <w:tcBorders/>
            <w:shd w:fill="FFFFFF" w:val="clear"/>
            <w:vAlign w:val="center"/>
          </w:tcPr>
          <w:p>
            <w:pPr>
              <w:pStyle w:val="TableContents"/>
              <w:bidi w:val="0"/>
              <w:spacing w:before="0" w:after="0"/>
              <w:jc w:val="left"/>
              <w:rPr/>
            </w:pPr>
            <w:r>
              <w:rPr/>
              <w:t> </w:t>
            </w:r>
          </w:p>
        </w:tc>
        <w:tc>
          <w:tcPr>
            <w:tcW w:w="96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(26,830)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7940"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Gain on assets contributed to joint venture</w:t>
            </w:r>
          </w:p>
        </w:tc>
        <w:tc>
          <w:tcPr>
            <w:tcW w:w="125"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(22,683)</w:t>
            </w:r>
          </w:p>
        </w:tc>
      </w:tr>
      <w:tr>
        <w:trPr/>
        <w:tc>
          <w:tcPr>
            <w:tcW w:w="7940" w:type="dxa"/>
            <w:tcBorders/>
            <w:shd w:fill="FFFF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Income from unconsolidated joint ventures</w:t>
            </w:r>
          </w:p>
        </w:tc>
        <w:tc>
          <w:tcPr>
            <w:tcW w:w="125" w:type="dxa"/>
            <w:tcBorders/>
            <w:shd w:fill="FFFFFF" w:val="clear"/>
            <w:vAlign w:val="center"/>
          </w:tcPr>
          <w:p>
            <w:pPr>
              <w:pStyle w:val="TableContents"/>
              <w:bidi w:val="0"/>
              <w:spacing w:before="0" w:after="0"/>
              <w:jc w:val="left"/>
              <w:rPr/>
            </w:pPr>
            <w:r>
              <w:rPr/>
              <w:t> </w:t>
            </w:r>
          </w:p>
        </w:tc>
        <w:tc>
          <w:tcPr>
            <w:tcW w:w="96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(5,731)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(33,759)</w:t>
            </w:r>
          </w:p>
        </w:tc>
      </w:tr>
      <w:tr>
        <w:trPr/>
        <w:tc>
          <w:tcPr>
            <w:tcW w:w="7940"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Distributions of earnings from unconsolidated joint ventures</w:t>
            </w:r>
          </w:p>
        </w:tc>
        <w:tc>
          <w:tcPr>
            <w:tcW w:w="125"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3,460</w:t>
            </w:r>
          </w:p>
        </w:tc>
      </w:tr>
      <w:tr>
        <w:trPr/>
        <w:tc>
          <w:tcPr>
            <w:tcW w:w="7940" w:type="dxa"/>
            <w:tcBorders/>
            <w:shd w:fill="FFFF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Gain on extinguishment of debt</w:t>
            </w:r>
          </w:p>
        </w:tc>
        <w:tc>
          <w:tcPr>
            <w:tcW w:w="125" w:type="dxa"/>
            <w:tcBorders/>
            <w:shd w:fill="FFFFFF" w:val="clear"/>
            <w:vAlign w:val="center"/>
          </w:tcPr>
          <w:p>
            <w:pPr>
              <w:pStyle w:val="TableContents"/>
              <w:bidi w:val="0"/>
              <w:spacing w:before="0" w:after="0"/>
              <w:jc w:val="left"/>
              <w:rPr/>
            </w:pPr>
            <w:r>
              <w:rPr/>
              <w:t> </w:t>
            </w:r>
          </w:p>
        </w:tc>
        <w:tc>
          <w:tcPr>
            <w:tcW w:w="96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(399)</w:t>
            </w:r>
          </w:p>
        </w:tc>
      </w:tr>
      <w:tr>
        <w:trPr/>
        <w:tc>
          <w:tcPr>
            <w:tcW w:w="7940"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Inventory impairments and land option write-offs</w:t>
            </w:r>
          </w:p>
        </w:tc>
        <w:tc>
          <w:tcPr>
            <w:tcW w:w="125"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11,602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20,141</w:t>
            </w:r>
          </w:p>
        </w:tc>
      </w:tr>
      <w:tr>
        <w:trPr/>
        <w:tc>
          <w:tcPr>
            <w:tcW w:w="7940" w:type="dxa"/>
            <w:tcBorders/>
            <w:shd w:fill="FFFF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Decrease (increase) in assets:</w:t>
            </w:r>
          </w:p>
        </w:tc>
        <w:tc>
          <w:tcPr>
            <w:tcW w:w="125" w:type="dxa"/>
            <w:tcBorders/>
            <w:shd w:fill="FFFFFF" w:val="clear"/>
            <w:vAlign w:val="center"/>
          </w:tcPr>
          <w:p>
            <w:pPr>
              <w:pStyle w:val="TableContents"/>
              <w:bidi w:val="0"/>
              <w:spacing w:before="0" w:after="0"/>
              <w:jc w:val="left"/>
              <w:rPr/>
            </w:pPr>
            <w:r>
              <w:rPr/>
              <w:t> </w:t>
            </w:r>
          </w:p>
        </w:tc>
        <w:tc>
          <w:tcPr>
            <w:tcW w:w="96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0" w:type="dxa"/>
            <w:tcBorders/>
            <w:shd w:fill="FFFFFF" w:val="clear"/>
            <w:vAlign w:val="center"/>
          </w:tcPr>
          <w:p>
            <w:pPr>
              <w:pStyle w:val="TableContents"/>
              <w:bidi w:val="0"/>
              <w:spacing w:before="0" w:after="0"/>
              <w:jc w:val="right"/>
              <w:rPr/>
            </w:pPr>
            <w:r>
              <w:rPr/>
              <w:t> </w:t>
            </w:r>
          </w:p>
        </w:tc>
      </w:tr>
      <w:tr>
        <w:trPr/>
        <w:tc>
          <w:tcPr>
            <w:tcW w:w="7940" w:type="dxa"/>
            <w:tcBorders/>
            <w:shd w:fill="CCEEFF" w:val="clear"/>
            <w:vAlign w:val="center"/>
          </w:tcPr>
          <w:p>
            <w:pPr>
              <w:pStyle w:val="TableContents"/>
              <w:bidi w:val="0"/>
              <w:spacing w:before="0" w:after="0"/>
              <w:ind w:left="432" w:right="0" w:hanging="0"/>
              <w:jc w:val="left"/>
              <w:rPr/>
            </w:pPr>
            <w:r>
              <w:rPr/>
              <w:t xml:space="preserve">     </w:t>
            </w:r>
            <w:r>
              <w:rPr>
                <w:rFonts w:ascii="Times New Roman" w:hAnsi="Times New Roman"/>
                <w:sz w:val="20"/>
              </w:rPr>
              <w:t>Inventories</w:t>
            </w:r>
          </w:p>
        </w:tc>
        <w:tc>
          <w:tcPr>
            <w:tcW w:w="125"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24,945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(45,586)</w:t>
            </w:r>
          </w:p>
        </w:tc>
      </w:tr>
      <w:tr>
        <w:trPr/>
        <w:tc>
          <w:tcPr>
            <w:tcW w:w="7940" w:type="dxa"/>
            <w:tcBorders/>
            <w:shd w:fill="FFFFFF" w:val="clear"/>
            <w:vAlign w:val="center"/>
          </w:tcPr>
          <w:p>
            <w:pPr>
              <w:pStyle w:val="TableContents"/>
              <w:bidi w:val="0"/>
              <w:spacing w:before="0" w:after="0"/>
              <w:ind w:left="432" w:right="0" w:hanging="0"/>
              <w:jc w:val="left"/>
              <w:rPr/>
            </w:pPr>
            <w:r>
              <w:rPr/>
              <w:t xml:space="preserve">     </w:t>
            </w:r>
            <w:r>
              <w:rPr>
                <w:rFonts w:ascii="Times New Roman" w:hAnsi="Times New Roman"/>
                <w:sz w:val="20"/>
              </w:rPr>
              <w:t>Receivables, deposits and notes</w:t>
            </w:r>
          </w:p>
        </w:tc>
        <w:tc>
          <w:tcPr>
            <w:tcW w:w="125" w:type="dxa"/>
            <w:tcBorders/>
            <w:shd w:fill="FFFFFF" w:val="clear"/>
            <w:vAlign w:val="center"/>
          </w:tcPr>
          <w:p>
            <w:pPr>
              <w:pStyle w:val="TableContents"/>
              <w:bidi w:val="0"/>
              <w:spacing w:before="0" w:after="0"/>
              <w:jc w:val="left"/>
              <w:rPr/>
            </w:pPr>
            <w:r>
              <w:rPr/>
              <w:t> </w:t>
            </w:r>
          </w:p>
        </w:tc>
        <w:tc>
          <w:tcPr>
            <w:tcW w:w="96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(39,861)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(2,163)</w:t>
            </w:r>
          </w:p>
        </w:tc>
      </w:tr>
      <w:tr>
        <w:trPr/>
        <w:tc>
          <w:tcPr>
            <w:tcW w:w="7940" w:type="dxa"/>
            <w:tcBorders/>
            <w:shd w:fill="CCEEFF" w:val="clear"/>
            <w:vAlign w:val="center"/>
          </w:tcPr>
          <w:p>
            <w:pPr>
              <w:pStyle w:val="TableContents"/>
              <w:bidi w:val="0"/>
              <w:spacing w:before="0" w:after="0"/>
              <w:ind w:left="432" w:right="0" w:hanging="0"/>
              <w:jc w:val="left"/>
              <w:rPr/>
            </w:pPr>
            <w:r>
              <w:rPr/>
              <w:t xml:space="preserve">     </w:t>
            </w:r>
            <w:r>
              <w:rPr>
                <w:rFonts w:ascii="Times New Roman" w:hAnsi="Times New Roman"/>
                <w:sz w:val="20"/>
              </w:rPr>
              <w:t>Origination of mortgage loans</w:t>
            </w:r>
          </w:p>
        </w:tc>
        <w:tc>
          <w:tcPr>
            <w:tcW w:w="125"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(1,194,610)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(1,279,416)</w:t>
            </w:r>
          </w:p>
        </w:tc>
      </w:tr>
      <w:tr>
        <w:trPr/>
        <w:tc>
          <w:tcPr>
            <w:tcW w:w="7940" w:type="dxa"/>
            <w:tcBorders/>
            <w:shd w:fill="FFFFFF" w:val="clear"/>
            <w:vAlign w:val="center"/>
          </w:tcPr>
          <w:p>
            <w:pPr>
              <w:pStyle w:val="TableContents"/>
              <w:bidi w:val="0"/>
              <w:spacing w:before="0" w:after="0"/>
              <w:ind w:left="432" w:right="0" w:hanging="0"/>
              <w:jc w:val="left"/>
              <w:rPr/>
            </w:pPr>
            <w:r>
              <w:rPr/>
              <w:t xml:space="preserve">     </w:t>
            </w:r>
            <w:r>
              <w:rPr>
                <w:rFonts w:ascii="Times New Roman" w:hAnsi="Times New Roman"/>
                <w:sz w:val="20"/>
              </w:rPr>
              <w:t>Sale of mortgage loans</w:t>
            </w:r>
          </w:p>
        </w:tc>
        <w:tc>
          <w:tcPr>
            <w:tcW w:w="125" w:type="dxa"/>
            <w:tcBorders/>
            <w:shd w:fill="FFFFFF" w:val="clear"/>
            <w:vAlign w:val="center"/>
          </w:tcPr>
          <w:p>
            <w:pPr>
              <w:pStyle w:val="TableContents"/>
              <w:bidi w:val="0"/>
              <w:spacing w:before="0" w:after="0"/>
              <w:jc w:val="left"/>
              <w:rPr/>
            </w:pPr>
            <w:r>
              <w:rPr/>
              <w:t> </w:t>
            </w:r>
          </w:p>
        </w:tc>
        <w:tc>
          <w:tcPr>
            <w:tcW w:w="96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1,183,955</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1,297,796</w:t>
            </w:r>
          </w:p>
        </w:tc>
      </w:tr>
      <w:tr>
        <w:trPr/>
        <w:tc>
          <w:tcPr>
            <w:tcW w:w="7940" w:type="dxa"/>
            <w:tcBorders/>
            <w:shd w:fill="CCEEFF" w:val="clear"/>
            <w:vAlign w:val="center"/>
          </w:tcPr>
          <w:p>
            <w:pPr>
              <w:pStyle w:val="TableContents"/>
              <w:bidi w:val="0"/>
              <w:spacing w:before="0" w:after="0"/>
              <w:ind w:left="432" w:right="0" w:hanging="0"/>
              <w:jc w:val="left"/>
              <w:rPr/>
            </w:pPr>
            <w:r>
              <w:rPr/>
              <w:t xml:space="preserve">     </w:t>
            </w:r>
            <w:r>
              <w:rPr>
                <w:rFonts w:ascii="Times New Roman" w:hAnsi="Times New Roman"/>
                <w:sz w:val="20"/>
              </w:rPr>
              <w:t>Deferred tax assets</w:t>
            </w:r>
          </w:p>
        </w:tc>
        <w:tc>
          <w:tcPr>
            <w:tcW w:w="125"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5,175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20,244</w:t>
            </w:r>
          </w:p>
        </w:tc>
      </w:tr>
      <w:tr>
        <w:trPr/>
        <w:tc>
          <w:tcPr>
            <w:tcW w:w="7940" w:type="dxa"/>
            <w:tcBorders/>
            <w:shd w:fill="FFFFFF" w:val="clear"/>
            <w:vAlign w:val="center"/>
          </w:tcPr>
          <w:p>
            <w:pPr>
              <w:pStyle w:val="TableContents"/>
              <w:bidi w:val="0"/>
              <w:spacing w:before="0" w:after="0"/>
              <w:ind w:left="288" w:right="0" w:hanging="0"/>
              <w:jc w:val="left"/>
              <w:rPr/>
            </w:pPr>
            <w:r>
              <w:rPr/>
              <w:t xml:space="preserve">  </w:t>
            </w:r>
            <w:r>
              <w:rPr>
                <w:rFonts w:ascii="Times New Roman" w:hAnsi="Times New Roman"/>
                <w:sz w:val="20"/>
              </w:rPr>
              <w:t>(Decrease) increase in liabilities:</w:t>
            </w:r>
          </w:p>
        </w:tc>
        <w:tc>
          <w:tcPr>
            <w:tcW w:w="125" w:type="dxa"/>
            <w:tcBorders/>
            <w:shd w:fill="FFFFFF" w:val="clear"/>
            <w:vAlign w:val="center"/>
          </w:tcPr>
          <w:p>
            <w:pPr>
              <w:pStyle w:val="TableContents"/>
              <w:bidi w:val="0"/>
              <w:spacing w:before="0" w:after="0"/>
              <w:jc w:val="left"/>
              <w:rPr/>
            </w:pPr>
            <w:r>
              <w:rPr/>
              <w:t> </w:t>
            </w:r>
          </w:p>
        </w:tc>
        <w:tc>
          <w:tcPr>
            <w:tcW w:w="96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0" w:type="dxa"/>
            <w:tcBorders/>
            <w:shd w:fill="FFFFFF" w:val="clear"/>
            <w:vAlign w:val="center"/>
          </w:tcPr>
          <w:p>
            <w:pPr>
              <w:pStyle w:val="TableContents"/>
              <w:bidi w:val="0"/>
              <w:spacing w:before="0" w:after="0"/>
              <w:jc w:val="right"/>
              <w:rPr/>
            </w:pPr>
            <w:r>
              <w:rPr/>
              <w:t> </w:t>
            </w:r>
          </w:p>
        </w:tc>
      </w:tr>
      <w:tr>
        <w:trPr/>
        <w:tc>
          <w:tcPr>
            <w:tcW w:w="7940" w:type="dxa"/>
            <w:tcBorders/>
            <w:shd w:fill="CCEEFF" w:val="clear"/>
            <w:vAlign w:val="center"/>
          </w:tcPr>
          <w:p>
            <w:pPr>
              <w:pStyle w:val="TableContents"/>
              <w:bidi w:val="0"/>
              <w:spacing w:before="0" w:after="0"/>
              <w:ind w:left="432" w:right="0" w:hanging="0"/>
              <w:jc w:val="left"/>
              <w:rPr/>
            </w:pPr>
            <w:r>
              <w:rPr/>
              <w:t xml:space="preserve">    </w:t>
            </w:r>
            <w:r>
              <w:rPr>
                <w:rFonts w:ascii="Times New Roman" w:hAnsi="Times New Roman"/>
                <w:sz w:val="20"/>
              </w:rPr>
              <w:t>Accounts payable, accrued interest and other liabilities</w:t>
            </w:r>
          </w:p>
        </w:tc>
        <w:tc>
          <w:tcPr>
            <w:tcW w:w="125"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(3,740)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(16,712)</w:t>
            </w:r>
          </w:p>
        </w:tc>
      </w:tr>
      <w:tr>
        <w:trPr/>
        <w:tc>
          <w:tcPr>
            <w:tcW w:w="7940" w:type="dxa"/>
            <w:tcBorders/>
            <w:shd w:fill="FFFFFF" w:val="clear"/>
            <w:vAlign w:val="center"/>
          </w:tcPr>
          <w:p>
            <w:pPr>
              <w:pStyle w:val="TableContents"/>
              <w:bidi w:val="0"/>
              <w:spacing w:before="0" w:after="0"/>
              <w:ind w:left="432" w:right="0" w:hanging="0"/>
              <w:jc w:val="left"/>
              <w:rPr/>
            </w:pPr>
            <w:r>
              <w:rPr/>
              <w:t xml:space="preserve">    </w:t>
            </w:r>
            <w:r>
              <w:rPr>
                <w:rFonts w:ascii="Times New Roman" w:hAnsi="Times New Roman"/>
                <w:sz w:val="20"/>
              </w:rPr>
              <w:t>Customers’ deposits</w:t>
            </w:r>
          </w:p>
        </w:tc>
        <w:tc>
          <w:tcPr>
            <w:tcW w:w="125" w:type="dxa"/>
            <w:tcBorders/>
            <w:shd w:fill="FFFFFF" w:val="clear"/>
            <w:vAlign w:val="center"/>
          </w:tcPr>
          <w:p>
            <w:pPr>
              <w:pStyle w:val="TableContents"/>
              <w:bidi w:val="0"/>
              <w:spacing w:before="0" w:after="0"/>
              <w:jc w:val="left"/>
              <w:rPr/>
            </w:pPr>
            <w:r>
              <w:rPr/>
              <w:t> </w:t>
            </w:r>
          </w:p>
        </w:tc>
        <w:tc>
          <w:tcPr>
            <w:tcW w:w="96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54,029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(6,159)</w:t>
            </w:r>
          </w:p>
        </w:tc>
      </w:tr>
      <w:tr>
        <w:trPr/>
        <w:tc>
          <w:tcPr>
            <w:tcW w:w="794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ind w:left="864" w:right="0" w:hanging="0"/>
              <w:jc w:val="left"/>
              <w:rPr>
                <w:rFonts w:ascii="Times New Roman" w:hAnsi="Times New Roman"/>
                <w:sz w:val="20"/>
              </w:rPr>
            </w:pPr>
            <w:r>
              <w:rPr>
                <w:rFonts w:ascii="Times New Roman" w:hAnsi="Times New Roman"/>
                <w:sz w:val="20"/>
              </w:rPr>
              <w:t>Net cash provided by operating activities</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96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49,761</w:t>
            </w:r>
          </w:p>
        </w:tc>
        <w:tc>
          <w:tcPr>
            <w:tcW w:w="6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color w:val="333333"/>
              </w:rPr>
            </w:pPr>
            <w:r>
              <w:rPr>
                <w:color w:val="333333"/>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98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19,205</w:t>
            </w:r>
          </w:p>
        </w:tc>
      </w:tr>
      <w:tr>
        <w:trPr/>
        <w:tc>
          <w:tcPr>
            <w:tcW w:w="7940"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6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80"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r>
      <w:tr>
        <w:trPr/>
        <w:tc>
          <w:tcPr>
            <w:tcW w:w="7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sale of property and assets</w:t>
            </w:r>
          </w:p>
        </w:tc>
        <w:tc>
          <w:tcPr>
            <w:tcW w:w="125"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4,192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1,523</w:t>
            </w:r>
          </w:p>
        </w:tc>
      </w:tr>
      <w:tr>
        <w:trPr/>
        <w:tc>
          <w:tcPr>
            <w:tcW w:w="79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 of property, equipment, and other fixed assets</w:t>
            </w:r>
          </w:p>
        </w:tc>
        <w:tc>
          <w:tcPr>
            <w:tcW w:w="125" w:type="dxa"/>
            <w:tcBorders/>
            <w:shd w:fill="FFFFFF" w:val="clear"/>
            <w:vAlign w:val="center"/>
          </w:tcPr>
          <w:p>
            <w:pPr>
              <w:pStyle w:val="TableContents"/>
              <w:bidi w:val="0"/>
              <w:spacing w:before="0" w:after="0"/>
              <w:jc w:val="left"/>
              <w:rPr/>
            </w:pPr>
            <w:r>
              <w:rPr/>
              <w:t> </w:t>
            </w:r>
          </w:p>
        </w:tc>
        <w:tc>
          <w:tcPr>
            <w:tcW w:w="96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(15,964)</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(17,011)</w:t>
            </w:r>
          </w:p>
        </w:tc>
      </w:tr>
      <w:tr>
        <w:trPr/>
        <w:tc>
          <w:tcPr>
            <w:tcW w:w="7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Investment in and advances to unconsolidated joint ventures, net of reimbursements</w:t>
            </w:r>
          </w:p>
        </w:tc>
        <w:tc>
          <w:tcPr>
            <w:tcW w:w="125"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(58,067)</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(49,572)</w:t>
            </w:r>
          </w:p>
        </w:tc>
      </w:tr>
      <w:tr>
        <w:trPr/>
        <w:tc>
          <w:tcPr>
            <w:tcW w:w="79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Distributions of capital from unconsolidated joint ventures</w:t>
            </w:r>
          </w:p>
        </w:tc>
        <w:tc>
          <w:tcPr>
            <w:tcW w:w="125" w:type="dxa"/>
            <w:tcBorders/>
            <w:shd w:fill="FFFFFF" w:val="clear"/>
            <w:vAlign w:val="center"/>
          </w:tcPr>
          <w:p>
            <w:pPr>
              <w:pStyle w:val="TableContents"/>
              <w:bidi w:val="0"/>
              <w:spacing w:before="0" w:after="0"/>
              <w:jc w:val="left"/>
              <w:rPr/>
            </w:pPr>
            <w:r>
              <w:rPr/>
              <w:t> </w:t>
            </w:r>
          </w:p>
        </w:tc>
        <w:tc>
          <w:tcPr>
            <w:tcW w:w="96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0" w:type="dxa"/>
            <w:tcBorders/>
            <w:shd w:fill="FFFFFF" w:val="clear"/>
            <w:vAlign w:val="center"/>
          </w:tcPr>
          <w:p>
            <w:pPr>
              <w:pStyle w:val="TableContents"/>
              <w:bidi w:val="0"/>
              <w:spacing w:before="0" w:after="0"/>
              <w:jc w:val="right"/>
              <w:rPr/>
            </w:pPr>
            <w:r>
              <w:rPr/>
              <w:t xml:space="preserve">  </w:t>
            </w:r>
            <w:r>
              <w:rPr>
                <w:rFonts w:ascii="Times New Roman" w:hAnsi="Times New Roman"/>
                <w:sz w:val="20"/>
              </w:rPr>
              <w:t>4,425</w:t>
            </w:r>
          </w:p>
        </w:tc>
      </w:tr>
      <w:tr>
        <w:trPr/>
        <w:tc>
          <w:tcPr>
            <w:tcW w:w="7940" w:type="dxa"/>
            <w:tcBorders>
              <w:bottom w:val="single" w:sz="8"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Acquisitions of business, net of cash acquired</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6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31,517</w:t>
            </w:r>
          </w:p>
        </w:tc>
        <w:tc>
          <w:tcPr>
            <w:tcW w:w="6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794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ind w:left="864" w:right="0" w:hanging="0"/>
              <w:jc w:val="left"/>
              <w:rPr>
                <w:rFonts w:ascii="Times New Roman" w:hAnsi="Times New Roman"/>
                <w:sz w:val="20"/>
              </w:rPr>
            </w:pPr>
            <w:r>
              <w:rPr>
                <w:rFonts w:ascii="Times New Roman" w:hAnsi="Times New Roman"/>
                <w:sz w:val="20"/>
              </w:rPr>
              <w:t>Net cash used in investing activities</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96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(38,322)</w:t>
            </w:r>
          </w:p>
        </w:tc>
        <w:tc>
          <w:tcPr>
            <w:tcW w:w="6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color w:val="333333"/>
              </w:rPr>
            </w:pPr>
            <w:r>
              <w:rPr>
                <w:color w:val="333333"/>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98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(60,635)</w:t>
            </w:r>
          </w:p>
        </w:tc>
      </w:tr>
      <w:tr>
        <w:trPr/>
        <w:tc>
          <w:tcPr>
            <w:tcW w:w="794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6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6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80"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r>
      <w:tr>
        <w:trPr/>
        <w:tc>
          <w:tcPr>
            <w:tcW w:w="79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mortgages and notes</w:t>
            </w:r>
          </w:p>
        </w:tc>
        <w:tc>
          <w:tcPr>
            <w:tcW w:w="125" w:type="dxa"/>
            <w:tcBorders/>
            <w:shd w:fill="FFFFFF" w:val="clear"/>
            <w:vAlign w:val="center"/>
          </w:tcPr>
          <w:p>
            <w:pPr>
              <w:pStyle w:val="TableContents"/>
              <w:bidi w:val="0"/>
              <w:spacing w:before="0" w:after="0"/>
              <w:jc w:val="left"/>
              <w:rPr/>
            </w:pPr>
            <w:r>
              <w:rPr/>
              <w:t> </w:t>
            </w:r>
          </w:p>
        </w:tc>
        <w:tc>
          <w:tcPr>
            <w:tcW w:w="96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58,466</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152,747</w:t>
            </w:r>
          </w:p>
        </w:tc>
      </w:tr>
      <w:tr>
        <w:trPr/>
        <w:tc>
          <w:tcPr>
            <w:tcW w:w="7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Payments related to mortgages and notes</w:t>
            </w:r>
          </w:p>
        </w:tc>
        <w:tc>
          <w:tcPr>
            <w:tcW w:w="125"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(60,829)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(191,384)</w:t>
            </w:r>
          </w:p>
        </w:tc>
      </w:tr>
      <w:tr>
        <w:trPr/>
        <w:tc>
          <w:tcPr>
            <w:tcW w:w="79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model sale leaseback financing programs</w:t>
            </w:r>
          </w:p>
        </w:tc>
        <w:tc>
          <w:tcPr>
            <w:tcW w:w="125" w:type="dxa"/>
            <w:tcBorders/>
            <w:shd w:fill="FFFFFF" w:val="clear"/>
            <w:vAlign w:val="center"/>
          </w:tcPr>
          <w:p>
            <w:pPr>
              <w:pStyle w:val="TableContents"/>
              <w:bidi w:val="0"/>
              <w:spacing w:before="0" w:after="0"/>
              <w:jc w:val="left"/>
              <w:rPr/>
            </w:pPr>
            <w:r>
              <w:rPr/>
              <w:t> </w:t>
            </w:r>
          </w:p>
        </w:tc>
        <w:tc>
          <w:tcPr>
            <w:tcW w:w="96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11,933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36,978</w:t>
            </w:r>
          </w:p>
        </w:tc>
      </w:tr>
      <w:tr>
        <w:trPr/>
        <w:tc>
          <w:tcPr>
            <w:tcW w:w="7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Payments related to model sale leaseback financing programs</w:t>
            </w:r>
          </w:p>
        </w:tc>
        <w:tc>
          <w:tcPr>
            <w:tcW w:w="125"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(24,855)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(13,806)</w:t>
            </w:r>
          </w:p>
        </w:tc>
      </w:tr>
      <w:tr>
        <w:trPr/>
        <w:tc>
          <w:tcPr>
            <w:tcW w:w="79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land bank financing programs</w:t>
            </w:r>
          </w:p>
        </w:tc>
        <w:tc>
          <w:tcPr>
            <w:tcW w:w="125" w:type="dxa"/>
            <w:tcBorders/>
            <w:shd w:fill="FFFFFF" w:val="clear"/>
            <w:vAlign w:val="center"/>
          </w:tcPr>
          <w:p>
            <w:pPr>
              <w:pStyle w:val="TableContents"/>
              <w:bidi w:val="0"/>
              <w:spacing w:before="0" w:after="0"/>
              <w:jc w:val="left"/>
              <w:rPr/>
            </w:pPr>
            <w:r>
              <w:rPr/>
              <w:t> </w:t>
            </w:r>
          </w:p>
        </w:tc>
        <w:tc>
          <w:tcPr>
            <w:tcW w:w="96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80,086</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159,819</w:t>
            </w:r>
          </w:p>
        </w:tc>
      </w:tr>
      <w:tr>
        <w:trPr/>
        <w:tc>
          <w:tcPr>
            <w:tcW w:w="7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Payments related to land bank financing programs</w:t>
            </w:r>
          </w:p>
        </w:tc>
        <w:tc>
          <w:tcPr>
            <w:tcW w:w="125"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(84,513)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(85,117)</w:t>
            </w:r>
          </w:p>
        </w:tc>
      </w:tr>
      <w:tr>
        <w:trPr/>
        <w:tc>
          <w:tcPr>
            <w:tcW w:w="79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proceeds (payments) related to mortgage warehouse lines of credit</w:t>
            </w:r>
          </w:p>
        </w:tc>
        <w:tc>
          <w:tcPr>
            <w:tcW w:w="125" w:type="dxa"/>
            <w:tcBorders/>
            <w:shd w:fill="FFFFFF" w:val="clear"/>
            <w:vAlign w:val="center"/>
          </w:tcPr>
          <w:p>
            <w:pPr>
              <w:pStyle w:val="TableContents"/>
              <w:bidi w:val="0"/>
              <w:spacing w:before="0" w:after="0"/>
              <w:jc w:val="left"/>
              <w:rPr/>
            </w:pPr>
            <w:r>
              <w:rPr/>
              <w:t> </w:t>
            </w:r>
          </w:p>
        </w:tc>
        <w:tc>
          <w:tcPr>
            <w:tcW w:w="96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7,349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(21,504)</w:t>
            </w:r>
          </w:p>
        </w:tc>
      </w:tr>
      <w:tr>
        <w:trPr/>
        <w:tc>
          <w:tcPr>
            <w:tcW w:w="7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Payments related to senior notes, senior secured notes and senior unsecured term loan</w:t>
            </w:r>
          </w:p>
        </w:tc>
        <w:tc>
          <w:tcPr>
            <w:tcW w:w="125"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(26,588)</w:t>
            </w:r>
          </w:p>
        </w:tc>
      </w:tr>
      <w:tr>
        <w:trPr/>
        <w:tc>
          <w:tcPr>
            <w:tcW w:w="79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Contributions from noncontrolling interest</w:t>
            </w:r>
          </w:p>
        </w:tc>
        <w:tc>
          <w:tcPr>
            <w:tcW w:w="125" w:type="dxa"/>
            <w:tcBorders/>
            <w:shd w:fill="FFFFFF" w:val="clear"/>
            <w:vAlign w:val="center"/>
          </w:tcPr>
          <w:p>
            <w:pPr>
              <w:pStyle w:val="TableContents"/>
              <w:bidi w:val="0"/>
              <w:spacing w:before="0" w:after="0"/>
              <w:jc w:val="left"/>
              <w:rPr/>
            </w:pPr>
            <w:r>
              <w:rPr/>
              <w:t> </w:t>
            </w:r>
          </w:p>
        </w:tc>
        <w:tc>
          <w:tcPr>
            <w:tcW w:w="96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1,120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7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Preferred dividends paid</w:t>
            </w:r>
          </w:p>
        </w:tc>
        <w:tc>
          <w:tcPr>
            <w:tcW w:w="125"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(8,007)</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(8,007)</w:t>
            </w:r>
          </w:p>
        </w:tc>
      </w:tr>
      <w:tr>
        <w:trPr/>
        <w:tc>
          <w:tcPr>
            <w:tcW w:w="79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Treasury stock purchases</w:t>
            </w:r>
          </w:p>
        </w:tc>
        <w:tc>
          <w:tcPr>
            <w:tcW w:w="125" w:type="dxa"/>
            <w:tcBorders/>
            <w:shd w:fill="FFFFFF" w:val="clear"/>
            <w:vAlign w:val="center"/>
          </w:tcPr>
          <w:p>
            <w:pPr>
              <w:pStyle w:val="TableContents"/>
              <w:bidi w:val="0"/>
              <w:spacing w:before="0" w:after="0"/>
              <w:jc w:val="left"/>
              <w:rPr/>
            </w:pPr>
            <w:r>
              <w:rPr/>
              <w:t> </w:t>
            </w:r>
          </w:p>
        </w:tc>
        <w:tc>
          <w:tcPr>
            <w:tcW w:w="96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(18,467)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(30,302)</w:t>
            </w:r>
          </w:p>
        </w:tc>
      </w:tr>
      <w:tr>
        <w:trPr/>
        <w:tc>
          <w:tcPr>
            <w:tcW w:w="7940" w:type="dxa"/>
            <w:tcBorders>
              <w:bottom w:val="single" w:sz="8"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Deferred financing costs from land banking financing programs and note issuances</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6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(1,395)</w:t>
            </w:r>
          </w:p>
        </w:tc>
        <w:tc>
          <w:tcPr>
            <w:tcW w:w="6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(3,353)</w:t>
            </w:r>
          </w:p>
        </w:tc>
      </w:tr>
      <w:tr>
        <w:trPr/>
        <w:tc>
          <w:tcPr>
            <w:tcW w:w="794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ind w:left="864" w:right="0" w:hanging="0"/>
              <w:jc w:val="left"/>
              <w:rPr>
                <w:rFonts w:ascii="Times New Roman" w:hAnsi="Times New Roman"/>
                <w:sz w:val="20"/>
              </w:rPr>
            </w:pPr>
            <w:r>
              <w:rPr>
                <w:rFonts w:ascii="Times New Roman" w:hAnsi="Times New Roman"/>
                <w:sz w:val="20"/>
              </w:rPr>
              <w:t>Net cash used in financing activities</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96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(39,112)</w:t>
            </w:r>
          </w:p>
        </w:tc>
        <w:tc>
          <w:tcPr>
            <w:tcW w:w="6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color w:val="333333"/>
              </w:rPr>
            </w:pPr>
            <w:r>
              <w:rPr>
                <w:color w:val="333333"/>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98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(30,517)</w:t>
            </w:r>
          </w:p>
        </w:tc>
      </w:tr>
      <w:tr>
        <w:trPr/>
        <w:tc>
          <w:tcPr>
            <w:tcW w:w="794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Net decrease in cash and cash equivalents, and restricted cash and cash equivalents</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6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(27,673)</w:t>
            </w:r>
          </w:p>
        </w:tc>
        <w:tc>
          <w:tcPr>
            <w:tcW w:w="60" w:type="dxa"/>
            <w:tcBorders>
              <w:top w:val="single" w:sz="8" w:space="0" w:color="000000"/>
            </w:tcBorders>
            <w:shd w:fill="CCEEFF" w:val="clear"/>
            <w:tcMar>
              <w:top w:w="28" w:type="dxa"/>
            </w:tcMar>
            <w:vAlign w:val="center"/>
          </w:tcPr>
          <w:p>
            <w:pPr>
              <w:pStyle w:val="TableContents"/>
              <w:bidi w:val="0"/>
              <w:spacing w:before="0" w:after="0"/>
              <w:jc w:val="left"/>
              <w:rPr>
                <w:color w:val="333333"/>
              </w:rPr>
            </w:pPr>
            <w:r>
              <w:rPr>
                <w:color w:val="333333"/>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8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(71,947)</w:t>
            </w:r>
          </w:p>
        </w:tc>
      </w:tr>
      <w:tr>
        <w:trPr/>
        <w:tc>
          <w:tcPr>
            <w:tcW w:w="7940" w:type="dxa"/>
            <w:tcBorders>
              <w:bottom w:val="single" w:sz="8"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Cash and cash equivalents, and restricted cash and cash equivalents balance, beginning of period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96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318,647</w:t>
            </w:r>
          </w:p>
        </w:tc>
        <w:tc>
          <w:tcPr>
            <w:tcW w:w="60"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0"/>
              <w:jc w:val="right"/>
              <w:rPr/>
            </w:pPr>
            <w:r>
              <w:rPr/>
              <w:t> </w:t>
            </w:r>
            <w:r>
              <w:rPr>
                <w:rFonts w:ascii="Times New Roman" w:hAnsi="Times New Roman"/>
                <w:sz w:val="20"/>
              </w:rPr>
              <w:t>266,761</w:t>
            </w:r>
          </w:p>
        </w:tc>
      </w:tr>
      <w:tr>
        <w:trPr/>
        <w:tc>
          <w:tcPr>
            <w:tcW w:w="794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and cash equivalents balance, end of period</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290,974</w:t>
            </w:r>
          </w:p>
        </w:tc>
        <w:tc>
          <w:tcPr>
            <w:tcW w:w="6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color w:val="333333"/>
              </w:rPr>
            </w:pPr>
            <w:r>
              <w:rPr>
                <w:color w:val="333333"/>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color w:val="333333"/>
                <w:sz w:val="20"/>
              </w:rPr>
            </w:pPr>
            <w:r>
              <w:rPr>
                <w:rFonts w:ascii="Times New Roman" w:hAnsi="Times New Roman"/>
                <w:color w:val="333333"/>
                <w:sz w:val="20"/>
              </w:rPr>
              <w:t>$</w:t>
            </w:r>
          </w:p>
        </w:tc>
        <w:tc>
          <w:tcPr>
            <w:tcW w:w="98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194,814</w:t>
            </w:r>
          </w:p>
        </w:tc>
      </w:tr>
      <w:tr>
        <w:trPr/>
        <w:tc>
          <w:tcPr>
            <w:tcW w:w="7940" w:type="dxa"/>
            <w:tcBorders>
              <w:top w:val="double" w:sz="6" w:space="0" w:color="000000"/>
            </w:tcBorders>
            <w:shd w:fill="FFFFFF" w:val="clear"/>
            <w:tcMar>
              <w:top w:w="28" w:type="dxa"/>
            </w:tcMar>
            <w:vAlign w:val="center"/>
          </w:tcPr>
          <w:p>
            <w:pPr>
              <w:pStyle w:val="TableContents"/>
              <w:bidi w:val="0"/>
              <w:spacing w:before="0" w:after="0"/>
              <w:jc w:val="left"/>
              <w:rPr>
                <w:color w:val="333333"/>
              </w:rPr>
            </w:pPr>
            <w:r>
              <w:rPr>
                <w:color w:val="333333"/>
              </w:rPr>
              <w:t> </w:t>
            </w:r>
          </w:p>
        </w:tc>
        <w:tc>
          <w:tcPr>
            <w:tcW w:w="125"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965"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60"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125"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980"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r>
      <w:tr>
        <w:trPr/>
        <w:tc>
          <w:tcPr>
            <w:tcW w:w="7940" w:type="dxa"/>
            <w:tcBorders>
              <w:bottom w:val="single" w:sz="8"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Reconciliation of Cash, cash equivalents and restricted cash</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6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r>
      <w:tr>
        <w:trPr/>
        <w:tc>
          <w:tcPr>
            <w:tcW w:w="7940"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Homebuilding: Cash and cash equivalents</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5"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249,090</w:t>
            </w:r>
          </w:p>
        </w:tc>
        <w:tc>
          <w:tcPr>
            <w:tcW w:w="60"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146,592</w:t>
            </w:r>
          </w:p>
        </w:tc>
      </w:tr>
      <w:tr>
        <w:trPr/>
        <w:tc>
          <w:tcPr>
            <w:tcW w:w="7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Homebuilding: Restricted cash and cash equivalents</w:t>
            </w:r>
          </w:p>
        </w:tc>
        <w:tc>
          <w:tcPr>
            <w:tcW w:w="125"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9,208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12,155</w:t>
            </w:r>
          </w:p>
        </w:tc>
      </w:tr>
      <w:tr>
        <w:trPr/>
        <w:tc>
          <w:tcPr>
            <w:tcW w:w="79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Financial Services: Cash and cash equivalents, included in financial services assets</w:t>
            </w:r>
          </w:p>
        </w:tc>
        <w:tc>
          <w:tcPr>
            <w:tcW w:w="125" w:type="dxa"/>
            <w:tcBorders/>
            <w:shd w:fill="FFFFFF" w:val="clear"/>
            <w:vAlign w:val="center"/>
          </w:tcPr>
          <w:p>
            <w:pPr>
              <w:pStyle w:val="TableContents"/>
              <w:bidi w:val="0"/>
              <w:spacing w:before="0" w:after="0"/>
              <w:jc w:val="left"/>
              <w:rPr/>
            </w:pPr>
            <w:r>
              <w:rPr/>
              <w:t> </w:t>
            </w:r>
          </w:p>
        </w:tc>
        <w:tc>
          <w:tcPr>
            <w:tcW w:w="96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5,077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5,228</w:t>
            </w:r>
          </w:p>
        </w:tc>
      </w:tr>
      <w:tr>
        <w:trPr/>
        <w:tc>
          <w:tcPr>
            <w:tcW w:w="7940" w:type="dxa"/>
            <w:tcBorders>
              <w:bottom w:val="single" w:sz="8"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Financial Services: Restricted cash and cash equivalents, included in financial services assets</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6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27,599</w:t>
            </w:r>
          </w:p>
        </w:tc>
        <w:tc>
          <w:tcPr>
            <w:tcW w:w="6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30,839</w:t>
            </w:r>
          </w:p>
        </w:tc>
      </w:tr>
      <w:tr>
        <w:trPr/>
        <w:tc>
          <w:tcPr>
            <w:tcW w:w="794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 shown in the statements of cash flows</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290,974</w:t>
            </w:r>
          </w:p>
        </w:tc>
        <w:tc>
          <w:tcPr>
            <w:tcW w:w="6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color w:val="333333"/>
              </w:rPr>
            </w:pPr>
            <w:r>
              <w:rPr>
                <w:color w:val="333333"/>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color w:val="333333"/>
                <w:sz w:val="20"/>
              </w:rPr>
            </w:pPr>
            <w:r>
              <w:rPr>
                <w:rFonts w:ascii="Times New Roman" w:hAnsi="Times New Roman"/>
                <w:color w:val="333333"/>
                <w:sz w:val="20"/>
              </w:rPr>
              <w:t>$</w:t>
            </w:r>
          </w:p>
        </w:tc>
        <w:tc>
          <w:tcPr>
            <w:tcW w:w="98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194,814</w:t>
            </w:r>
          </w:p>
        </w:tc>
      </w:tr>
    </w:tbl>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pPr>
      <w:hyperlink w:anchor="TOC_TableofContent">
        <w:r>
          <w:rPr>
            <w:rStyle w:val="InternetLink"/>
            <w:strike w:val="false"/>
            <w:dstrike w:val="false"/>
            <w:color w:val="0000FF"/>
            <w:sz w:val="20"/>
            <w:u w:val="single"/>
            <w:effect w:val="none"/>
          </w:rPr>
          <w:t>Table of Contents</w:t>
        </w:r>
      </w:hyperlink>
    </w:p>
    <w:p>
      <w:pPr>
        <w:pStyle w:val="TextBody"/>
        <w:bidi w:val="0"/>
        <w:spacing w:lineRule="atLeast" w:line="240" w:before="0" w:after="0"/>
        <w:jc w:val="left"/>
        <w:rPr/>
      </w:pPr>
      <w:r>
        <w:rPr/>
        <w:t> </w:t>
      </w:r>
    </w:p>
    <w:p>
      <w:pPr>
        <w:pStyle w:val="TextBody"/>
        <w:shd w:fill="FFFFFF" w:val="clear"/>
        <w:bidi w:val="0"/>
        <w:spacing w:lineRule="atLeast" w:line="240" w:before="0" w:after="0"/>
        <w:jc w:val="center"/>
        <w:rPr>
          <w:sz w:val="20"/>
        </w:rPr>
      </w:pPr>
      <w:r>
        <w:rPr>
          <w:sz w:val="20"/>
        </w:rPr>
        <w:t>HOVNANIAN ENTERPRISES, INC. AND SUBSIDIARIES</w:t>
      </w:r>
    </w:p>
    <w:p>
      <w:pPr>
        <w:pStyle w:val="TextBody"/>
        <w:shd w:fill="FFFFFF" w:val="clear"/>
        <w:bidi w:val="0"/>
        <w:spacing w:lineRule="atLeast" w:line="240" w:before="0" w:after="0"/>
        <w:jc w:val="center"/>
        <w:rPr>
          <w:sz w:val="20"/>
        </w:rPr>
      </w:pPr>
      <w:r>
        <w:rPr>
          <w:sz w:val="20"/>
        </w:rPr>
        <w:t>CONDENSED CONSOLIDATED STATEMENTS OF CASH FLOWS</w:t>
      </w:r>
    </w:p>
    <w:p>
      <w:pPr>
        <w:pStyle w:val="TextBody"/>
        <w:shd w:fill="FFFFFF" w:val="clear"/>
        <w:bidi w:val="0"/>
        <w:spacing w:lineRule="atLeast" w:line="240" w:before="0" w:after="0"/>
        <w:jc w:val="center"/>
        <w:rPr>
          <w:sz w:val="20"/>
        </w:rPr>
      </w:pPr>
      <w:r>
        <w:rPr>
          <w:sz w:val="20"/>
        </w:rPr>
        <w:t>(In thousands - Unaudited)</w:t>
      </w:r>
    </w:p>
    <w:p>
      <w:pPr>
        <w:pStyle w:val="TextBody"/>
        <w:shd w:fill="FFFFFF" w:val="clear"/>
        <w:bidi w:val="0"/>
        <w:spacing w:lineRule="atLeast" w:line="240" w:before="0" w:after="0"/>
        <w:jc w:val="center"/>
        <w:rPr>
          <w:sz w:val="20"/>
        </w:rPr>
      </w:pPr>
      <w:r>
        <w:rPr>
          <w:sz w:val="20"/>
        </w:rPr>
        <w:t>(Continued)</w:t>
      </w:r>
    </w:p>
    <w:p>
      <w:pPr>
        <w:pStyle w:val="TextBody"/>
        <w:bidi w:val="0"/>
        <w:spacing w:lineRule="atLeast" w:line="240" w:before="0" w:after="0"/>
        <w:jc w:val="left"/>
        <w:rPr/>
      </w:pPr>
      <w:r>
        <w:rPr/>
        <w:t> </w:t>
      </w:r>
    </w:p>
    <w:p>
      <w:pPr>
        <w:pStyle w:val="TextBody"/>
        <w:bidi w:val="0"/>
        <w:spacing w:lineRule="atLeast" w:line="240" w:before="0" w:after="0"/>
        <w:jc w:val="left"/>
        <w:rPr>
          <w:rFonts w:ascii="Times New Roman" w:hAnsi="Times New Roman"/>
          <w:b/>
          <w:sz w:val="20"/>
        </w:rPr>
      </w:pPr>
      <w:r>
        <w:rPr>
          <w:rFonts w:ascii="Times New Roman" w:hAnsi="Times New Roman"/>
          <w:b/>
          <w:sz w:val="20"/>
        </w:rPr>
        <w:t>Supplemental disclosure of non-cash investing and financing activities:</w:t>
      </w:r>
    </w:p>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rFonts w:ascii="Times New Roman" w:hAnsi="Times New Roman"/>
          <w:sz w:val="20"/>
        </w:rPr>
        <w:t>In the first quarter of fiscal 2026, we consolidated the remaining assets and liabilities of one</w:t>
      </w:r>
      <w:r>
        <w:rPr/>
        <w:t xml:space="preserve"> </w:t>
      </w:r>
      <w:r>
        <w:rPr>
          <w:rFonts w:ascii="Times New Roman" w:hAnsi="Times New Roman"/>
          <w:sz w:val="20"/>
        </w:rPr>
        <w:t>of our unconsolidated joint ventures, resulting in a decrease in our investment of $72.2</w:t>
      </w:r>
      <w:r>
        <w:rPr/>
        <w:t xml:space="preserve"> </w:t>
      </w:r>
      <w:r>
        <w:rPr>
          <w:rFonts w:ascii="Times New Roman" w:hAnsi="Times New Roman"/>
          <w:sz w:val="20"/>
        </w:rPr>
        <w:t>million and an increase of $87.9</w:t>
      </w:r>
      <w:r>
        <w:rPr/>
        <w:t xml:space="preserve"> </w:t>
      </w:r>
      <w:r>
        <w:rPr>
          <w:rFonts w:ascii="Times New Roman" w:hAnsi="Times New Roman"/>
          <w:sz w:val="20"/>
        </w:rPr>
        <w:t>million to inventory, $2.7</w:t>
      </w:r>
      <w:r>
        <w:rPr/>
        <w:t xml:space="preserve"> </w:t>
      </w:r>
      <w:r>
        <w:rPr>
          <w:rFonts w:ascii="Times New Roman" w:hAnsi="Times New Roman"/>
          <w:sz w:val="20"/>
        </w:rPr>
        <w:t>million to other assets, $14.0</w:t>
      </w:r>
      <w:r>
        <w:rPr/>
        <w:t xml:space="preserve"> </w:t>
      </w:r>
      <w:r>
        <w:rPr>
          <w:rFonts w:ascii="Times New Roman" w:hAnsi="Times New Roman"/>
          <w:sz w:val="20"/>
        </w:rPr>
        <w:t>million to accounts payable, $2.6</w:t>
      </w:r>
      <w:r>
        <w:rPr/>
        <w:t xml:space="preserve"> </w:t>
      </w:r>
      <w:r>
        <w:rPr>
          <w:rFonts w:ascii="Times New Roman" w:hAnsi="Times New Roman"/>
          <w:sz w:val="20"/>
        </w:rPr>
        <w:t>million to customer deposits, $5.2</w:t>
      </w:r>
      <w:r>
        <w:rPr/>
        <w:t xml:space="preserve"> </w:t>
      </w:r>
      <w:r>
        <w:rPr>
          <w:rFonts w:ascii="Times New Roman" w:hAnsi="Times New Roman"/>
          <w:sz w:val="20"/>
        </w:rPr>
        <w:t>million to nonrecourse mortgages and notes, net of debt issuance costs and $0.4</w:t>
      </w:r>
      <w:r>
        <w:rPr/>
        <w:t xml:space="preserve"> </w:t>
      </w:r>
      <w:r>
        <w:rPr>
          <w:rFonts w:ascii="Times New Roman" w:hAnsi="Times New Roman"/>
          <w:sz w:val="20"/>
        </w:rPr>
        <w:t>million of liabilities from inventory not owned.</w:t>
      </w:r>
    </w:p>
    <w:p>
      <w:pPr>
        <w:pStyle w:val="TextBody"/>
        <w:shd w:fill="FFFFFF" w:val="clear"/>
        <w:bidi w:val="0"/>
        <w:spacing w:lineRule="atLeast" w:line="240" w:before="0" w:after="0"/>
        <w:ind w:left="0" w:right="0" w:firstLine="900"/>
        <w:jc w:val="left"/>
        <w:rPr/>
      </w:pPr>
      <w:r>
        <w:rPr/>
        <w:t> </w:t>
      </w:r>
    </w:p>
    <w:p>
      <w:pPr>
        <w:pStyle w:val="TextBody"/>
        <w:shd w:fill="FFFFFF" w:val="clear"/>
        <w:bidi w:val="0"/>
        <w:spacing w:lineRule="atLeast" w:line="240" w:before="0" w:after="0"/>
        <w:ind w:left="0" w:right="0" w:firstLine="900"/>
        <w:jc w:val="left"/>
        <w:rPr/>
      </w:pPr>
      <w:r>
        <w:rPr>
          <w:rFonts w:ascii="Times New Roman" w:hAnsi="Times New Roman"/>
          <w:sz w:val="20"/>
        </w:rPr>
        <w:t>In the first quarter of fiscal 2026, we acquired a controlling financial interest in a previously unconsolidated joint venture in the Kingdom of Saudi Arabia</w:t>
      </w:r>
      <w:r>
        <w:rPr/>
        <w:t> </w:t>
      </w:r>
      <w:r>
        <w:rPr>
          <w:rFonts w:ascii="Times New Roman" w:hAnsi="Times New Roman"/>
          <w:sz w:val="20"/>
        </w:rPr>
        <w:t>("KSA"). As part of the transaction, we consolidated the assets and liabilities of KSA, resulting in an increase of $88.3</w:t>
      </w:r>
      <w:r>
        <w:rPr/>
        <w:t xml:space="preserve"> </w:t>
      </w:r>
      <w:r>
        <w:rPr>
          <w:rFonts w:ascii="Times New Roman" w:hAnsi="Times New Roman"/>
          <w:sz w:val="20"/>
        </w:rPr>
        <w:t>million to inventory, $24.0</w:t>
      </w:r>
      <w:r>
        <w:rPr/>
        <w:t xml:space="preserve"> </w:t>
      </w:r>
      <w:r>
        <w:rPr>
          <w:rFonts w:ascii="Times New Roman" w:hAnsi="Times New Roman"/>
          <w:sz w:val="20"/>
        </w:rPr>
        <w:t>million to other assets, $0.5</w:t>
      </w:r>
      <w:r>
        <w:rPr/>
        <w:t xml:space="preserve"> </w:t>
      </w:r>
      <w:r>
        <w:rPr>
          <w:rFonts w:ascii="Times New Roman" w:hAnsi="Times New Roman"/>
          <w:sz w:val="20"/>
        </w:rPr>
        <w:t>million to property and equipment, $132.4</w:t>
      </w:r>
      <w:r>
        <w:rPr/>
        <w:t xml:space="preserve"> </w:t>
      </w:r>
      <w:r>
        <w:rPr>
          <w:rFonts w:ascii="Times New Roman" w:hAnsi="Times New Roman"/>
          <w:sz w:val="20"/>
        </w:rPr>
        <w:t>million to customer deposits and $28.4</w:t>
      </w:r>
      <w:r>
        <w:rPr/>
        <w:t xml:space="preserve"> </w:t>
      </w:r>
      <w:r>
        <w:rPr>
          <w:rFonts w:ascii="Times New Roman" w:hAnsi="Times New Roman"/>
          <w:sz w:val="20"/>
        </w:rPr>
        <w:t>million to accounts payable, along with $1.9</w:t>
      </w:r>
      <w:r>
        <w:rPr/>
        <w:t xml:space="preserve"> </w:t>
      </w:r>
      <w:r>
        <w:rPr>
          <w:rFonts w:ascii="Times New Roman" w:hAnsi="Times New Roman"/>
          <w:sz w:val="20"/>
        </w:rPr>
        <w:t>million in noncontrolling</w:t>
      </w:r>
      <w:r>
        <w:rPr/>
        <w:t> </w:t>
      </w:r>
      <w:r>
        <w:rPr>
          <w:rFonts w:ascii="Times New Roman" w:hAnsi="Times New Roman"/>
          <w:sz w:val="20"/>
        </w:rPr>
        <w:t>interest.</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r>
        <w:br w:type="page"/>
      </w:r>
    </w:p>
    <w:p>
      <w:pPr>
        <w:pStyle w:val="TextBody"/>
        <w:bidi w:val="0"/>
        <w:spacing w:lineRule="atLeast" w:line="240" w:before="0" w:after="0"/>
        <w:jc w:val="left"/>
        <w:rPr/>
      </w:pPr>
      <w:hyperlink w:anchor="TOC">
        <w:r>
          <w:rPr>
            <w:rStyle w:val="InternetLink"/>
            <w:strike w:val="false"/>
            <w:dstrike w:val="false"/>
            <w:sz w:val="20"/>
            <w:u w:val="single"/>
            <w:effect w:val="none"/>
          </w:rPr>
          <w:t>Table of Contents</w:t>
        </w:r>
      </w:hyperlink>
    </w:p>
    <w:p>
      <w:pPr>
        <w:pStyle w:val="TextBody"/>
        <w:bidi w:val="0"/>
        <w:spacing w:lineRule="atLeast" w:line="240" w:before="200" w:after="0"/>
        <w:jc w:val="left"/>
        <w:rPr>
          <w:sz w:val="20"/>
        </w:rPr>
      </w:pPr>
      <w:r>
        <w:rPr>
          <w:sz w:val="20"/>
        </w:rPr>
        <w:t>HOVNANIAN ENTERPRISES, INC. AND SUBSIDIARIES</w:t>
      </w:r>
    </w:p>
    <w:p>
      <w:pPr>
        <w:pStyle w:val="TextBody"/>
        <w:bidi w:val="0"/>
        <w:spacing w:lineRule="atLeast" w:line="240" w:before="0" w:after="0"/>
        <w:jc w:val="left"/>
        <w:rPr/>
      </w:pPr>
      <w:hyperlink w:anchor="TOC">
        <w:bookmarkStart w:id="9" w:name="bm_df88b7465ea42c55"/>
        <w:bookmarkEnd w:id="9"/>
        <w:r>
          <w:rPr>
            <w:rStyle w:val="InternetLink"/>
            <w:strike w:val="false"/>
            <w:dstrike w:val="false"/>
            <w:color w:val="000000"/>
            <w:sz w:val="20"/>
            <w:u w:val="none"/>
            <w:effect w:val="none"/>
          </w:rPr>
          <w:t>NOTES TO CONDENSED CONSOLIDATED FINANCIAL STATEMENTS - UNAUDITED</w:t>
        </w:r>
      </w:hyperlink>
    </w:p>
    <w:p>
      <w:pPr>
        <w:pStyle w:val="TextBody"/>
        <w:bidi w:val="0"/>
        <w:spacing w:lineRule="atLeast" w:line="240" w:before="0" w:after="0"/>
        <w:jc w:val="left"/>
        <w:rPr/>
      </w:pPr>
      <w:r>
        <w:rPr/>
        <w:t> </w:t>
      </w:r>
    </w:p>
    <w:tbl>
      <w:tblPr>
        <w:tblW w:w="1990" w:type="dxa"/>
        <w:jc w:val="left"/>
        <w:tblInd w:w="0" w:type="dxa"/>
        <w:tblLayout w:type="fixed"/>
        <w:tblCellMar>
          <w:top w:w="0" w:type="dxa"/>
          <w:left w:w="0" w:type="dxa"/>
          <w:bottom w:w="0" w:type="dxa"/>
          <w:right w:w="0" w:type="dxa"/>
        </w:tblCellMar>
      </w:tblPr>
      <w:tblGrid>
        <w:gridCol w:w="185"/>
        <w:gridCol w:w="1805"/>
      </w:tblGrid>
      <w:tr>
        <w:trPr/>
        <w:tc>
          <w:tcPr>
            <w:tcW w:w="185" w:type="dxa"/>
            <w:tcBorders/>
            <w:vAlign w:val="center"/>
          </w:tcPr>
          <w:p>
            <w:pPr>
              <w:pStyle w:val="TableContents"/>
              <w:bidi w:val="0"/>
              <w:spacing w:lineRule="atLeast" w:line="240" w:before="0" w:after="0"/>
              <w:jc w:val="left"/>
              <w:rPr>
                <w:rFonts w:ascii="Times New Roman" w:hAnsi="Times New Roman"/>
                <w:b/>
                <w:sz w:val="20"/>
              </w:rPr>
            </w:pPr>
            <w:r>
              <w:rPr>
                <w:rFonts w:ascii="Times New Roman" w:hAnsi="Times New Roman"/>
                <w:b/>
                <w:sz w:val="20"/>
              </w:rPr>
              <w:t>1.</w:t>
            </w:r>
          </w:p>
        </w:tc>
        <w:tc>
          <w:tcPr>
            <w:tcW w:w="1805" w:type="dxa"/>
            <w:tcBorders/>
            <w:vAlign w:val="center"/>
          </w:tcPr>
          <w:p>
            <w:pPr>
              <w:pStyle w:val="TableContents"/>
              <w:bidi w:val="0"/>
              <w:spacing w:lineRule="atLeast" w:line="240" w:before="0" w:after="0"/>
              <w:jc w:val="left"/>
              <w:rPr>
                <w:rFonts w:ascii="Times New Roman" w:hAnsi="Times New Roman"/>
                <w:b/>
                <w:sz w:val="20"/>
              </w:rPr>
            </w:pPr>
            <w:r>
              <w:rPr>
                <w:rFonts w:ascii="Times New Roman" w:hAnsi="Times New Roman"/>
                <w:b/>
                <w:sz w:val="20"/>
              </w:rPr>
              <w:t>Basis of Presentation</w:t>
            </w:r>
          </w:p>
        </w:tc>
      </w:tr>
    </w:tbl>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rFonts w:ascii="Times New Roman" w:hAnsi="Times New Roman"/>
          <w:sz w:val="20"/>
        </w:rPr>
      </w:pPr>
      <w:r>
        <w:rPr>
          <w:rFonts w:ascii="Times New Roman" w:hAnsi="Times New Roman"/>
          <w:sz w:val="20"/>
        </w:rPr>
        <w:t>Hovnanian Enterprises, Inc. (“HEI”) conducts all of its homebuilding and financial services operations through its consolidated subsidiaries (references herein to the “Company,” “we,” “us” or “our” refer to HEI and its consolidated subsidiaries and should be understood to reflect the consolidated business of HEI’s subsidiaries).</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rFonts w:ascii="Times New Roman" w:hAnsi="Times New Roman"/>
          <w:sz w:val="20"/>
        </w:rPr>
        <w:t>The accompanying unaudited Condensed Consolidated Financial Statements include HEI's</w:t>
      </w:r>
      <w:r>
        <w:rPr/>
        <w:t> </w:t>
      </w:r>
      <w:r>
        <w:rPr>
          <w:rFonts w:ascii="Times New Roman" w:hAnsi="Times New Roman"/>
          <w:sz w:val="20"/>
        </w:rPr>
        <w:t>accounts and those of all of its consolidated subsidiaries after elimination of all intercompany balances and transactions. Noncontrolling interest represents the proportionate equity interest in a consolidated subsidiary that is not 100% owned by the Company directly or indirectly. On January 1, 2026, we acquired a controlling interest in a previously unconsolidated joint venture in the Kingdom of Saudi Arabia ("KSA"), that operates and markets itself under the trade name HOV Global. Beginning in the first quarter of fiscal 2026, the results from KSA are included in our consolidated financial statements.</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rFonts w:ascii="Times New Roman" w:hAnsi="Times New Roman"/>
          <w:sz w:val="20"/>
        </w:rPr>
        <w:t>The accompanying unaudited Condensed Consolidated Financial Statements have been prepared in accordance with accounting principles generally accepted in the United States of America (“U.S. GAAP”) for interim financial information and with the instructions to Form 10-Q and Article 10 of Regulation S-X, and accordingly, they do not include all of the information and footnotes required by U.S. GAAP for complete financial statements. These Condensed Consolidated Financial Statements should be read in conjunction with the Consolidated Financial Statements and notes thereto included in our Annual Report on Form 10-K for the fiscal year ended October 31, 2025.</w:t>
      </w:r>
      <w:r>
        <w:rPr/>
        <w:t> </w:t>
      </w:r>
      <w:r>
        <w:rPr>
          <w:rFonts w:ascii="Times New Roman" w:hAnsi="Times New Roman"/>
          <w:sz w:val="20"/>
        </w:rPr>
        <w:t>In the opinion of management, all adjustments for interim periods presented have been made, which include normal recurring accruals and deferrals necessary for a fair presentation of our condensed consolidated financial position, results of operations and cash flows.</w:t>
      </w:r>
      <w:r>
        <w:rPr/>
        <w:t> </w:t>
      </w:r>
      <w:r>
        <w:rPr>
          <w:rFonts w:ascii="Times New Roman" w:hAnsi="Times New Roman"/>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r>
        <w:rPr/>
        <w:t> </w:t>
      </w:r>
      <w:r>
        <w:rPr>
          <w:rFonts w:ascii="Times New Roman" w:hAnsi="Times New Roman"/>
          <w:sz w:val="20"/>
        </w:rPr>
        <w:t>Actual results could differ from those estimates, and these differences could have a significant impact on the Condensed Consolidated Financial Statements.</w:t>
      </w:r>
      <w:r>
        <w:rPr/>
        <w:t> </w:t>
      </w:r>
      <w:r>
        <w:rPr>
          <w:rFonts w:ascii="Times New Roman" w:hAnsi="Times New Roman"/>
          <w:sz w:val="20"/>
        </w:rPr>
        <w:t>Results for interim periods are not necessarily indicative of the results which might be expected for a full year.</w:t>
      </w:r>
    </w:p>
    <w:p>
      <w:pPr>
        <w:pStyle w:val="TextBody"/>
        <w:bidi w:val="0"/>
        <w:spacing w:lineRule="atLeast" w:line="240" w:before="0" w:after="0"/>
        <w:jc w:val="left"/>
        <w:rPr/>
      </w:pPr>
      <w:r>
        <w:rPr/>
        <w:t> </w:t>
      </w:r>
    </w:p>
    <w:tbl>
      <w:tblPr>
        <w:tblW w:w="1945" w:type="dxa"/>
        <w:jc w:val="left"/>
        <w:tblInd w:w="0" w:type="dxa"/>
        <w:tblLayout w:type="fixed"/>
        <w:tblCellMar>
          <w:top w:w="0" w:type="dxa"/>
          <w:left w:w="0" w:type="dxa"/>
          <w:bottom w:w="0" w:type="dxa"/>
          <w:right w:w="0" w:type="dxa"/>
        </w:tblCellMar>
      </w:tblPr>
      <w:tblGrid>
        <w:gridCol w:w="185"/>
        <w:gridCol w:w="1760"/>
      </w:tblGrid>
      <w:tr>
        <w:trPr/>
        <w:tc>
          <w:tcPr>
            <w:tcW w:w="185" w:type="dxa"/>
            <w:tcBorders/>
            <w:vAlign w:val="center"/>
          </w:tcPr>
          <w:p>
            <w:pPr>
              <w:pStyle w:val="TableContents"/>
              <w:bidi w:val="0"/>
              <w:spacing w:lineRule="atLeast" w:line="240" w:before="0" w:after="0"/>
              <w:jc w:val="left"/>
              <w:rPr>
                <w:rFonts w:ascii="Times New Roman" w:hAnsi="Times New Roman"/>
                <w:b/>
                <w:sz w:val="20"/>
              </w:rPr>
            </w:pPr>
            <w:r>
              <w:rPr>
                <w:rFonts w:ascii="Times New Roman" w:hAnsi="Times New Roman"/>
                <w:b/>
                <w:sz w:val="20"/>
              </w:rPr>
              <w:t>2.</w:t>
            </w:r>
          </w:p>
        </w:tc>
        <w:tc>
          <w:tcPr>
            <w:tcW w:w="1760" w:type="dxa"/>
            <w:tcBorders/>
            <w:vAlign w:val="center"/>
          </w:tcPr>
          <w:p>
            <w:pPr>
              <w:pStyle w:val="TableContents"/>
              <w:bidi w:val="0"/>
              <w:spacing w:lineRule="atLeast" w:line="240" w:before="0" w:after="0"/>
              <w:jc w:val="left"/>
              <w:rPr>
                <w:rFonts w:ascii="Times New Roman" w:hAnsi="Times New Roman"/>
                <w:b/>
                <w:sz w:val="20"/>
              </w:rPr>
            </w:pPr>
            <w:r>
              <w:rPr>
                <w:rFonts w:ascii="Times New Roman" w:hAnsi="Times New Roman"/>
                <w:b/>
                <w:sz w:val="20"/>
              </w:rPr>
              <w:t>Stock Compensation</w:t>
            </w:r>
          </w:p>
        </w:tc>
      </w:tr>
    </w:tbl>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rFonts w:ascii="Times New Roman" w:hAnsi="Times New Roman"/>
          <w:sz w:val="20"/>
        </w:rPr>
        <w:t>During the first quarter of fiscal 2026, the Board of Directors (the "Board") approved certain grants under a new Long-Term Incentive Program (the "2026</w:t>
      </w:r>
      <w:r>
        <w:rPr/>
        <w:t> </w:t>
      </w:r>
      <w:r>
        <w:rPr>
          <w:rFonts w:ascii="Times New Roman" w:hAnsi="Times New Roman"/>
          <w:sz w:val="20"/>
        </w:rPr>
        <w:t>LTIP") that contain performance-based vesting conditions. The performance period for the 2026</w:t>
      </w:r>
      <w:r>
        <w:rPr/>
        <w:t> </w:t>
      </w:r>
      <w:r>
        <w:rPr>
          <w:rFonts w:ascii="Times New Roman" w:hAnsi="Times New Roman"/>
          <w:sz w:val="20"/>
        </w:rPr>
        <w:t>LTIP commenced on November 1, 2025</w:t>
      </w:r>
      <w:r>
        <w:rPr/>
        <w:t> </w:t>
      </w:r>
      <w:r>
        <w:rPr>
          <w:rFonts w:ascii="Times New Roman" w:hAnsi="Times New Roman"/>
          <w:sz w:val="20"/>
        </w:rPr>
        <w:t>and will end on October 31, 2028. At the end of the performance period, approximately 50% of the awards, if any, are payable in shares of Company stock, subject to a mandatory two-year</w:t>
      </w:r>
      <w:r>
        <w:rPr/>
        <w:t> </w:t>
      </w:r>
      <w:r>
        <w:rPr>
          <w:rFonts w:ascii="Times New Roman" w:hAnsi="Times New Roman"/>
          <w:sz w:val="20"/>
        </w:rPr>
        <w:t xml:space="preserve">post-vesting hold period and approximately 50% of the awards, if any, are paid in cash based on the earned phantom stock units. </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rFonts w:ascii="Times New Roman" w:hAnsi="Times New Roman"/>
          <w:sz w:val="20"/>
        </w:rPr>
        <w:t>During the third quarter of fiscal 2026, the Board approved certain grants under a new Performance Stock Units Program (the “2026 PSUs”) that also contain performance-based vesting conditions. The performance period for the 2026 PSUs commenced on June 12, 2026 and will end on April 30, 2027. Upon vesting, 50% of the awards, if any, are payable in shares of Company stock, subject to a mandatory two-year</w:t>
      </w:r>
      <w:r>
        <w:rPr/>
        <w:t> </w:t>
      </w:r>
      <w:r>
        <w:rPr>
          <w:rFonts w:ascii="Times New Roman" w:hAnsi="Times New Roman"/>
          <w:sz w:val="20"/>
        </w:rPr>
        <w:t>post-vesting hold period and approximately 50% of the awards, if any, are paid in cash based on the earned phantom stock units.</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rFonts w:ascii="Times New Roman" w:hAnsi="Times New Roman"/>
          <w:sz w:val="20"/>
        </w:rPr>
        <w:t>For the three and nine</w:t>
      </w:r>
      <w:r>
        <w:rPr/>
        <w:t> </w:t>
      </w:r>
      <w:r>
        <w:rPr>
          <w:rFonts w:ascii="Times New Roman" w:hAnsi="Times New Roman"/>
          <w:sz w:val="20"/>
        </w:rPr>
        <w:t>months ended July 31, 2026, stock-based compensation expense was</w:t>
      </w:r>
      <w:r>
        <w:rPr/>
        <w:t> </w:t>
      </w:r>
      <w:r>
        <w:rPr>
          <w:rFonts w:ascii="Times New Roman" w:hAnsi="Times New Roman"/>
          <w:sz w:val="20"/>
        </w:rPr>
        <w:t>$5.5</w:t>
      </w:r>
      <w:r>
        <w:rPr/>
        <w:t> </w:t>
      </w:r>
      <w:r>
        <w:rPr>
          <w:rFonts w:ascii="Times New Roman" w:hAnsi="Times New Roman"/>
          <w:sz w:val="20"/>
        </w:rPr>
        <w:t>million</w:t>
      </w:r>
      <w:r>
        <w:rPr/>
        <w:t> </w:t>
      </w:r>
      <w:r>
        <w:rPr>
          <w:rFonts w:ascii="Times New Roman" w:hAnsi="Times New Roman"/>
          <w:sz w:val="20"/>
        </w:rPr>
        <w:t>($5.5</w:t>
      </w:r>
      <w:r>
        <w:rPr/>
        <w:t xml:space="preserve"> </w:t>
      </w:r>
      <w:r>
        <w:rPr>
          <w:rFonts w:ascii="Times New Roman" w:hAnsi="Times New Roman"/>
          <w:sz w:val="20"/>
        </w:rPr>
        <w:t>million net of tax) and</w:t>
      </w:r>
      <w:r>
        <w:rPr/>
        <w:t> </w:t>
      </w:r>
      <w:r>
        <w:rPr>
          <w:rFonts w:ascii="Times New Roman" w:hAnsi="Times New Roman"/>
          <w:sz w:val="20"/>
        </w:rPr>
        <w:t>$8.9</w:t>
      </w:r>
      <w:r>
        <w:rPr/>
        <w:t> </w:t>
      </w:r>
      <w:r>
        <w:rPr>
          <w:rFonts w:ascii="Times New Roman" w:hAnsi="Times New Roman"/>
          <w:sz w:val="20"/>
        </w:rPr>
        <w:t>million ($6.1</w:t>
      </w:r>
      <w:r>
        <w:rPr/>
        <w:t> </w:t>
      </w:r>
      <w:r>
        <w:rPr>
          <w:rFonts w:ascii="Times New Roman" w:hAnsi="Times New Roman"/>
          <w:sz w:val="20"/>
        </w:rPr>
        <w:t>million</w:t>
      </w:r>
      <w:r>
        <w:rPr/>
        <w:t> </w:t>
      </w:r>
      <w:r>
        <w:rPr>
          <w:rFonts w:ascii="Times New Roman" w:hAnsi="Times New Roman"/>
          <w:sz w:val="20"/>
        </w:rPr>
        <w:t>net of tax), respectively.</w:t>
      </w:r>
      <w:r>
        <w:rPr/>
        <w:t> </w:t>
      </w:r>
      <w:r>
        <w:rPr>
          <w:rFonts w:ascii="Times New Roman" w:hAnsi="Times New Roman"/>
          <w:sz w:val="20"/>
        </w:rPr>
        <w:t>For</w:t>
      </w:r>
      <w:r>
        <w:rPr/>
        <w:t> </w:t>
      </w:r>
      <w:r>
        <w:rPr>
          <w:rFonts w:ascii="Times New Roman" w:hAnsi="Times New Roman"/>
          <w:sz w:val="20"/>
        </w:rPr>
        <w:t>the</w:t>
      </w:r>
      <w:r>
        <w:rPr/>
        <w:t> </w:t>
      </w:r>
      <w:r>
        <w:rPr>
          <w:rFonts w:ascii="Times New Roman" w:hAnsi="Times New Roman"/>
          <w:sz w:val="20"/>
        </w:rPr>
        <w:t>three and nine</w:t>
      </w:r>
      <w:r>
        <w:rPr/>
        <w:t> </w:t>
      </w:r>
      <w:r>
        <w:rPr>
          <w:rFonts w:ascii="Times New Roman" w:hAnsi="Times New Roman"/>
          <w:sz w:val="20"/>
        </w:rPr>
        <w:t>months ended July 31, 2025, stock-based compensation expense was</w:t>
      </w:r>
      <w:r>
        <w:rPr/>
        <w:t> </w:t>
      </w:r>
      <w:r>
        <w:rPr>
          <w:rFonts w:ascii="Times New Roman" w:hAnsi="Times New Roman"/>
          <w:sz w:val="20"/>
        </w:rPr>
        <w:t>$6.2</w:t>
      </w:r>
      <w:r>
        <w:rPr/>
        <w:t> </w:t>
      </w:r>
      <w:r>
        <w:rPr>
          <w:rFonts w:ascii="Times New Roman" w:hAnsi="Times New Roman"/>
          <w:sz w:val="20"/>
        </w:rPr>
        <w:t>million ($4.4</w:t>
      </w:r>
      <w:r>
        <w:rPr/>
        <w:t> </w:t>
      </w:r>
      <w:r>
        <w:rPr>
          <w:rFonts w:ascii="Times New Roman" w:hAnsi="Times New Roman"/>
          <w:sz w:val="20"/>
        </w:rPr>
        <w:t>million net of</w:t>
      </w:r>
      <w:r>
        <w:rPr/>
        <w:t> </w:t>
      </w:r>
      <w:r>
        <w:rPr>
          <w:rFonts w:ascii="Times New Roman" w:hAnsi="Times New Roman"/>
          <w:sz w:val="20"/>
        </w:rPr>
        <w:t>tax)</w:t>
      </w:r>
      <w:r>
        <w:rPr/>
        <w:t> </w:t>
      </w:r>
      <w:r>
        <w:rPr>
          <w:rFonts w:ascii="Times New Roman" w:hAnsi="Times New Roman"/>
          <w:sz w:val="20"/>
        </w:rPr>
        <w:t>and</w:t>
      </w:r>
      <w:r>
        <w:rPr/>
        <w:t> </w:t>
      </w:r>
      <w:r>
        <w:rPr>
          <w:rFonts w:ascii="Times New Roman" w:hAnsi="Times New Roman"/>
          <w:sz w:val="20"/>
        </w:rPr>
        <w:t>$14.1</w:t>
      </w:r>
      <w:r>
        <w:rPr/>
        <w:t> </w:t>
      </w:r>
      <w:r>
        <w:rPr>
          <w:rFonts w:ascii="Times New Roman" w:hAnsi="Times New Roman"/>
          <w:sz w:val="20"/>
        </w:rPr>
        <w:t>million ($10.1</w:t>
      </w:r>
      <w:r>
        <w:rPr/>
        <w:t> </w:t>
      </w:r>
      <w:r>
        <w:rPr>
          <w:rFonts w:ascii="Times New Roman" w:hAnsi="Times New Roman"/>
          <w:sz w:val="20"/>
        </w:rPr>
        <w:t>million</w:t>
      </w:r>
      <w:r>
        <w:rPr/>
        <w:t> </w:t>
      </w:r>
      <w:r>
        <w:rPr>
          <w:rFonts w:ascii="Times New Roman" w:hAnsi="Times New Roman"/>
          <w:sz w:val="20"/>
        </w:rPr>
        <w:t>net of tax), respectively.</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TableofContent">
        <w:r>
          <w:rPr>
            <w:rStyle w:val="InternetLink"/>
            <w:strike w:val="false"/>
            <w:dstrike w:val="false"/>
            <w:color w:val="0000FF"/>
            <w:sz w:val="20"/>
            <w:u w:val="single"/>
            <w:effect w:val="none"/>
          </w:rPr>
          <w:t>Table of Contents</w:t>
        </w:r>
      </w:hyperlink>
    </w:p>
    <w:p>
      <w:pPr>
        <w:pStyle w:val="TextBody"/>
        <w:bidi w:val="0"/>
        <w:spacing w:before="0" w:after="0"/>
        <w:jc w:val="left"/>
        <w:rPr/>
      </w:pPr>
      <w:r>
        <w:rPr/>
        <w:t> </w:t>
      </w:r>
    </w:p>
    <w:tbl>
      <w:tblPr>
        <w:tblW w:w="865" w:type="dxa"/>
        <w:jc w:val="left"/>
        <w:tblInd w:w="0" w:type="dxa"/>
        <w:tblLayout w:type="fixed"/>
        <w:tblCellMar>
          <w:top w:w="0" w:type="dxa"/>
          <w:left w:w="0" w:type="dxa"/>
          <w:bottom w:w="0" w:type="dxa"/>
          <w:right w:w="0" w:type="dxa"/>
        </w:tblCellMar>
      </w:tblPr>
      <w:tblGrid>
        <w:gridCol w:w="185"/>
        <w:gridCol w:w="680"/>
      </w:tblGrid>
      <w:tr>
        <w:trPr/>
        <w:tc>
          <w:tcPr>
            <w:tcW w:w="1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3.</w:t>
            </w:r>
          </w:p>
        </w:tc>
        <w:tc>
          <w:tcPr>
            <w:tcW w:w="6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Interest</w:t>
            </w:r>
          </w:p>
        </w:tc>
      </w:tr>
    </w:tbl>
    <w:p>
      <w:pPr>
        <w:pStyle w:val="TextBody"/>
        <w:bidi w:val="0"/>
        <w:spacing w:before="200" w:after="200"/>
        <w:ind w:left="0" w:right="0" w:firstLine="900"/>
        <w:jc w:val="left"/>
        <w:rPr>
          <w:rFonts w:ascii="Times New Roman" w:hAnsi="Times New Roman"/>
          <w:sz w:val="20"/>
        </w:rPr>
      </w:pPr>
      <w:r>
        <w:rPr>
          <w:rFonts w:ascii="Times New Roman" w:hAnsi="Times New Roman"/>
          <w:sz w:val="20"/>
        </w:rPr>
        <w:t>Interest costs incurred, expensed and capitalized were as follows:</w:t>
      </w:r>
    </w:p>
    <w:tbl>
      <w:tblPr>
        <w:tblW w:w="8533" w:type="dxa"/>
        <w:jc w:val="left"/>
        <w:tblInd w:w="0" w:type="dxa"/>
        <w:tblLayout w:type="fixed"/>
        <w:tblCellMar>
          <w:top w:w="0" w:type="dxa"/>
          <w:left w:w="0" w:type="dxa"/>
          <w:bottom w:w="0" w:type="dxa"/>
          <w:right w:w="0" w:type="dxa"/>
        </w:tblCellMar>
      </w:tblPr>
      <w:tblGrid>
        <w:gridCol w:w="4940"/>
        <w:gridCol w:w="129"/>
        <w:gridCol w:w="734"/>
        <w:gridCol w:w="62"/>
        <w:gridCol w:w="129"/>
        <w:gridCol w:w="734"/>
        <w:gridCol w:w="60"/>
        <w:gridCol w:w="125"/>
        <w:gridCol w:w="710"/>
        <w:gridCol w:w="60"/>
        <w:gridCol w:w="125"/>
        <w:gridCol w:w="725"/>
      </w:tblGrid>
      <w:tr>
        <w:trPr/>
        <w:tc>
          <w:tcPr>
            <w:tcW w:w="4940" w:type="dxa"/>
            <w:tcBorders/>
            <w:vAlign w:val="center"/>
          </w:tcPr>
          <w:p>
            <w:pPr>
              <w:pStyle w:val="TableContents"/>
              <w:bidi w:val="0"/>
              <w:spacing w:before="0" w:after="0"/>
              <w:jc w:val="left"/>
              <w:rPr/>
            </w:pPr>
            <w:r>
              <w:rPr/>
              <w:t> </w:t>
            </w:r>
          </w:p>
        </w:tc>
        <w:tc>
          <w:tcPr>
            <w:tcW w:w="1788" w:type="dxa"/>
            <w:gridSpan w:val="5"/>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60" w:type="dxa"/>
            <w:tcBorders/>
            <w:vAlign w:val="center"/>
          </w:tcPr>
          <w:p>
            <w:pPr>
              <w:pStyle w:val="TableContents"/>
              <w:bidi w:val="0"/>
              <w:spacing w:before="0" w:after="0"/>
              <w:jc w:val="left"/>
              <w:rPr/>
            </w:pPr>
            <w:r>
              <w:rPr/>
              <w:t> </w:t>
            </w:r>
          </w:p>
        </w:tc>
        <w:tc>
          <w:tcPr>
            <w:tcW w:w="1745" w:type="dxa"/>
            <w:gridSpan w:val="5"/>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Nine Months Ended</w:t>
            </w:r>
          </w:p>
        </w:tc>
      </w:tr>
      <w:tr>
        <w:trPr/>
        <w:tc>
          <w:tcPr>
            <w:tcW w:w="4940" w:type="dxa"/>
            <w:tcBorders>
              <w:bottom w:val="single" w:sz="8" w:space="0" w:color="000000"/>
            </w:tcBorders>
            <w:tcMar>
              <w:bottom w:w="28" w:type="dxa"/>
            </w:tcMar>
            <w:vAlign w:val="center"/>
          </w:tcPr>
          <w:p>
            <w:pPr>
              <w:pStyle w:val="TableContents"/>
              <w:bidi w:val="0"/>
              <w:spacing w:before="0" w:after="0"/>
              <w:jc w:val="left"/>
              <w:rPr/>
            </w:pPr>
            <w:r>
              <w:rPr/>
              <w:t> </w:t>
            </w:r>
          </w:p>
        </w:tc>
        <w:tc>
          <w:tcPr>
            <w:tcW w:w="1788" w:type="dxa"/>
            <w:gridSpan w:val="5"/>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July 31,</w:t>
            </w:r>
          </w:p>
        </w:tc>
        <w:tc>
          <w:tcPr>
            <w:tcW w:w="60" w:type="dxa"/>
            <w:tcBorders>
              <w:bottom w:val="single" w:sz="8" w:space="0" w:color="000000"/>
            </w:tcBorders>
            <w:tcMar>
              <w:bottom w:w="28" w:type="dxa"/>
            </w:tcMar>
            <w:vAlign w:val="center"/>
          </w:tcPr>
          <w:p>
            <w:pPr>
              <w:pStyle w:val="TableContents"/>
              <w:bidi w:val="0"/>
              <w:spacing w:before="0" w:after="0"/>
              <w:jc w:val="left"/>
              <w:rPr/>
            </w:pPr>
            <w:r>
              <w:rPr/>
              <w:t> </w:t>
            </w:r>
          </w:p>
        </w:tc>
        <w:tc>
          <w:tcPr>
            <w:tcW w:w="1745" w:type="dxa"/>
            <w:gridSpan w:val="5"/>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July 31,</w:t>
            </w:r>
          </w:p>
        </w:tc>
      </w:tr>
      <w:tr>
        <w:trPr/>
        <w:tc>
          <w:tcPr>
            <w:tcW w:w="494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 thousands)</w:t>
            </w:r>
          </w:p>
        </w:tc>
        <w:tc>
          <w:tcPr>
            <w:tcW w:w="863"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63"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35"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50"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r>
      <w:tr>
        <w:trPr/>
        <w:tc>
          <w:tcPr>
            <w:tcW w:w="494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Interest capitalized at beginning of period</w:t>
            </w:r>
          </w:p>
        </w:tc>
        <w:tc>
          <w:tcPr>
            <w:tcW w:w="129"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4"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46,736</w:t>
            </w:r>
          </w:p>
        </w:tc>
        <w:tc>
          <w:tcPr>
            <w:tcW w:w="62"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29"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4"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53,633</w:t>
            </w:r>
          </w:p>
        </w:tc>
        <w:tc>
          <w:tcPr>
            <w:tcW w:w="6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43,263</w:t>
            </w:r>
          </w:p>
        </w:tc>
        <w:tc>
          <w:tcPr>
            <w:tcW w:w="6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57,671</w:t>
            </w:r>
          </w:p>
        </w:tc>
      </w:tr>
      <w:tr>
        <w:trPr/>
        <w:tc>
          <w:tcPr>
            <w:tcW w:w="49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Plus interest incurred(1)</w:t>
            </w:r>
          </w:p>
        </w:tc>
        <w:tc>
          <w:tcPr>
            <w:tcW w:w="129" w:type="dxa"/>
            <w:tcBorders/>
            <w:shd w:fill="FFFFFF" w:val="clear"/>
            <w:vAlign w:val="center"/>
          </w:tcPr>
          <w:p>
            <w:pPr>
              <w:pStyle w:val="TableContents"/>
              <w:bidi w:val="0"/>
              <w:spacing w:before="0" w:after="0"/>
              <w:jc w:val="left"/>
              <w:rPr/>
            </w:pPr>
            <w:r>
              <w:rPr/>
              <w:t> </w:t>
            </w:r>
          </w:p>
        </w:tc>
        <w:tc>
          <w:tcPr>
            <w:tcW w:w="73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30,222</w:t>
            </w:r>
          </w:p>
        </w:tc>
        <w:tc>
          <w:tcPr>
            <w:tcW w:w="62" w:type="dxa"/>
            <w:tcBorders/>
            <w:shd w:fill="FFFFFF" w:val="clear"/>
            <w:vAlign w:val="center"/>
          </w:tcPr>
          <w:p>
            <w:pPr>
              <w:pStyle w:val="TableContents"/>
              <w:bidi w:val="0"/>
              <w:spacing w:before="0" w:after="0"/>
              <w:jc w:val="left"/>
              <w:rPr/>
            </w:pPr>
            <w:r>
              <w:rPr/>
              <w:t> </w:t>
            </w:r>
          </w:p>
        </w:tc>
        <w:tc>
          <w:tcPr>
            <w:tcW w:w="129" w:type="dxa"/>
            <w:tcBorders/>
            <w:shd w:fill="FFFFFF" w:val="clear"/>
            <w:vAlign w:val="center"/>
          </w:tcPr>
          <w:p>
            <w:pPr>
              <w:pStyle w:val="TableContents"/>
              <w:bidi w:val="0"/>
              <w:spacing w:before="0" w:after="0"/>
              <w:jc w:val="left"/>
              <w:rPr/>
            </w:pPr>
            <w:r>
              <w:rPr/>
              <w:t> </w:t>
            </w:r>
          </w:p>
        </w:tc>
        <w:tc>
          <w:tcPr>
            <w:tcW w:w="73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28,523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1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91,584</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2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88,210</w:t>
            </w:r>
          </w:p>
        </w:tc>
      </w:tr>
      <w:tr>
        <w:trPr/>
        <w:tc>
          <w:tcPr>
            <w:tcW w:w="4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cost of sales interest expensed</w:t>
            </w:r>
          </w:p>
        </w:tc>
        <w:tc>
          <w:tcPr>
            <w:tcW w:w="129" w:type="dxa"/>
            <w:tcBorders/>
            <w:shd w:fill="CCEEFF" w:val="clear"/>
            <w:vAlign w:val="center"/>
          </w:tcPr>
          <w:p>
            <w:pPr>
              <w:pStyle w:val="TableContents"/>
              <w:bidi w:val="0"/>
              <w:spacing w:before="0" w:after="0"/>
              <w:jc w:val="left"/>
              <w:rPr/>
            </w:pPr>
            <w:r>
              <w:rPr/>
              <w:t> </w:t>
            </w:r>
          </w:p>
        </w:tc>
        <w:tc>
          <w:tcPr>
            <w:tcW w:w="73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(19,098)</w:t>
            </w:r>
          </w:p>
        </w:tc>
        <w:tc>
          <w:tcPr>
            <w:tcW w:w="62" w:type="dxa"/>
            <w:tcBorders/>
            <w:shd w:fill="CCEEFF" w:val="clear"/>
            <w:vAlign w:val="center"/>
          </w:tcPr>
          <w:p>
            <w:pPr>
              <w:pStyle w:val="TableContents"/>
              <w:bidi w:val="0"/>
              <w:spacing w:before="0" w:after="0"/>
              <w:jc w:val="left"/>
              <w:rPr/>
            </w:pPr>
            <w:r>
              <w:rPr/>
              <w:t> </w:t>
            </w:r>
          </w:p>
        </w:tc>
        <w:tc>
          <w:tcPr>
            <w:tcW w:w="129" w:type="dxa"/>
            <w:tcBorders/>
            <w:shd w:fill="CCEEFF" w:val="clear"/>
            <w:vAlign w:val="center"/>
          </w:tcPr>
          <w:p>
            <w:pPr>
              <w:pStyle w:val="TableContents"/>
              <w:bidi w:val="0"/>
              <w:spacing w:before="0" w:after="0"/>
              <w:jc w:val="left"/>
              <w:rPr/>
            </w:pPr>
            <w:r>
              <w:rPr/>
              <w:t> </w:t>
            </w:r>
          </w:p>
        </w:tc>
        <w:tc>
          <w:tcPr>
            <w:tcW w:w="73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(26,868)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(51,655)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(66,162)</w:t>
            </w:r>
          </w:p>
        </w:tc>
      </w:tr>
      <w:tr>
        <w:trPr/>
        <w:tc>
          <w:tcPr>
            <w:tcW w:w="49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other interest expensed(2)</w:t>
            </w:r>
          </w:p>
        </w:tc>
        <w:tc>
          <w:tcPr>
            <w:tcW w:w="129" w:type="dxa"/>
            <w:tcBorders/>
            <w:shd w:fill="FFFFFF" w:val="clear"/>
            <w:vAlign w:val="center"/>
          </w:tcPr>
          <w:p>
            <w:pPr>
              <w:pStyle w:val="TableContents"/>
              <w:bidi w:val="0"/>
              <w:spacing w:before="0" w:after="0"/>
              <w:jc w:val="left"/>
              <w:rPr/>
            </w:pPr>
            <w:r>
              <w:rPr/>
              <w:t> </w:t>
            </w:r>
          </w:p>
        </w:tc>
        <w:tc>
          <w:tcPr>
            <w:tcW w:w="73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(11,377)</w:t>
            </w:r>
          </w:p>
        </w:tc>
        <w:tc>
          <w:tcPr>
            <w:tcW w:w="62" w:type="dxa"/>
            <w:tcBorders/>
            <w:shd w:fill="FFFFFF" w:val="clear"/>
            <w:vAlign w:val="center"/>
          </w:tcPr>
          <w:p>
            <w:pPr>
              <w:pStyle w:val="TableContents"/>
              <w:bidi w:val="0"/>
              <w:spacing w:before="0" w:after="0"/>
              <w:jc w:val="left"/>
              <w:rPr/>
            </w:pPr>
            <w:r>
              <w:rPr/>
              <w:t> </w:t>
            </w:r>
          </w:p>
        </w:tc>
        <w:tc>
          <w:tcPr>
            <w:tcW w:w="129" w:type="dxa"/>
            <w:tcBorders/>
            <w:shd w:fill="FFFFFF" w:val="clear"/>
            <w:vAlign w:val="center"/>
          </w:tcPr>
          <w:p>
            <w:pPr>
              <w:pStyle w:val="TableContents"/>
              <w:bidi w:val="0"/>
              <w:spacing w:before="0" w:after="0"/>
              <w:jc w:val="left"/>
              <w:rPr/>
            </w:pPr>
            <w:r>
              <w:rPr/>
              <w:t> </w:t>
            </w:r>
          </w:p>
        </w:tc>
        <w:tc>
          <w:tcPr>
            <w:tcW w:w="73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(7,149)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1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(36,025)</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2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(25,811)</w:t>
            </w:r>
          </w:p>
        </w:tc>
      </w:tr>
      <w:tr>
        <w:trPr/>
        <w:tc>
          <w:tcPr>
            <w:tcW w:w="4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interest contributed to unconsolidated joint ventures(3)</w:t>
            </w:r>
          </w:p>
        </w:tc>
        <w:tc>
          <w:tcPr>
            <w:tcW w:w="129" w:type="dxa"/>
            <w:tcBorders/>
            <w:shd w:fill="CCEEFF" w:val="clear"/>
            <w:vAlign w:val="center"/>
          </w:tcPr>
          <w:p>
            <w:pPr>
              <w:pStyle w:val="TableContents"/>
              <w:bidi w:val="0"/>
              <w:spacing w:before="0" w:after="0"/>
              <w:jc w:val="left"/>
              <w:rPr/>
            </w:pPr>
            <w:r>
              <w:rPr/>
              <w:t> </w:t>
            </w:r>
          </w:p>
        </w:tc>
        <w:tc>
          <w:tcPr>
            <w:tcW w:w="73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0"/>
              <w:jc w:val="left"/>
              <w:rPr/>
            </w:pPr>
            <w:r>
              <w:rPr/>
              <w:t> </w:t>
            </w:r>
          </w:p>
        </w:tc>
        <w:tc>
          <w:tcPr>
            <w:tcW w:w="129" w:type="dxa"/>
            <w:tcBorders/>
            <w:shd w:fill="CCEEFF" w:val="clear"/>
            <w:vAlign w:val="center"/>
          </w:tcPr>
          <w:p>
            <w:pPr>
              <w:pStyle w:val="TableContents"/>
              <w:bidi w:val="0"/>
              <w:spacing w:before="0" w:after="0"/>
              <w:jc w:val="left"/>
              <w:rPr/>
            </w:pPr>
            <w:r>
              <w:rPr/>
              <w:t> </w:t>
            </w:r>
          </w:p>
        </w:tc>
        <w:tc>
          <w:tcPr>
            <w:tcW w:w="73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(1,109)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(5,769)</w:t>
            </w:r>
          </w:p>
        </w:tc>
      </w:tr>
      <w:tr>
        <w:trPr/>
        <w:tc>
          <w:tcPr>
            <w:tcW w:w="4940" w:type="dxa"/>
            <w:tcBorders>
              <w:bottom w:val="single" w:sz="8"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Plus interest acquired from unconsolidated joint ventures(4)</w:t>
            </w:r>
          </w:p>
        </w:tc>
        <w:tc>
          <w:tcPr>
            <w:tcW w:w="129"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34"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2"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29"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34"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1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425</w:t>
            </w:r>
          </w:p>
        </w:tc>
        <w:tc>
          <w:tcPr>
            <w:tcW w:w="60"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494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Interest capitalized at end of period(5)</w:t>
            </w:r>
          </w:p>
        </w:tc>
        <w:tc>
          <w:tcPr>
            <w:tcW w:w="12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46,483</w:t>
            </w:r>
          </w:p>
        </w:tc>
        <w:tc>
          <w:tcPr>
            <w:tcW w:w="6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pPr>
            <w:r>
              <w:rPr/>
              <w:t> </w:t>
            </w:r>
          </w:p>
        </w:tc>
        <w:tc>
          <w:tcPr>
            <w:tcW w:w="12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48,139</w:t>
            </w:r>
          </w:p>
        </w:tc>
        <w:tc>
          <w:tcPr>
            <w:tcW w:w="6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46,483</w:t>
            </w:r>
          </w:p>
        </w:tc>
        <w:tc>
          <w:tcPr>
            <w:tcW w:w="6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48,139</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(1)</w:t>
            </w:r>
          </w:p>
        </w:tc>
        <w:tc>
          <w:tcPr>
            <w:tcW w:w="999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Amounts do not include interest incurred by our mortgage and finance subsidiaries.</w:t>
            </w:r>
          </w:p>
        </w:tc>
      </w:tr>
      <w:tr>
        <w:trPr/>
        <w:tc>
          <w:tcPr>
            <w:tcW w:w="21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(2)</w:t>
            </w:r>
          </w:p>
        </w:tc>
        <w:tc>
          <w:tcPr>
            <w:tcW w:w="9990" w:type="dxa"/>
            <w:tcBorders/>
            <w:vAlign w:val="center"/>
          </w:tcPr>
          <w:p>
            <w:pPr>
              <w:pStyle w:val="TableContents"/>
              <w:bidi w:val="0"/>
              <w:spacing w:lineRule="atLeast" w:line="220" w:before="0" w:after="0"/>
              <w:jc w:val="left"/>
              <w:rPr/>
            </w:pPr>
            <w:r>
              <w:rPr>
                <w:rFonts w:ascii="Times New Roman" w:hAnsi="Times New Roman"/>
                <w:i/>
                <w:sz w:val="20"/>
              </w:rPr>
              <w:t>During the three and nine</w:t>
            </w:r>
            <w:r>
              <w:rPr/>
              <w:t xml:space="preserve"> </w:t>
            </w:r>
            <w:r>
              <w:rPr>
                <w:rFonts w:ascii="Times New Roman" w:hAnsi="Times New Roman"/>
                <w:i/>
                <w:sz w:val="20"/>
              </w:rPr>
              <w:t>months ended July 31, 2026</w:t>
            </w:r>
            <w:r>
              <w:rPr/>
              <w:t xml:space="preserve"> </w:t>
            </w:r>
            <w:r>
              <w:rPr>
                <w:rFonts w:ascii="Times New Roman" w:hAnsi="Times New Roman"/>
                <w:i/>
                <w:sz w:val="20"/>
              </w:rPr>
              <w:t>and 2025, respectively, our inventory under development exceeded our debt, therefore, all of the related interest incurred qualified for interest capitalization. Other interest includes interest on completed homes, land in planning and fully developed lots without homes under construction, which does not qualify for capitalization, and therefore, is expensed as incurred.</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(3)</w:t>
            </w:r>
          </w:p>
        </w:tc>
        <w:tc>
          <w:tcPr>
            <w:tcW w:w="9979" w:type="dxa"/>
            <w:tcBorders/>
            <w:vAlign w:val="center"/>
          </w:tcPr>
          <w:p>
            <w:pPr>
              <w:pStyle w:val="TableContents"/>
              <w:bidi w:val="0"/>
              <w:spacing w:lineRule="atLeast" w:line="220" w:before="0" w:after="0"/>
              <w:jc w:val="left"/>
              <w:rPr>
                <w:rFonts w:ascii="Times New Roman" w:hAnsi="Times New Roman"/>
                <w:i/>
                <w:sz w:val="20"/>
              </w:rPr>
            </w:pPr>
            <w:r>
              <w:rPr>
                <w:rFonts w:ascii="Times New Roman" w:hAnsi="Times New Roman"/>
                <w:i/>
                <w:sz w:val="20"/>
              </w:rPr>
              <w:t>Represents capitalized interest which was included as part of the assets contributed to joint ventures, as discussed in Note 18. There was no impact to the Condensed Consolidated Statement of Operations as a result of these capitalized interest transactions.</w:t>
            </w:r>
          </w:p>
        </w:tc>
      </w:tr>
      <w:tr>
        <w:trPr/>
        <w:tc>
          <w:tcPr>
            <w:tcW w:w="226" w:type="dxa"/>
            <w:tcBorders/>
            <w:vAlign w:val="center"/>
          </w:tcPr>
          <w:p>
            <w:pPr>
              <w:pStyle w:val="TableContents"/>
              <w:bidi w:val="0"/>
              <w:spacing w:lineRule="atLeast" w:line="220" w:before="0" w:after="0"/>
              <w:jc w:val="left"/>
              <w:rPr>
                <w:rFonts w:ascii="Times New Roman" w:hAnsi="Times New Roman"/>
                <w:i/>
                <w:sz w:val="20"/>
              </w:rPr>
            </w:pPr>
            <w:r>
              <w:rPr>
                <w:rFonts w:ascii="Times New Roman" w:hAnsi="Times New Roman"/>
                <w:i/>
                <w:sz w:val="20"/>
              </w:rPr>
              <w:t>(4)</w:t>
            </w:r>
          </w:p>
        </w:tc>
        <w:tc>
          <w:tcPr>
            <w:tcW w:w="9979" w:type="dxa"/>
            <w:tcBorders/>
            <w:vAlign w:val="center"/>
          </w:tcPr>
          <w:p>
            <w:pPr>
              <w:pStyle w:val="TableContents"/>
              <w:bidi w:val="0"/>
              <w:spacing w:lineRule="atLeast" w:line="220" w:before="0" w:after="0"/>
              <w:jc w:val="left"/>
              <w:rPr>
                <w:rFonts w:ascii="Times New Roman" w:hAnsi="Times New Roman"/>
                <w:i/>
                <w:sz w:val="20"/>
              </w:rPr>
            </w:pPr>
            <w:r>
              <w:rPr>
                <w:rFonts w:ascii="Times New Roman" w:hAnsi="Times New Roman"/>
                <w:i/>
                <w:sz w:val="20"/>
              </w:rPr>
              <w:t>Represents capitalized interest which was included as part of the assets acquired from joint ventures, as discussed in Note 18. There was no impact to the Condensed Consolidated Statement of Operations as a result of these capitalized interest transactions.</w:t>
            </w:r>
          </w:p>
        </w:tc>
      </w:tr>
      <w:tr>
        <w:trPr/>
        <w:tc>
          <w:tcPr>
            <w:tcW w:w="226" w:type="dxa"/>
            <w:tcBorders/>
            <w:vAlign w:val="center"/>
          </w:tcPr>
          <w:p>
            <w:pPr>
              <w:pStyle w:val="TableContents"/>
              <w:bidi w:val="0"/>
              <w:spacing w:lineRule="atLeast" w:line="220" w:before="0" w:after="0"/>
              <w:jc w:val="left"/>
              <w:rPr>
                <w:rFonts w:ascii="Times New Roman" w:hAnsi="Times New Roman"/>
                <w:i/>
                <w:sz w:val="20"/>
              </w:rPr>
            </w:pPr>
            <w:r>
              <w:rPr>
                <w:rFonts w:ascii="Times New Roman" w:hAnsi="Times New Roman"/>
                <w:i/>
                <w:sz w:val="20"/>
              </w:rPr>
              <w:t>(5)</w:t>
            </w:r>
          </w:p>
        </w:tc>
        <w:tc>
          <w:tcPr>
            <w:tcW w:w="9979"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Capitalized interest amounts are shown gross before allocating a portion of impairments, if any, to capitalized interest.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tbl>
      <w:tblPr>
        <w:tblW w:w="3340" w:type="dxa"/>
        <w:jc w:val="left"/>
        <w:tblInd w:w="0" w:type="dxa"/>
        <w:tblLayout w:type="fixed"/>
        <w:tblCellMar>
          <w:top w:w="0" w:type="dxa"/>
          <w:left w:w="0" w:type="dxa"/>
          <w:bottom w:w="0" w:type="dxa"/>
          <w:right w:w="0" w:type="dxa"/>
        </w:tblCellMar>
      </w:tblPr>
      <w:tblGrid>
        <w:gridCol w:w="185"/>
        <w:gridCol w:w="3155"/>
      </w:tblGrid>
      <w:tr>
        <w:trPr/>
        <w:tc>
          <w:tcPr>
            <w:tcW w:w="1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4.</w:t>
            </w:r>
          </w:p>
        </w:tc>
        <w:tc>
          <w:tcPr>
            <w:tcW w:w="31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Reduction of Inventory to Fair Value</w:t>
            </w:r>
          </w:p>
        </w:tc>
      </w:tr>
    </w:tbl>
    <w:p>
      <w:pPr>
        <w:pStyle w:val="TextBody"/>
        <w:bidi w:val="0"/>
        <w:spacing w:lineRule="atLeast" w:line="200" w:before="0" w:after="0"/>
        <w:jc w:val="left"/>
        <w:rPr/>
      </w:pPr>
      <w:r>
        <w:rPr/>
        <w:t> </w:t>
      </w:r>
    </w:p>
    <w:p>
      <w:pPr>
        <w:pStyle w:val="TextBody"/>
        <w:bidi w:val="0"/>
        <w:spacing w:lineRule="atLeast" w:line="240" w:before="0" w:after="0"/>
        <w:ind w:left="0" w:right="0" w:firstLine="907"/>
        <w:jc w:val="left"/>
        <w:rPr/>
      </w:pPr>
      <w:r>
        <w:rPr>
          <w:rFonts w:ascii="Times New Roman" w:hAnsi="Times New Roman"/>
          <w:sz w:val="20"/>
        </w:rPr>
        <w:t>We had</w:t>
      </w:r>
      <w:r>
        <w:rPr/>
        <w:t> </w:t>
      </w:r>
      <w:r>
        <w:rPr>
          <w:rFonts w:ascii="Times New Roman" w:hAnsi="Times New Roman"/>
          <w:sz w:val="20"/>
        </w:rPr>
        <w:t>427</w:t>
      </w:r>
      <w:r>
        <w:rPr/>
        <w:t> </w:t>
      </w:r>
      <w:r>
        <w:rPr>
          <w:rFonts w:ascii="Times New Roman" w:hAnsi="Times New Roman"/>
          <w:sz w:val="20"/>
        </w:rPr>
        <w:t>and 452</w:t>
      </w:r>
      <w:r>
        <w:rPr/>
        <w:t xml:space="preserve"> </w:t>
      </w:r>
      <w:r>
        <w:rPr>
          <w:rFonts w:ascii="Times New Roman" w:hAnsi="Times New Roman"/>
          <w:sz w:val="20"/>
        </w:rPr>
        <w:t>communities under development and held for future development or sale at</w:t>
      </w:r>
      <w:r>
        <w:rPr/>
        <w:t> </w:t>
      </w:r>
      <w:r>
        <w:rPr>
          <w:rFonts w:ascii="Times New Roman" w:hAnsi="Times New Roman"/>
          <w:sz w:val="20"/>
        </w:rPr>
        <w:t>July 31, 2026</w:t>
      </w:r>
      <w:r>
        <w:rPr/>
        <w:t xml:space="preserve"> </w:t>
      </w:r>
      <w:r>
        <w:rPr>
          <w:rFonts w:ascii="Times New Roman" w:hAnsi="Times New Roman"/>
          <w:sz w:val="20"/>
        </w:rPr>
        <w:t>and 2025, respectively, which we evaluated for impairment indicators. During the nine months ended July 31, 2026, we performed undiscounted future cash flows analyses for six</w:t>
      </w:r>
      <w:r>
        <w:rPr/>
        <w:t xml:space="preserve"> </w:t>
      </w:r>
      <w:r>
        <w:rPr>
          <w:rFonts w:ascii="Times New Roman" w:hAnsi="Times New Roman"/>
          <w:sz w:val="20"/>
        </w:rPr>
        <w:t>communities with an aggregate carrying value of $32.5</w:t>
      </w:r>
      <w:r>
        <w:rPr/>
        <w:t xml:space="preserve"> </w:t>
      </w:r>
      <w:r>
        <w:rPr>
          <w:rFonts w:ascii="Times New Roman" w:hAnsi="Times New Roman"/>
          <w:sz w:val="20"/>
        </w:rPr>
        <w:t>million. Based on the analyses, two</w:t>
      </w:r>
      <w:r>
        <w:rPr/>
        <w:t xml:space="preserve"> </w:t>
      </w:r>
      <w:r>
        <w:rPr>
          <w:rFonts w:ascii="Times New Roman" w:hAnsi="Times New Roman"/>
          <w:sz w:val="20"/>
        </w:rPr>
        <w:t>communities in the Southeast segment and two</w:t>
      </w:r>
      <w:r>
        <w:rPr/>
        <w:t xml:space="preserve"> </w:t>
      </w:r>
      <w:r>
        <w:rPr>
          <w:rFonts w:ascii="Times New Roman" w:hAnsi="Times New Roman"/>
          <w:sz w:val="20"/>
        </w:rPr>
        <w:t>communities in the West segment, with an aggregate carrying value of $21.7</w:t>
      </w:r>
      <w:r>
        <w:rPr/>
        <w:t xml:space="preserve"> </w:t>
      </w:r>
      <w:r>
        <w:rPr>
          <w:rFonts w:ascii="Times New Roman" w:hAnsi="Times New Roman"/>
          <w:sz w:val="20"/>
        </w:rPr>
        <w:t>million, were deemed impaired. The related impairment analyses resulted in an impairment charge of $5.3</w:t>
      </w:r>
      <w:r>
        <w:rPr/>
        <w:t xml:space="preserve"> </w:t>
      </w:r>
      <w:r>
        <w:rPr>
          <w:rFonts w:ascii="Times New Roman" w:hAnsi="Times New Roman"/>
          <w:sz w:val="20"/>
        </w:rPr>
        <w:t>million, which was included within “Inventory impairments and land option write-offs” in the Condensed Consolidated Statement of Operations and deducted from inventory. During the three months ended July 31, 2025, we identified impairment indicators in one</w:t>
      </w:r>
      <w:r>
        <w:rPr/>
        <w:t xml:space="preserve"> </w:t>
      </w:r>
      <w:r>
        <w:rPr>
          <w:rFonts w:ascii="Times New Roman" w:hAnsi="Times New Roman"/>
          <w:sz w:val="20"/>
        </w:rPr>
        <w:t>community in the Northeast segment and three</w:t>
      </w:r>
      <w:r>
        <w:rPr/>
        <w:t xml:space="preserve"> </w:t>
      </w:r>
      <w:r>
        <w:rPr>
          <w:rFonts w:ascii="Times New Roman" w:hAnsi="Times New Roman"/>
          <w:sz w:val="20"/>
        </w:rPr>
        <w:t>communities in the West segment, with an aggregate carrying value of $35.9</w:t>
      </w:r>
      <w:r>
        <w:rPr/>
        <w:t xml:space="preserve"> </w:t>
      </w:r>
      <w:r>
        <w:rPr>
          <w:rFonts w:ascii="Times New Roman" w:hAnsi="Times New Roman"/>
          <w:sz w:val="20"/>
        </w:rPr>
        <w:t>million. During the nine months ended July 31, 2025, we identified impairment indicators in two</w:t>
      </w:r>
      <w:r>
        <w:rPr/>
        <w:t xml:space="preserve"> </w:t>
      </w:r>
      <w:r>
        <w:rPr>
          <w:rFonts w:ascii="Times New Roman" w:hAnsi="Times New Roman"/>
          <w:sz w:val="20"/>
        </w:rPr>
        <w:t>communities in the Northeast segment and three</w:t>
      </w:r>
      <w:r>
        <w:rPr/>
        <w:t xml:space="preserve"> </w:t>
      </w:r>
      <w:r>
        <w:rPr>
          <w:rFonts w:ascii="Times New Roman" w:hAnsi="Times New Roman"/>
          <w:sz w:val="20"/>
        </w:rPr>
        <w:t>communities in the West segment with an aggregate carrying value of $41.3</w:t>
      </w:r>
      <w:r>
        <w:rPr/>
        <w:t xml:space="preserve"> </w:t>
      </w:r>
      <w:r>
        <w:rPr>
          <w:rFonts w:ascii="Times New Roman" w:hAnsi="Times New Roman"/>
          <w:sz w:val="20"/>
        </w:rPr>
        <w:t>million. The related impairment analyses resulted in impairment charges of $7.6</w:t>
      </w:r>
      <w:r>
        <w:rPr/>
        <w:t xml:space="preserve"> </w:t>
      </w:r>
      <w:r>
        <w:rPr>
          <w:rFonts w:ascii="Times New Roman" w:hAnsi="Times New Roman"/>
          <w:sz w:val="20"/>
        </w:rPr>
        <w:t>million and $8.8</w:t>
      </w:r>
      <w:r>
        <w:rPr/>
        <w:t xml:space="preserve"> </w:t>
      </w:r>
      <w:r>
        <w:rPr>
          <w:rFonts w:ascii="Times New Roman" w:hAnsi="Times New Roman"/>
          <w:sz w:val="20"/>
        </w:rPr>
        <w:t>million during the three and nine</w:t>
      </w:r>
      <w:r>
        <w:rPr/>
        <w:t xml:space="preserve"> </w:t>
      </w:r>
      <w:r>
        <w:rPr>
          <w:rFonts w:ascii="Times New Roman" w:hAnsi="Times New Roman"/>
          <w:sz w:val="20"/>
        </w:rPr>
        <w:t>months ended July 31, 2025, respectively, which were included within “Inventory impairments and land option write-offs” in the Condensed Consolidated Statement of Operations and deducted from inventory.</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rFonts w:ascii="Times New Roman" w:hAnsi="Times New Roman"/>
          <w:sz w:val="20"/>
        </w:rPr>
        <w:t>Write-offs</w:t>
      </w:r>
      <w:r>
        <w:rPr/>
        <w:t> </w:t>
      </w:r>
      <w:r>
        <w:rPr>
          <w:rFonts w:ascii="Times New Roman" w:hAnsi="Times New Roman"/>
          <w:sz w:val="20"/>
        </w:rPr>
        <w:t>of</w:t>
      </w:r>
      <w:r>
        <w:rPr/>
        <w:t> </w:t>
      </w:r>
      <w:r>
        <w:rPr>
          <w:rFonts w:ascii="Times New Roman" w:hAnsi="Times New Roman"/>
          <w:sz w:val="20"/>
        </w:rPr>
        <w:t>options, engineering and capitalized interest costs are recorded in "Inventory impairments and land option write-offs" when we redesign communities, abandon certain engineering costs or do not</w:t>
      </w:r>
      <w:r>
        <w:rPr/>
        <w:t> </w:t>
      </w:r>
      <w:r>
        <w:rPr>
          <w:rFonts w:ascii="Times New Roman" w:hAnsi="Times New Roman"/>
          <w:sz w:val="20"/>
        </w:rPr>
        <w:t>exercise options in various locations because the pro forma profitability is not projected to produce adequate returns on investment commensurate with the risk. Total aggregate write-offs related to these items were $0.5</w:t>
      </w:r>
      <w:r>
        <w:rPr/>
        <w:t xml:space="preserve"> </w:t>
      </w:r>
      <w:r>
        <w:rPr>
          <w:rFonts w:ascii="Times New Roman" w:hAnsi="Times New Roman"/>
          <w:sz w:val="20"/>
        </w:rPr>
        <w:t>million and $8.4</w:t>
      </w:r>
      <w:r>
        <w:rPr/>
        <w:t xml:space="preserve"> </w:t>
      </w:r>
      <w:r>
        <w:rPr>
          <w:rFonts w:ascii="Times New Roman" w:hAnsi="Times New Roman"/>
          <w:sz w:val="20"/>
        </w:rPr>
        <w:t>million for the three months ended July 31, 2026</w:t>
      </w:r>
      <w:r>
        <w:rPr/>
        <w:t> </w:t>
      </w:r>
      <w:r>
        <w:rPr>
          <w:rFonts w:ascii="Times New Roman" w:hAnsi="Times New Roman"/>
          <w:sz w:val="20"/>
        </w:rPr>
        <w:t>and 2025, respectively, and $6.3</w:t>
      </w:r>
      <w:r>
        <w:rPr/>
        <w:t> </w:t>
      </w:r>
      <w:r>
        <w:rPr>
          <w:rFonts w:ascii="Times New Roman" w:hAnsi="Times New Roman"/>
          <w:sz w:val="20"/>
        </w:rPr>
        <w:t>million and $11.3</w:t>
      </w:r>
      <w:r>
        <w:rPr/>
        <w:t> </w:t>
      </w:r>
      <w:r>
        <w:rPr>
          <w:rFonts w:ascii="Times New Roman" w:hAnsi="Times New Roman"/>
          <w:sz w:val="20"/>
        </w:rPr>
        <w:t>million for the</w:t>
      </w:r>
      <w:r>
        <w:rPr/>
        <w:t> </w:t>
      </w:r>
      <w:r>
        <w:rPr>
          <w:rFonts w:ascii="Times New Roman" w:hAnsi="Times New Roman"/>
          <w:sz w:val="20"/>
        </w:rPr>
        <w:t>nine months ended July 31, 2026</w:t>
      </w:r>
      <w:r>
        <w:rPr/>
        <w:t> </w:t>
      </w:r>
      <w:r>
        <w:rPr>
          <w:rFonts w:ascii="Times New Roman" w:hAnsi="Times New Roman"/>
          <w:sz w:val="20"/>
        </w:rPr>
        <w:t>and</w:t>
      </w:r>
      <w:r>
        <w:rPr/>
        <w:t> </w:t>
      </w:r>
      <w:r>
        <w:rPr>
          <w:rFonts w:ascii="Times New Roman" w:hAnsi="Times New Roman"/>
          <w:sz w:val="20"/>
        </w:rPr>
        <w:t>2025, respectively. The number of lots we walked away from during the three months ended July 31, 2026</w:t>
      </w:r>
      <w:r>
        <w:rPr/>
        <w:t> </w:t>
      </w:r>
      <w:r>
        <w:rPr>
          <w:rFonts w:ascii="Times New Roman" w:hAnsi="Times New Roman"/>
          <w:sz w:val="20"/>
        </w:rPr>
        <w:t>and 2025</w:t>
      </w:r>
      <w:r>
        <w:rPr/>
        <w:t> </w:t>
      </w:r>
      <w:r>
        <w:rPr>
          <w:rFonts w:ascii="Times New Roman" w:hAnsi="Times New Roman"/>
          <w:sz w:val="20"/>
        </w:rPr>
        <w:t>were 962</w:t>
      </w:r>
      <w:r>
        <w:rPr/>
        <w:t xml:space="preserve"> </w:t>
      </w:r>
      <w:r>
        <w:rPr>
          <w:rFonts w:ascii="Times New Roman" w:hAnsi="Times New Roman"/>
          <w:sz w:val="20"/>
        </w:rPr>
        <w:t>and 4,059, respectively, and</w:t>
      </w:r>
      <w:r>
        <w:rPr/>
        <w:t> </w:t>
      </w:r>
      <w:r>
        <w:rPr>
          <w:rFonts w:ascii="Times New Roman" w:hAnsi="Times New Roman"/>
          <w:sz w:val="20"/>
        </w:rPr>
        <w:t>3,712</w:t>
      </w:r>
      <w:r>
        <w:rPr/>
        <w:t> </w:t>
      </w:r>
      <w:r>
        <w:rPr>
          <w:rFonts w:ascii="Times New Roman" w:hAnsi="Times New Roman"/>
          <w:sz w:val="20"/>
        </w:rPr>
        <w:t>and</w:t>
      </w:r>
      <w:r>
        <w:rPr/>
        <w:t> </w:t>
      </w:r>
      <w:r>
        <w:rPr>
          <w:rFonts w:ascii="Times New Roman" w:hAnsi="Times New Roman"/>
          <w:sz w:val="20"/>
        </w:rPr>
        <w:t>8,956</w:t>
      </w:r>
      <w:r>
        <w:rPr/>
        <w:t> </w:t>
      </w:r>
      <w:r>
        <w:rPr>
          <w:rFonts w:ascii="Times New Roman" w:hAnsi="Times New Roman"/>
          <w:sz w:val="20"/>
        </w:rPr>
        <w:t>during the</w:t>
      </w:r>
      <w:r>
        <w:rPr/>
        <w:t> </w:t>
      </w:r>
      <w:r>
        <w:rPr>
          <w:rFonts w:ascii="Times New Roman" w:hAnsi="Times New Roman"/>
          <w:sz w:val="20"/>
        </w:rPr>
        <w:t>nine months ended July 31, 2026</w:t>
      </w:r>
      <w:r>
        <w:rPr/>
        <w:t> </w:t>
      </w:r>
      <w:r>
        <w:rPr>
          <w:rFonts w:ascii="Times New Roman" w:hAnsi="Times New Roman"/>
          <w:sz w:val="20"/>
        </w:rPr>
        <w:t>and</w:t>
      </w:r>
      <w:r>
        <w:rPr/>
        <w:t> </w:t>
      </w:r>
      <w:r>
        <w:rPr>
          <w:rFonts w:ascii="Times New Roman" w:hAnsi="Times New Roman"/>
          <w:sz w:val="20"/>
        </w:rPr>
        <w:t>2025, respectively. The walk-aways</w:t>
      </w:r>
      <w:r>
        <w:rPr/>
        <w:t> </w:t>
      </w:r>
      <w:r>
        <w:rPr>
          <w:rFonts w:ascii="Times New Roman" w:hAnsi="Times New Roman"/>
          <w:sz w:val="20"/>
        </w:rPr>
        <w:t>during the first three quarters of fiscal 2026</w:t>
      </w:r>
      <w:r>
        <w:rPr/>
        <w:t xml:space="preserve"> </w:t>
      </w:r>
      <w:r>
        <w:rPr>
          <w:rFonts w:ascii="Times New Roman" w:hAnsi="Times New Roman"/>
          <w:sz w:val="20"/>
        </w:rPr>
        <w:t>and 2025</w:t>
      </w:r>
      <w:r>
        <w:rPr/>
        <w:t xml:space="preserve"> </w:t>
      </w:r>
      <w:r>
        <w:rPr>
          <w:rFonts w:ascii="Times New Roman" w:hAnsi="Times New Roman"/>
          <w:sz w:val="20"/>
        </w:rPr>
        <w:t>occurred across each of our segments.</w:t>
      </w:r>
    </w:p>
    <w:p>
      <w:pPr>
        <w:pStyle w:val="TextBody"/>
        <w:bidi w:val="0"/>
        <w:spacing w:lineRule="atLeast" w:line="240" w:before="0" w:after="0"/>
        <w:ind w:left="0" w:right="0" w:firstLine="900"/>
        <w:jc w:val="center"/>
        <w:rPr/>
      </w:pPr>
      <w:r>
        <w:rPr/>
        <w:t> </w:t>
      </w:r>
    </w:p>
    <w:p>
      <w:pPr>
        <w:pStyle w:val="TextBody"/>
        <w:bidi w:val="0"/>
        <w:spacing w:lineRule="atLeast" w:line="240" w:before="0" w:after="0"/>
        <w:ind w:left="0" w:right="0" w:firstLine="900"/>
        <w:jc w:val="left"/>
        <w:rPr/>
      </w:pPr>
      <w:r>
        <w:rPr>
          <w:rFonts w:ascii="Times New Roman" w:hAnsi="Times New Roman"/>
          <w:sz w:val="20"/>
        </w:rPr>
        <w:t>We sell and lease back certain of our model homes with the right to participate in the potential profit when each home is sold to a third-party at the end of the respective lease. As a result of our continued involvement and the ability to repurchase model homes with below market options, for accounting purposes in accordance with ASC 606, these sale and leaseback transactions are considered a financing rather than a sale. Our Condensed Consolidated Balance Sheets as of</w:t>
      </w:r>
      <w:r>
        <w:rPr/>
        <w:t> </w:t>
      </w:r>
      <w:r>
        <w:rPr>
          <w:rFonts w:ascii="Times New Roman" w:hAnsi="Times New Roman"/>
          <w:sz w:val="20"/>
        </w:rPr>
        <w:t>July 31, 2026</w:t>
      </w:r>
      <w:r>
        <w:rPr/>
        <w:t> </w:t>
      </w:r>
      <w:r>
        <w:rPr>
          <w:rFonts w:ascii="Times New Roman" w:hAnsi="Times New Roman"/>
          <w:sz w:val="20"/>
        </w:rPr>
        <w:t>and October 31, 2025, included inventory of $63.1</w:t>
      </w:r>
      <w:r>
        <w:rPr/>
        <w:t xml:space="preserve"> </w:t>
      </w:r>
      <w:r>
        <w:rPr>
          <w:rFonts w:ascii="Times New Roman" w:hAnsi="Times New Roman"/>
          <w:sz w:val="20"/>
        </w:rPr>
        <w:t>million and $74.3</w:t>
      </w:r>
      <w:r>
        <w:rPr/>
        <w:t xml:space="preserve"> </w:t>
      </w:r>
      <w:r>
        <w:rPr>
          <w:rFonts w:ascii="Times New Roman" w:hAnsi="Times New Roman"/>
          <w:sz w:val="20"/>
        </w:rPr>
        <w:t>million, respectively, recorded to “Consolidated inventory not owned” with a corresponding amount of $63.7</w:t>
      </w:r>
      <w:r>
        <w:rPr/>
        <w:t xml:space="preserve"> </w:t>
      </w:r>
      <w:r>
        <w:rPr>
          <w:rFonts w:ascii="Times New Roman" w:hAnsi="Times New Roman"/>
          <w:sz w:val="20"/>
        </w:rPr>
        <w:t>million and $75.6</w:t>
      </w:r>
      <w:r>
        <w:rPr/>
        <w:t xml:space="preserve"> </w:t>
      </w:r>
      <w:r>
        <w:rPr>
          <w:rFonts w:ascii="Times New Roman" w:hAnsi="Times New Roman"/>
          <w:sz w:val="20"/>
        </w:rPr>
        <w:t>million (net of debt issuance costs), respectively, recorded to “Liabilities from inventory not owned” for the amount of net cash received from the transactions.</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rFonts w:ascii="Times New Roman" w:hAnsi="Times New Roman"/>
          <w:sz w:val="20"/>
        </w:rPr>
        <w:t>We have land banking arrangements, whereby we sell our land parcels to a land banker and they provide us an option to purchase back finished lots on a predetermined schedule. Because of our options to repurchase these parcels, for accounting purposes in accordance with ASC 606, these transactions are considered a financing rather than a sale. Our Condensed Consolidated Balance Sheets as of</w:t>
      </w:r>
      <w:r>
        <w:rPr/>
        <w:t> </w:t>
      </w:r>
      <w:r>
        <w:rPr>
          <w:rFonts w:ascii="Times New Roman" w:hAnsi="Times New Roman"/>
          <w:sz w:val="20"/>
        </w:rPr>
        <w:t>July 31, 2026</w:t>
      </w:r>
      <w:r>
        <w:rPr/>
        <w:t> </w:t>
      </w:r>
      <w:r>
        <w:rPr>
          <w:rFonts w:ascii="Times New Roman" w:hAnsi="Times New Roman"/>
          <w:sz w:val="20"/>
        </w:rPr>
        <w:t>and October 31, 2025, included inventory of $285.1</w:t>
      </w:r>
      <w:r>
        <w:rPr/>
        <w:t xml:space="preserve"> </w:t>
      </w:r>
      <w:r>
        <w:rPr>
          <w:rFonts w:ascii="Times New Roman" w:hAnsi="Times New Roman"/>
          <w:sz w:val="20"/>
        </w:rPr>
        <w:t>million and $258.6</w:t>
      </w:r>
      <w:r>
        <w:rPr/>
        <w:t xml:space="preserve"> </w:t>
      </w:r>
      <w:r>
        <w:rPr>
          <w:rFonts w:ascii="Times New Roman" w:hAnsi="Times New Roman"/>
          <w:sz w:val="20"/>
        </w:rPr>
        <w:t>million, respectively, recorded to “Consolidated inventory not owned” with a corresponding amount of $164.9</w:t>
      </w:r>
      <w:r>
        <w:rPr/>
        <w:t xml:space="preserve"> </w:t>
      </w:r>
      <w:r>
        <w:rPr>
          <w:rFonts w:ascii="Times New Roman" w:hAnsi="Times New Roman"/>
          <w:sz w:val="20"/>
        </w:rPr>
        <w:t>million and $169.1</w:t>
      </w:r>
      <w:r>
        <w:rPr/>
        <w:t xml:space="preserve"> </w:t>
      </w:r>
      <w:r>
        <w:rPr>
          <w:rFonts w:ascii="Times New Roman" w:hAnsi="Times New Roman"/>
          <w:sz w:val="20"/>
        </w:rPr>
        <w:t>million (net of debt issuance costs), respectively, recorded to “Liabilities from inventory not owned” for the amount of net cash received from the transactions.</w:t>
      </w:r>
    </w:p>
    <w:p>
      <w:pPr>
        <w:pStyle w:val="TextBody"/>
        <w:bidi w:val="0"/>
        <w:spacing w:lineRule="atLeast" w:line="240" w:before="0" w:after="0"/>
        <w:ind w:left="0" w:right="0" w:firstLine="90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pPr>
      <w:hyperlink w:anchor="TOC_TableofContent">
        <w:r>
          <w:rPr>
            <w:rStyle w:val="InternetLink"/>
            <w:strike w:val="false"/>
            <w:dstrike w:val="false"/>
            <w:color w:val="0000FF"/>
            <w:sz w:val="20"/>
            <w:u w:val="single"/>
            <w:effect w:val="none"/>
          </w:rPr>
          <w:t>Table of Contents</w:t>
        </w:r>
      </w:hyperlink>
    </w:p>
    <w:p>
      <w:pPr>
        <w:pStyle w:val="TextBody"/>
        <w:bidi w:val="0"/>
        <w:spacing w:lineRule="atLeast" w:line="240" w:before="0" w:after="0"/>
        <w:jc w:val="left"/>
        <w:rPr/>
      </w:pPr>
      <w:r>
        <w:rPr/>
        <w:t> </w:t>
      </w:r>
    </w:p>
    <w:tbl>
      <w:tblPr>
        <w:tblW w:w="2350" w:type="dxa"/>
        <w:jc w:val="left"/>
        <w:tblInd w:w="0" w:type="dxa"/>
        <w:tblLayout w:type="fixed"/>
        <w:tblCellMar>
          <w:top w:w="0" w:type="dxa"/>
          <w:left w:w="0" w:type="dxa"/>
          <w:bottom w:w="0" w:type="dxa"/>
          <w:right w:w="0" w:type="dxa"/>
        </w:tblCellMar>
      </w:tblPr>
      <w:tblGrid>
        <w:gridCol w:w="185"/>
        <w:gridCol w:w="2165"/>
      </w:tblGrid>
      <w:tr>
        <w:trPr/>
        <w:tc>
          <w:tcPr>
            <w:tcW w:w="1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5.</w:t>
            </w:r>
          </w:p>
        </w:tc>
        <w:tc>
          <w:tcPr>
            <w:tcW w:w="21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Variable Interest Entities</w:t>
            </w:r>
          </w:p>
        </w:tc>
      </w:tr>
    </w:tbl>
    <w:p>
      <w:pPr>
        <w:pStyle w:val="TextBody"/>
        <w:bidi w:val="0"/>
        <w:spacing w:lineRule="atLeast" w:line="240" w:before="200" w:after="0"/>
        <w:ind w:left="0" w:right="0" w:firstLine="900"/>
        <w:jc w:val="left"/>
        <w:rPr/>
      </w:pPr>
      <w:r>
        <w:rPr/>
        <w:t> </w:t>
      </w:r>
      <w:r>
        <w:rPr>
          <w:rFonts w:ascii="Times New Roman" w:hAnsi="Times New Roman"/>
          <w:sz w:val="20"/>
        </w:rPr>
        <w:t>ASC 810 requires the assessment of whether an entity is a variable interest entity ("VIE") and, if so, if we are the primary beneficiary at the inception of the entity or at a reconsideration event. We are required to consolidate a VIE if we determine that we have a controlling financial interest in the VIE. Controlling financial interests will have both of the following characteristics: (a) the power to direct the activities of a VIE that most significantly impact the VIE's</w:t>
      </w:r>
      <w:r>
        <w:rPr/>
        <w:t> </w:t>
      </w:r>
      <w:r>
        <w:rPr>
          <w:rFonts w:ascii="Times New Roman" w:hAnsi="Times New Roman"/>
          <w:sz w:val="20"/>
        </w:rPr>
        <w:t>economic performance and (b) the obligation to absorb losses of the VIE that could potentially be significant to the VIE or the right to receive benefits from the VIE that could potentially be significant to the VIE. Our variable interest in VIEs</w:t>
      </w:r>
      <w:r>
        <w:rPr/>
        <w:t> </w:t>
      </w:r>
      <w:r>
        <w:rPr>
          <w:rFonts w:ascii="Times New Roman" w:hAnsi="Times New Roman"/>
          <w:sz w:val="20"/>
        </w:rPr>
        <w:t xml:space="preserve">are in the form of joint ventures and land and lot option purchase contracts. </w:t>
      </w:r>
    </w:p>
    <w:p>
      <w:pPr>
        <w:pStyle w:val="TextBody"/>
        <w:bidi w:val="0"/>
        <w:spacing w:lineRule="atLeast" w:line="240" w:before="200" w:after="0"/>
        <w:ind w:left="0" w:right="0" w:firstLine="900"/>
        <w:jc w:val="left"/>
        <w:rPr/>
      </w:pPr>
      <w:r>
        <w:rPr>
          <w:rFonts w:ascii="Times New Roman" w:hAnsi="Times New Roman"/>
          <w:sz w:val="20"/>
        </w:rPr>
        <w:t>We examine specific criteria and use our judgment when determining if we are the primary beneficiary of a VIE and have a controlling financial interest. The significant factors we consider in determining whether we are the primary beneficiary include risk and reward sharing, experience and financial condition of other partner(s), voting rights, involvement in day-to-day capital and operating decisions, representation on a VIE's</w:t>
      </w:r>
      <w:r>
        <w:rPr/>
        <w:t> </w:t>
      </w:r>
      <w:r>
        <w:rPr>
          <w:rFonts w:ascii="Times New Roman" w:hAnsi="Times New Roman"/>
          <w:sz w:val="20"/>
        </w:rPr>
        <w:t>executive committee, existence of unilateral kick-out rights or voting rights, level of economic disproportionality between us and the other partner(s) and contracts to purchase property from the VIEs.</w:t>
      </w:r>
      <w:r>
        <w:rPr/>
        <w:t> </w:t>
      </w:r>
    </w:p>
    <w:p>
      <w:pPr>
        <w:pStyle w:val="TextBody"/>
        <w:bidi w:val="0"/>
        <w:spacing w:lineRule="atLeast" w:line="240" w:before="200" w:after="0"/>
        <w:ind w:left="0" w:right="0" w:firstLine="900"/>
        <w:jc w:val="left"/>
        <w:rPr>
          <w:rFonts w:ascii="Times New Roman" w:hAnsi="Times New Roman"/>
          <w:sz w:val="20"/>
        </w:rPr>
      </w:pPr>
      <w:r>
        <w:rPr>
          <w:rFonts w:ascii="Times New Roman" w:hAnsi="Times New Roman"/>
          <w:sz w:val="20"/>
        </w:rPr>
        <w:t>We also enter into land and lot option purchase contracts to procure land or lots for the construction of homes. Under these contracts, the Company will fund a stated deposit in consideration for the right, but not the obligation, to purchase land or lots at a future point in time with predetermined terms. Under the terms of the option purchase contracts, many of the option deposits are not refundable at the Company's discretion. Under the requirements of ASC 810, certain option purchase contracts may result in the creation of a VIE that owns the land parcel under option.</w:t>
      </w:r>
    </w:p>
    <w:p>
      <w:pPr>
        <w:pStyle w:val="TextBody"/>
        <w:bidi w:val="0"/>
        <w:spacing w:lineRule="atLeast" w:line="264" w:before="0" w:after="0"/>
        <w:jc w:val="left"/>
        <w:rPr/>
      </w:pPr>
      <w:r>
        <w:rPr/>
        <w:t> </w:t>
      </w:r>
    </w:p>
    <w:p>
      <w:pPr>
        <w:pStyle w:val="TextBody"/>
        <w:bidi w:val="0"/>
        <w:spacing w:lineRule="atLeast" w:line="240" w:before="0" w:after="0"/>
        <w:ind w:left="0" w:right="106" w:firstLine="900"/>
        <w:jc w:val="left"/>
        <w:rPr/>
      </w:pPr>
      <w:r>
        <w:rPr>
          <w:rFonts w:ascii="Times New Roman" w:hAnsi="Times New Roman"/>
          <w:sz w:val="20"/>
        </w:rPr>
        <w:t>As a result of our analyses, we have concluded we are not the primary beneficiary and do not have a controlling financial interest of any of the land or lots under option purchase contracts at either July 31, 2026</w:t>
      </w:r>
      <w:r>
        <w:rPr/>
        <w:t xml:space="preserve"> </w:t>
      </w:r>
      <w:r>
        <w:rPr>
          <w:rFonts w:ascii="Times New Roman" w:hAnsi="Times New Roman"/>
          <w:sz w:val="20"/>
        </w:rPr>
        <w:t>or October 31, 2025.</w:t>
      </w:r>
    </w:p>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rFonts w:ascii="Times New Roman" w:hAnsi="Times New Roman"/>
          <w:sz w:val="20"/>
        </w:rPr>
        <w:t>As of July 31, 2026</w:t>
      </w:r>
      <w:r>
        <w:rPr/>
        <w:t> </w:t>
      </w:r>
      <w:r>
        <w:rPr>
          <w:rFonts w:ascii="Times New Roman" w:hAnsi="Times New Roman"/>
          <w:sz w:val="20"/>
        </w:rPr>
        <w:t>and October 31, 2025, we had total cash deposits amounting to $348.8</w:t>
      </w:r>
      <w:r>
        <w:rPr/>
        <w:t> </w:t>
      </w:r>
      <w:r>
        <w:rPr>
          <w:rFonts w:ascii="Times New Roman" w:hAnsi="Times New Roman"/>
          <w:sz w:val="20"/>
        </w:rPr>
        <w:t>million and $333.2</w:t>
      </w:r>
      <w:r>
        <w:rPr/>
        <w:t xml:space="preserve"> </w:t>
      </w:r>
      <w:r>
        <w:rPr>
          <w:rFonts w:ascii="Times New Roman" w:hAnsi="Times New Roman"/>
          <w:sz w:val="20"/>
        </w:rPr>
        <w:t>million, respectively, to purchase land and lots with a total purchase price of $3.4</w:t>
      </w:r>
      <w:r>
        <w:rPr/>
        <w:t> </w:t>
      </w:r>
      <w:r>
        <w:rPr>
          <w:rFonts w:ascii="Times New Roman" w:hAnsi="Times New Roman"/>
          <w:sz w:val="20"/>
        </w:rPr>
        <w:t>billion and $2.8</w:t>
      </w:r>
      <w:r>
        <w:rPr/>
        <w:t xml:space="preserve"> </w:t>
      </w:r>
      <w:r>
        <w:rPr>
          <w:rFonts w:ascii="Times New Roman" w:hAnsi="Times New Roman"/>
          <w:sz w:val="20"/>
        </w:rPr>
        <w:t>billion, respectively. The maximum exposure to loss with respect to our land and lot options is limited to the deposits plus any pre-development costs invested in the property. On rare occasions some deposits are refundable at our request or refundable if certain conditions are not met.</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rFonts w:ascii="Times New Roman" w:hAnsi="Times New Roman"/>
          <w:sz w:val="20"/>
        </w:rPr>
        <w:t>Our investments in homebuilding and land development joint ventures consist of equity interests that, in total, provide us with partner investment returns and management fees. All major decision making in our joint ventures is shared among all partner(s). In particular, business plans and budgets are generally required to be unanimously approved by all partner(s). Usually, management and other fees earned by us are nominal and believed to be at market and there is no significant economic disproportionality between us and our partner(s). As a result of our analyses, we have concluded we are not the primary beneficiary and do not have a controlling financial interest of any of our homebuilding and land development joint ventures at either July 31, 2026</w:t>
      </w:r>
      <w:r>
        <w:rPr/>
        <w:t xml:space="preserve"> </w:t>
      </w:r>
      <w:r>
        <w:rPr>
          <w:rFonts w:ascii="Times New Roman" w:hAnsi="Times New Roman"/>
          <w:sz w:val="20"/>
        </w:rPr>
        <w:t>or October 31, 2025.</w:t>
      </w:r>
    </w:p>
    <w:p>
      <w:pPr>
        <w:pStyle w:val="TextBody"/>
        <w:bidi w:val="0"/>
        <w:spacing w:before="0" w:after="0"/>
        <w:jc w:val="left"/>
        <w:rPr/>
      </w:pPr>
      <w:r>
        <w:rPr/>
        <w:t> </w:t>
      </w:r>
    </w:p>
    <w:tbl>
      <w:tblPr>
        <w:tblW w:w="1570" w:type="dxa"/>
        <w:jc w:val="left"/>
        <w:tblInd w:w="0" w:type="dxa"/>
        <w:tblLayout w:type="fixed"/>
        <w:tblCellMar>
          <w:top w:w="0" w:type="dxa"/>
          <w:left w:w="0" w:type="dxa"/>
          <w:bottom w:w="0" w:type="dxa"/>
          <w:right w:w="0" w:type="dxa"/>
        </w:tblCellMar>
      </w:tblPr>
      <w:tblGrid>
        <w:gridCol w:w="185"/>
        <w:gridCol w:w="1385"/>
      </w:tblGrid>
      <w:tr>
        <w:trPr/>
        <w:tc>
          <w:tcPr>
            <w:tcW w:w="1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6.</w:t>
            </w:r>
          </w:p>
        </w:tc>
        <w:tc>
          <w:tcPr>
            <w:tcW w:w="13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Warranty Costs</w:t>
            </w:r>
          </w:p>
        </w:tc>
      </w:tr>
    </w:tbl>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rFonts w:ascii="Times New Roman" w:hAnsi="Times New Roman"/>
          <w:sz w:val="20"/>
        </w:rPr>
        <w:t>We accrue for warranty costs that are covered under our existing general liability and construction defect policy as part of our general liability insurance deductible. For homes to be delivered in fiscal 2026</w:t>
      </w:r>
      <w:r>
        <w:rPr/>
        <w:t xml:space="preserve"> </w:t>
      </w:r>
      <w:r>
        <w:rPr>
          <w:rFonts w:ascii="Times New Roman" w:hAnsi="Times New Roman"/>
          <w:sz w:val="20"/>
        </w:rPr>
        <w:t>and previously delivered in 2025, our annual deductible under our general liability insurance is or was $40.0</w:t>
      </w:r>
      <w:r>
        <w:rPr/>
        <w:t xml:space="preserve"> </w:t>
      </w:r>
      <w:r>
        <w:rPr>
          <w:rFonts w:ascii="Times New Roman" w:hAnsi="Times New Roman"/>
          <w:sz w:val="20"/>
        </w:rPr>
        <w:t>million and $30.0</w:t>
      </w:r>
      <w:r>
        <w:rPr/>
        <w:t xml:space="preserve"> </w:t>
      </w:r>
      <w:r>
        <w:rPr>
          <w:rFonts w:ascii="Times New Roman" w:hAnsi="Times New Roman"/>
          <w:sz w:val="20"/>
        </w:rPr>
        <w:t>million, respectively, aggregated for construction defect and warranty claims. For bodily injury claims, our deductible per occurrence in fiscal 2026</w:t>
      </w:r>
      <w:r>
        <w:rPr/>
        <w:t xml:space="preserve"> </w:t>
      </w:r>
      <w:r>
        <w:rPr>
          <w:rFonts w:ascii="Times New Roman" w:hAnsi="Times New Roman"/>
          <w:sz w:val="20"/>
        </w:rPr>
        <w:t>is $0.5</w:t>
      </w:r>
      <w:r>
        <w:rPr/>
        <w:t xml:space="preserve"> </w:t>
      </w:r>
      <w:r>
        <w:rPr>
          <w:rFonts w:ascii="Times New Roman" w:hAnsi="Times New Roman"/>
          <w:sz w:val="20"/>
        </w:rPr>
        <w:t>million and in fiscal 2025</w:t>
      </w:r>
      <w:r>
        <w:rPr/>
        <w:t xml:space="preserve"> </w:t>
      </w:r>
      <w:r>
        <w:rPr>
          <w:rFonts w:ascii="Times New Roman" w:hAnsi="Times New Roman"/>
          <w:sz w:val="20"/>
        </w:rPr>
        <w:t>was $0.25</w:t>
      </w:r>
      <w:r>
        <w:rPr/>
        <w:t xml:space="preserve"> </w:t>
      </w:r>
      <w:r>
        <w:rPr>
          <w:rFonts w:ascii="Times New Roman" w:hAnsi="Times New Roman"/>
          <w:sz w:val="20"/>
        </w:rPr>
        <w:t>million, with $0.5</w:t>
      </w:r>
      <w:r>
        <w:rPr/>
        <w:t xml:space="preserve"> </w:t>
      </w:r>
      <w:r>
        <w:rPr>
          <w:rFonts w:ascii="Times New Roman" w:hAnsi="Times New Roman"/>
          <w:sz w:val="20"/>
        </w:rPr>
        <w:t>million for action over claims, and a $30.0</w:t>
      </w:r>
      <w:r>
        <w:rPr/>
        <w:t xml:space="preserve"> </w:t>
      </w:r>
      <w:r>
        <w:rPr>
          <w:rFonts w:ascii="Times New Roman" w:hAnsi="Times New Roman"/>
          <w:sz w:val="20"/>
        </w:rPr>
        <w:t>million limit in both fiscal 2026</w:t>
      </w:r>
      <w:r>
        <w:rPr/>
        <w:t xml:space="preserve"> </w:t>
      </w:r>
      <w:r>
        <w:rPr>
          <w:rFonts w:ascii="Times New Roman" w:hAnsi="Times New Roman"/>
          <w:sz w:val="20"/>
        </w:rPr>
        <w:t>and 2025. In addition, we establish a warranty accrual for lower cost-related issues to cover home repairs, community amenities and land development infrastructure that are not covered under our general liability and construction defect policy. We accrue an estimate for these warranty costs at the time each home is closed and control is transferred to the homebuyer. Additions, charges and changes in the warranty reserve and general liability reserve for the three and nine</w:t>
      </w:r>
      <w:r>
        <w:rPr/>
        <w:t xml:space="preserve"> </w:t>
      </w:r>
      <w:r>
        <w:rPr>
          <w:rFonts w:ascii="Times New Roman" w:hAnsi="Times New Roman"/>
          <w:sz w:val="20"/>
        </w:rPr>
        <w:t>months ended July 31, 2026</w:t>
      </w:r>
      <w:r>
        <w:rPr/>
        <w:t xml:space="preserve"> </w:t>
      </w:r>
      <w:r>
        <w:rPr>
          <w:rFonts w:ascii="Times New Roman" w:hAnsi="Times New Roman"/>
          <w:sz w:val="20"/>
        </w:rPr>
        <w:t>and 2025</w:t>
      </w:r>
      <w:r>
        <w:rPr/>
        <w:t xml:space="preserve"> </w:t>
      </w:r>
      <w:r>
        <w:rPr>
          <w:rFonts w:ascii="Times New Roman" w:hAnsi="Times New Roman"/>
          <w:sz w:val="20"/>
        </w:rPr>
        <w:t>were as follows:</w:t>
      </w:r>
    </w:p>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pPr>
      <w:hyperlink w:anchor="TOC_TableofContent">
        <w:r>
          <w:rPr>
            <w:rStyle w:val="InternetLink"/>
            <w:rFonts w:ascii="Times New Roman" w:hAnsi="Times New Roman"/>
            <w:strike w:val="false"/>
            <w:dstrike w:val="false"/>
            <w:color w:val="0000FF"/>
            <w:sz w:val="20"/>
            <w:u w:val="single"/>
            <w:effect w:val="none"/>
          </w:rPr>
          <w:t>Table of Contents</w:t>
        </w:r>
      </w:hyperlink>
    </w:p>
    <w:p>
      <w:pPr>
        <w:pStyle w:val="TextBody"/>
        <w:bidi w:val="0"/>
        <w:spacing w:lineRule="atLeast" w:line="240" w:before="0" w:after="0"/>
        <w:jc w:val="left"/>
        <w:rPr/>
      </w:pPr>
      <w:r>
        <w:rPr/>
        <w:t> </w:t>
      </w:r>
    </w:p>
    <w:tbl>
      <w:tblPr>
        <w:tblW w:w="7404" w:type="dxa"/>
        <w:jc w:val="left"/>
        <w:tblInd w:w="0" w:type="dxa"/>
        <w:tblLayout w:type="fixed"/>
        <w:tblCellMar>
          <w:top w:w="0" w:type="dxa"/>
          <w:left w:w="0" w:type="dxa"/>
          <w:bottom w:w="0" w:type="dxa"/>
          <w:right w:w="0" w:type="dxa"/>
        </w:tblCellMar>
      </w:tblPr>
      <w:tblGrid>
        <w:gridCol w:w="3875"/>
        <w:gridCol w:w="138"/>
        <w:gridCol w:w="772"/>
        <w:gridCol w:w="66"/>
        <w:gridCol w:w="138"/>
        <w:gridCol w:w="672"/>
        <w:gridCol w:w="60"/>
        <w:gridCol w:w="128"/>
        <w:gridCol w:w="729"/>
        <w:gridCol w:w="61"/>
        <w:gridCol w:w="128"/>
        <w:gridCol w:w="637"/>
      </w:tblGrid>
      <w:tr>
        <w:trPr/>
        <w:tc>
          <w:tcPr>
            <w:tcW w:w="3875" w:type="dxa"/>
            <w:tcBorders/>
            <w:vAlign w:val="center"/>
          </w:tcPr>
          <w:p>
            <w:pPr>
              <w:pStyle w:val="TableContents"/>
              <w:bidi w:val="0"/>
              <w:spacing w:before="0" w:after="0"/>
              <w:jc w:val="left"/>
              <w:rPr/>
            </w:pPr>
            <w:r>
              <w:rPr/>
              <w:t> </w:t>
            </w:r>
          </w:p>
        </w:tc>
        <w:tc>
          <w:tcPr>
            <w:tcW w:w="1786" w:type="dxa"/>
            <w:gridSpan w:val="5"/>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60" w:type="dxa"/>
            <w:tcBorders/>
            <w:vAlign w:val="center"/>
          </w:tcPr>
          <w:p>
            <w:pPr>
              <w:pStyle w:val="TableContents"/>
              <w:bidi w:val="0"/>
              <w:spacing w:before="0" w:after="0"/>
              <w:jc w:val="left"/>
              <w:rPr/>
            </w:pPr>
            <w:r>
              <w:rPr/>
              <w:t> </w:t>
            </w:r>
          </w:p>
        </w:tc>
        <w:tc>
          <w:tcPr>
            <w:tcW w:w="1683" w:type="dxa"/>
            <w:gridSpan w:val="5"/>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Nine Months Ended</w:t>
            </w:r>
          </w:p>
        </w:tc>
      </w:tr>
      <w:tr>
        <w:trPr/>
        <w:tc>
          <w:tcPr>
            <w:tcW w:w="3875" w:type="dxa"/>
            <w:tcBorders>
              <w:bottom w:val="single" w:sz="8" w:space="0" w:color="000000"/>
            </w:tcBorders>
            <w:tcMar>
              <w:bottom w:w="28" w:type="dxa"/>
            </w:tcMar>
            <w:vAlign w:val="center"/>
          </w:tcPr>
          <w:p>
            <w:pPr>
              <w:pStyle w:val="TableContents"/>
              <w:bidi w:val="0"/>
              <w:spacing w:before="0" w:after="0"/>
              <w:jc w:val="left"/>
              <w:rPr/>
            </w:pPr>
            <w:r>
              <w:rPr/>
              <w:t> </w:t>
            </w:r>
          </w:p>
        </w:tc>
        <w:tc>
          <w:tcPr>
            <w:tcW w:w="1786" w:type="dxa"/>
            <w:gridSpan w:val="5"/>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July 31,</w:t>
            </w:r>
          </w:p>
        </w:tc>
        <w:tc>
          <w:tcPr>
            <w:tcW w:w="60" w:type="dxa"/>
            <w:tcBorders>
              <w:bottom w:val="single" w:sz="8" w:space="0" w:color="000000"/>
            </w:tcBorders>
            <w:tcMar>
              <w:bottom w:w="28" w:type="dxa"/>
            </w:tcMar>
            <w:vAlign w:val="center"/>
          </w:tcPr>
          <w:p>
            <w:pPr>
              <w:pStyle w:val="TableContents"/>
              <w:bidi w:val="0"/>
              <w:spacing w:before="0" w:after="0"/>
              <w:jc w:val="left"/>
              <w:rPr/>
            </w:pPr>
            <w:r>
              <w:rPr/>
              <w:t> </w:t>
            </w:r>
          </w:p>
        </w:tc>
        <w:tc>
          <w:tcPr>
            <w:tcW w:w="1683" w:type="dxa"/>
            <w:gridSpan w:val="5"/>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July 31,</w:t>
            </w:r>
          </w:p>
        </w:tc>
      </w:tr>
      <w:tr>
        <w:trPr/>
        <w:tc>
          <w:tcPr>
            <w:tcW w:w="387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 thousands)</w:t>
            </w:r>
          </w:p>
        </w:tc>
        <w:tc>
          <w:tcPr>
            <w:tcW w:w="910"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10"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57"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65"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r>
      <w:tr>
        <w:trPr/>
        <w:tc>
          <w:tcPr>
            <w:tcW w:w="387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Balance, beginning of period</w:t>
            </w:r>
          </w:p>
        </w:tc>
        <w:tc>
          <w:tcPr>
            <w:tcW w:w="138"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72"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103,639</w:t>
            </w:r>
          </w:p>
        </w:tc>
        <w:tc>
          <w:tcPr>
            <w:tcW w:w="66"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38"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2"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91,800</w:t>
            </w:r>
          </w:p>
        </w:tc>
        <w:tc>
          <w:tcPr>
            <w:tcW w:w="6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28"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9"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103,824</w:t>
            </w:r>
          </w:p>
        </w:tc>
        <w:tc>
          <w:tcPr>
            <w:tcW w:w="61"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28"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7"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89,391</w:t>
            </w:r>
          </w:p>
        </w:tc>
      </w:tr>
      <w:tr>
        <w:trPr/>
        <w:tc>
          <w:tcPr>
            <w:tcW w:w="387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Additions – Selling, general and administrative</w:t>
            </w:r>
          </w:p>
        </w:tc>
        <w:tc>
          <w:tcPr>
            <w:tcW w:w="138" w:type="dxa"/>
            <w:tcBorders/>
            <w:shd w:fill="FFFFFF" w:val="clear"/>
            <w:vAlign w:val="center"/>
          </w:tcPr>
          <w:p>
            <w:pPr>
              <w:pStyle w:val="TableContents"/>
              <w:bidi w:val="0"/>
              <w:spacing w:before="0" w:after="0"/>
              <w:jc w:val="left"/>
              <w:rPr/>
            </w:pPr>
            <w:r>
              <w:rPr/>
              <w:t> </w:t>
            </w:r>
          </w:p>
        </w:tc>
        <w:tc>
          <w:tcPr>
            <w:tcW w:w="77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2,140</w:t>
            </w:r>
          </w:p>
        </w:tc>
        <w:tc>
          <w:tcPr>
            <w:tcW w:w="66" w:type="dxa"/>
            <w:tcBorders/>
            <w:shd w:fill="FFFFFF" w:val="clear"/>
            <w:vAlign w:val="center"/>
          </w:tcPr>
          <w:p>
            <w:pPr>
              <w:pStyle w:val="TableContents"/>
              <w:bidi w:val="0"/>
              <w:spacing w:before="0" w:after="0"/>
              <w:jc w:val="left"/>
              <w:rPr/>
            </w:pPr>
            <w:r>
              <w:rPr/>
              <w:t> </w:t>
            </w:r>
          </w:p>
        </w:tc>
        <w:tc>
          <w:tcPr>
            <w:tcW w:w="138" w:type="dxa"/>
            <w:tcBorders/>
            <w:shd w:fill="FFFFFF" w:val="clear"/>
            <w:vAlign w:val="center"/>
          </w:tcPr>
          <w:p>
            <w:pPr>
              <w:pStyle w:val="TableContents"/>
              <w:bidi w:val="0"/>
              <w:spacing w:before="0" w:after="0"/>
              <w:jc w:val="left"/>
              <w:rPr/>
            </w:pPr>
            <w:r>
              <w:rPr/>
              <w:t> </w:t>
            </w:r>
          </w:p>
        </w:tc>
        <w:tc>
          <w:tcPr>
            <w:tcW w:w="67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2,818</w:t>
            </w:r>
          </w:p>
        </w:tc>
        <w:tc>
          <w:tcPr>
            <w:tcW w:w="60" w:type="dxa"/>
            <w:tcBorders/>
            <w:shd w:fill="FFFFFF" w:val="clear"/>
            <w:vAlign w:val="center"/>
          </w:tcPr>
          <w:p>
            <w:pPr>
              <w:pStyle w:val="TableContents"/>
              <w:bidi w:val="0"/>
              <w:spacing w:before="0" w:after="0"/>
              <w:jc w:val="left"/>
              <w:rPr/>
            </w:pPr>
            <w:r>
              <w:rPr/>
              <w:t> </w:t>
            </w:r>
          </w:p>
        </w:tc>
        <w:tc>
          <w:tcPr>
            <w:tcW w:w="128" w:type="dxa"/>
            <w:tcBorders/>
            <w:shd w:fill="FFFFFF" w:val="clear"/>
            <w:vAlign w:val="center"/>
          </w:tcPr>
          <w:p>
            <w:pPr>
              <w:pStyle w:val="TableContents"/>
              <w:bidi w:val="0"/>
              <w:spacing w:before="0" w:after="0"/>
              <w:jc w:val="left"/>
              <w:rPr/>
            </w:pPr>
            <w:r>
              <w:rPr/>
              <w:t> </w:t>
            </w:r>
          </w:p>
        </w:tc>
        <w:tc>
          <w:tcPr>
            <w:tcW w:w="72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6,329</w:t>
            </w:r>
          </w:p>
        </w:tc>
        <w:tc>
          <w:tcPr>
            <w:tcW w:w="61" w:type="dxa"/>
            <w:tcBorders/>
            <w:shd w:fill="FFFFFF" w:val="clear"/>
            <w:vAlign w:val="center"/>
          </w:tcPr>
          <w:p>
            <w:pPr>
              <w:pStyle w:val="TableContents"/>
              <w:bidi w:val="0"/>
              <w:spacing w:before="0" w:after="0"/>
              <w:jc w:val="left"/>
              <w:rPr/>
            </w:pPr>
            <w:r>
              <w:rPr/>
              <w:t> </w:t>
            </w:r>
          </w:p>
        </w:tc>
        <w:tc>
          <w:tcPr>
            <w:tcW w:w="128" w:type="dxa"/>
            <w:tcBorders/>
            <w:shd w:fill="FFFFFF" w:val="clear"/>
            <w:vAlign w:val="center"/>
          </w:tcPr>
          <w:p>
            <w:pPr>
              <w:pStyle w:val="TableContents"/>
              <w:bidi w:val="0"/>
              <w:spacing w:before="0" w:after="0"/>
              <w:jc w:val="left"/>
              <w:rPr/>
            </w:pPr>
            <w:r>
              <w:rPr/>
              <w:t> </w:t>
            </w:r>
          </w:p>
        </w:tc>
        <w:tc>
          <w:tcPr>
            <w:tcW w:w="63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7,912</w:t>
            </w:r>
          </w:p>
        </w:tc>
      </w:tr>
      <w:tr>
        <w:trPr/>
        <w:tc>
          <w:tcPr>
            <w:tcW w:w="38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Additions – Cost of sales</w:t>
            </w:r>
          </w:p>
        </w:tc>
        <w:tc>
          <w:tcPr>
            <w:tcW w:w="138" w:type="dxa"/>
            <w:tcBorders/>
            <w:shd w:fill="CCEEFF" w:val="clear"/>
            <w:vAlign w:val="center"/>
          </w:tcPr>
          <w:p>
            <w:pPr>
              <w:pStyle w:val="TableContents"/>
              <w:bidi w:val="0"/>
              <w:spacing w:before="0" w:after="0"/>
              <w:jc w:val="left"/>
              <w:rPr/>
            </w:pPr>
            <w:r>
              <w:rPr/>
              <w:t> </w:t>
            </w:r>
          </w:p>
        </w:tc>
        <w:tc>
          <w:tcPr>
            <w:tcW w:w="77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1,543</w:t>
            </w:r>
          </w:p>
        </w:tc>
        <w:tc>
          <w:tcPr>
            <w:tcW w:w="66" w:type="dxa"/>
            <w:tcBorders/>
            <w:shd w:fill="CCEEFF" w:val="clear"/>
            <w:vAlign w:val="center"/>
          </w:tcPr>
          <w:p>
            <w:pPr>
              <w:pStyle w:val="TableContents"/>
              <w:bidi w:val="0"/>
              <w:spacing w:before="0" w:after="0"/>
              <w:jc w:val="left"/>
              <w:rPr/>
            </w:pPr>
            <w:r>
              <w:rPr/>
              <w:t> </w:t>
            </w:r>
          </w:p>
        </w:tc>
        <w:tc>
          <w:tcPr>
            <w:tcW w:w="138" w:type="dxa"/>
            <w:tcBorders/>
            <w:shd w:fill="CCEEFF" w:val="clear"/>
            <w:vAlign w:val="center"/>
          </w:tcPr>
          <w:p>
            <w:pPr>
              <w:pStyle w:val="TableContents"/>
              <w:bidi w:val="0"/>
              <w:spacing w:before="0" w:after="0"/>
              <w:jc w:val="left"/>
              <w:rPr/>
            </w:pPr>
            <w:r>
              <w:rPr/>
              <w:t> </w:t>
            </w:r>
          </w:p>
        </w:tc>
        <w:tc>
          <w:tcPr>
            <w:tcW w:w="67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2,294</w:t>
            </w:r>
          </w:p>
        </w:tc>
        <w:tc>
          <w:tcPr>
            <w:tcW w:w="60" w:type="dxa"/>
            <w:tcBorders/>
            <w:shd w:fill="CCEEFF" w:val="clear"/>
            <w:vAlign w:val="center"/>
          </w:tcPr>
          <w:p>
            <w:pPr>
              <w:pStyle w:val="TableContents"/>
              <w:bidi w:val="0"/>
              <w:spacing w:before="0" w:after="0"/>
              <w:jc w:val="left"/>
              <w:rPr/>
            </w:pPr>
            <w:r>
              <w:rPr/>
              <w:t> </w:t>
            </w:r>
          </w:p>
        </w:tc>
        <w:tc>
          <w:tcPr>
            <w:tcW w:w="128" w:type="dxa"/>
            <w:tcBorders/>
            <w:shd w:fill="CCEEFF" w:val="clear"/>
            <w:vAlign w:val="center"/>
          </w:tcPr>
          <w:p>
            <w:pPr>
              <w:pStyle w:val="TableContents"/>
              <w:bidi w:val="0"/>
              <w:spacing w:before="0" w:after="0"/>
              <w:jc w:val="left"/>
              <w:rPr/>
            </w:pPr>
            <w:r>
              <w:rPr/>
              <w:t> </w:t>
            </w:r>
          </w:p>
        </w:tc>
        <w:tc>
          <w:tcPr>
            <w:tcW w:w="72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4,326</w:t>
            </w:r>
          </w:p>
        </w:tc>
        <w:tc>
          <w:tcPr>
            <w:tcW w:w="61" w:type="dxa"/>
            <w:tcBorders/>
            <w:shd w:fill="CCEEFF" w:val="clear"/>
            <w:vAlign w:val="center"/>
          </w:tcPr>
          <w:p>
            <w:pPr>
              <w:pStyle w:val="TableContents"/>
              <w:bidi w:val="0"/>
              <w:spacing w:before="0" w:after="0"/>
              <w:jc w:val="left"/>
              <w:rPr/>
            </w:pPr>
            <w:r>
              <w:rPr/>
              <w:t> </w:t>
            </w:r>
          </w:p>
        </w:tc>
        <w:tc>
          <w:tcPr>
            <w:tcW w:w="128" w:type="dxa"/>
            <w:tcBorders/>
            <w:shd w:fill="CCEEFF" w:val="clear"/>
            <w:vAlign w:val="center"/>
          </w:tcPr>
          <w:p>
            <w:pPr>
              <w:pStyle w:val="TableContents"/>
              <w:bidi w:val="0"/>
              <w:spacing w:before="0" w:after="0"/>
              <w:jc w:val="left"/>
              <w:rPr/>
            </w:pPr>
            <w:r>
              <w:rPr/>
              <w:t> </w:t>
            </w:r>
          </w:p>
        </w:tc>
        <w:tc>
          <w:tcPr>
            <w:tcW w:w="63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6,512</w:t>
            </w:r>
          </w:p>
        </w:tc>
      </w:tr>
      <w:tr>
        <w:trPr/>
        <w:tc>
          <w:tcPr>
            <w:tcW w:w="387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Charges incurred during the period</w:t>
            </w:r>
          </w:p>
        </w:tc>
        <w:tc>
          <w:tcPr>
            <w:tcW w:w="138" w:type="dxa"/>
            <w:tcBorders/>
            <w:shd w:fill="FFFFFF" w:val="clear"/>
            <w:vAlign w:val="center"/>
          </w:tcPr>
          <w:p>
            <w:pPr>
              <w:pStyle w:val="TableContents"/>
              <w:bidi w:val="0"/>
              <w:spacing w:before="0" w:after="0"/>
              <w:jc w:val="left"/>
              <w:rPr/>
            </w:pPr>
            <w:r>
              <w:rPr/>
              <w:t> </w:t>
            </w:r>
          </w:p>
        </w:tc>
        <w:tc>
          <w:tcPr>
            <w:tcW w:w="77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(4,764)</w:t>
            </w:r>
          </w:p>
        </w:tc>
        <w:tc>
          <w:tcPr>
            <w:tcW w:w="66" w:type="dxa"/>
            <w:tcBorders/>
            <w:shd w:fill="FFFFFF" w:val="clear"/>
            <w:vAlign w:val="center"/>
          </w:tcPr>
          <w:p>
            <w:pPr>
              <w:pStyle w:val="TableContents"/>
              <w:bidi w:val="0"/>
              <w:spacing w:before="0" w:after="0"/>
              <w:jc w:val="left"/>
              <w:rPr/>
            </w:pPr>
            <w:r>
              <w:rPr/>
              <w:t> </w:t>
            </w:r>
          </w:p>
        </w:tc>
        <w:tc>
          <w:tcPr>
            <w:tcW w:w="138" w:type="dxa"/>
            <w:tcBorders/>
            <w:shd w:fill="FFFFFF" w:val="clear"/>
            <w:vAlign w:val="center"/>
          </w:tcPr>
          <w:p>
            <w:pPr>
              <w:pStyle w:val="TableContents"/>
              <w:bidi w:val="0"/>
              <w:spacing w:before="0" w:after="0"/>
              <w:jc w:val="left"/>
              <w:rPr/>
            </w:pPr>
            <w:r>
              <w:rPr/>
              <w:t> </w:t>
            </w:r>
          </w:p>
        </w:tc>
        <w:tc>
          <w:tcPr>
            <w:tcW w:w="67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(2,417)</w:t>
            </w:r>
          </w:p>
        </w:tc>
        <w:tc>
          <w:tcPr>
            <w:tcW w:w="60" w:type="dxa"/>
            <w:tcBorders/>
            <w:shd w:fill="FFFFFF" w:val="clear"/>
            <w:vAlign w:val="center"/>
          </w:tcPr>
          <w:p>
            <w:pPr>
              <w:pStyle w:val="TableContents"/>
              <w:bidi w:val="0"/>
              <w:spacing w:before="0" w:after="0"/>
              <w:jc w:val="left"/>
              <w:rPr/>
            </w:pPr>
            <w:r>
              <w:rPr/>
              <w:t> </w:t>
            </w:r>
          </w:p>
        </w:tc>
        <w:tc>
          <w:tcPr>
            <w:tcW w:w="128" w:type="dxa"/>
            <w:tcBorders/>
            <w:shd w:fill="FFFFFF" w:val="clear"/>
            <w:vAlign w:val="center"/>
          </w:tcPr>
          <w:p>
            <w:pPr>
              <w:pStyle w:val="TableContents"/>
              <w:bidi w:val="0"/>
              <w:spacing w:before="0" w:after="0"/>
              <w:jc w:val="left"/>
              <w:rPr/>
            </w:pPr>
            <w:r>
              <w:rPr/>
              <w:t> </w:t>
            </w:r>
          </w:p>
        </w:tc>
        <w:tc>
          <w:tcPr>
            <w:tcW w:w="72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(12,102)</w:t>
            </w:r>
          </w:p>
        </w:tc>
        <w:tc>
          <w:tcPr>
            <w:tcW w:w="61" w:type="dxa"/>
            <w:tcBorders/>
            <w:shd w:fill="FFFFFF" w:val="clear"/>
            <w:vAlign w:val="center"/>
          </w:tcPr>
          <w:p>
            <w:pPr>
              <w:pStyle w:val="TableContents"/>
              <w:bidi w:val="0"/>
              <w:spacing w:before="0" w:after="0"/>
              <w:jc w:val="left"/>
              <w:rPr/>
            </w:pPr>
            <w:r>
              <w:rPr/>
              <w:t> </w:t>
            </w:r>
          </w:p>
        </w:tc>
        <w:tc>
          <w:tcPr>
            <w:tcW w:w="128" w:type="dxa"/>
            <w:tcBorders/>
            <w:shd w:fill="FFFFFF" w:val="clear"/>
            <w:vAlign w:val="center"/>
          </w:tcPr>
          <w:p>
            <w:pPr>
              <w:pStyle w:val="TableContents"/>
              <w:bidi w:val="0"/>
              <w:spacing w:before="0" w:after="0"/>
              <w:jc w:val="left"/>
              <w:rPr/>
            </w:pPr>
            <w:r>
              <w:rPr/>
              <w:t> </w:t>
            </w:r>
          </w:p>
        </w:tc>
        <w:tc>
          <w:tcPr>
            <w:tcW w:w="63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(8,772)</w:t>
            </w:r>
          </w:p>
        </w:tc>
      </w:tr>
      <w:tr>
        <w:trPr/>
        <w:tc>
          <w:tcPr>
            <w:tcW w:w="3875" w:type="dxa"/>
            <w:tcBorders>
              <w:bottom w:val="single" w:sz="8"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Changes to pre-existing reserves (1)(2)</w:t>
            </w:r>
          </w:p>
        </w:tc>
        <w:tc>
          <w:tcPr>
            <w:tcW w:w="138"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72"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(6,094)</w:t>
            </w:r>
          </w:p>
        </w:tc>
        <w:tc>
          <w:tcPr>
            <w:tcW w:w="6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72"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1,955</w:t>
            </w:r>
          </w:p>
        </w:tc>
        <w:tc>
          <w:tcPr>
            <w:tcW w:w="6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29"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(5,913)</w:t>
            </w:r>
          </w:p>
        </w:tc>
        <w:tc>
          <w:tcPr>
            <w:tcW w:w="61"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3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1,407</w:t>
            </w:r>
          </w:p>
        </w:tc>
      </w:tr>
      <w:tr>
        <w:trPr/>
        <w:tc>
          <w:tcPr>
            <w:tcW w:w="387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Balance, end of period</w:t>
            </w:r>
          </w:p>
        </w:tc>
        <w:tc>
          <w:tcPr>
            <w:tcW w:w="13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72"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96,464</w:t>
            </w:r>
          </w:p>
        </w:tc>
        <w:tc>
          <w:tcPr>
            <w:tcW w:w="66"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3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2"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96,450</w:t>
            </w:r>
          </w:p>
        </w:tc>
        <w:tc>
          <w:tcPr>
            <w:tcW w:w="6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2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96,464</w:t>
            </w:r>
          </w:p>
        </w:tc>
        <w:tc>
          <w:tcPr>
            <w:tcW w:w="61"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2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96,450</w:t>
            </w:r>
          </w:p>
        </w:tc>
      </w:tr>
    </w:tbl>
    <w:p>
      <w:pPr>
        <w:pStyle w:val="TextBody"/>
        <w:bidi w:val="0"/>
        <w:spacing w:lineRule="atLeast" w:line="240" w:before="200" w:after="0"/>
        <w:jc w:val="left"/>
        <w:rPr/>
      </w:pPr>
      <w:r>
        <w:rPr>
          <w:rFonts w:ascii="Times New Roman" w:hAnsi="Times New Roman"/>
          <w:i/>
          <w:sz w:val="20"/>
        </w:rPr>
        <w:t>(1) Includes reserve balances acquired from unconsolidated joint ventures, as discussed in Note 18</w:t>
      </w:r>
      <w:r>
        <w:rPr>
          <w:rFonts w:ascii="Times New Roman" w:hAnsi="Times New Roman"/>
          <w:sz w:val="20"/>
        </w:rPr>
        <w:t>.</w:t>
      </w:r>
    </w:p>
    <w:p>
      <w:pPr>
        <w:pStyle w:val="TextBody"/>
        <w:bidi w:val="0"/>
        <w:spacing w:lineRule="atLeast" w:line="240" w:before="200" w:after="0"/>
        <w:jc w:val="left"/>
        <w:rPr/>
      </w:pPr>
      <w:r>
        <w:rPr>
          <w:rFonts w:ascii="Times New Roman" w:hAnsi="Times New Roman"/>
          <w:i/>
          <w:sz w:val="20"/>
        </w:rPr>
        <w:t>(2) During fiscal 2026, we recorded a decrease of $6.6</w:t>
      </w:r>
      <w:r>
        <w:rPr/>
        <w:t xml:space="preserve"> </w:t>
      </w:r>
      <w:r>
        <w:rPr>
          <w:rFonts w:ascii="Times New Roman" w:hAnsi="Times New Roman"/>
          <w:i/>
          <w:sz w:val="20"/>
        </w:rPr>
        <w:t>million to our construction defect reserves as a result of our claims history, which is reflected in the changes to pre-existing reserves</w:t>
      </w:r>
      <w:r>
        <w:rPr>
          <w:rFonts w:ascii="Times New Roman" w:hAnsi="Times New Roman"/>
          <w:sz w:val="20"/>
        </w:rPr>
        <w:t>.</w:t>
      </w:r>
    </w:p>
    <w:p>
      <w:pPr>
        <w:pStyle w:val="TextBody"/>
        <w:bidi w:val="0"/>
        <w:spacing w:before="0" w:after="0"/>
        <w:jc w:val="left"/>
        <w:rPr/>
      </w:pPr>
      <w:r>
        <w:rPr/>
        <w:t> </w:t>
      </w:r>
    </w:p>
    <w:tbl>
      <w:tblPr>
        <w:tblW w:w="3655" w:type="dxa"/>
        <w:jc w:val="left"/>
        <w:tblInd w:w="0" w:type="dxa"/>
        <w:tblLayout w:type="fixed"/>
        <w:tblCellMar>
          <w:top w:w="0" w:type="dxa"/>
          <w:left w:w="0" w:type="dxa"/>
          <w:bottom w:w="0" w:type="dxa"/>
          <w:right w:w="0" w:type="dxa"/>
        </w:tblCellMar>
      </w:tblPr>
      <w:tblGrid>
        <w:gridCol w:w="185"/>
        <w:gridCol w:w="3470"/>
      </w:tblGrid>
      <w:tr>
        <w:trPr/>
        <w:tc>
          <w:tcPr>
            <w:tcW w:w="185" w:type="dxa"/>
            <w:tcBorders/>
            <w:vAlign w:val="center"/>
          </w:tcPr>
          <w:p>
            <w:pPr>
              <w:pStyle w:val="TableContents"/>
              <w:bidi w:val="0"/>
              <w:spacing w:lineRule="atLeast" w:line="240" w:before="0" w:after="0"/>
              <w:jc w:val="left"/>
              <w:rPr>
                <w:rFonts w:ascii="Times New Roman" w:hAnsi="Times New Roman"/>
                <w:b/>
                <w:sz w:val="20"/>
              </w:rPr>
            </w:pPr>
            <w:r>
              <w:rPr>
                <w:rFonts w:ascii="Times New Roman" w:hAnsi="Times New Roman"/>
                <w:b/>
                <w:sz w:val="20"/>
              </w:rPr>
              <w:t>7.</w:t>
            </w:r>
          </w:p>
        </w:tc>
        <w:tc>
          <w:tcPr>
            <w:tcW w:w="3470" w:type="dxa"/>
            <w:tcBorders/>
            <w:vAlign w:val="center"/>
          </w:tcPr>
          <w:p>
            <w:pPr>
              <w:pStyle w:val="TableContents"/>
              <w:bidi w:val="0"/>
              <w:spacing w:lineRule="atLeast" w:line="240" w:before="0" w:after="0"/>
              <w:jc w:val="left"/>
              <w:rPr>
                <w:rFonts w:ascii="Times New Roman" w:hAnsi="Times New Roman"/>
                <w:b/>
                <w:sz w:val="20"/>
              </w:rPr>
            </w:pPr>
            <w:r>
              <w:rPr>
                <w:rFonts w:ascii="Times New Roman" w:hAnsi="Times New Roman"/>
                <w:b/>
                <w:sz w:val="20"/>
              </w:rPr>
              <w:t>Commitments and Contingent Liabilities</w:t>
            </w:r>
          </w:p>
        </w:tc>
      </w:tr>
    </w:tbl>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rFonts w:ascii="Times New Roman" w:hAnsi="Times New Roman"/>
          <w:sz w:val="20"/>
        </w:rPr>
        <w:t>We are involved in litigation, claims and other proceedings arising in the ordinary course of business. The significant majority of our litigation matters are related to construction defect claims. Our estimated losses from construction defect litigation matters, if any, are included in our construction defect reserves.</w:t>
      </w:r>
      <w:r>
        <w:rPr/>
        <w:t> </w:t>
      </w:r>
      <w:r>
        <w:rPr>
          <w:rFonts w:ascii="Times New Roman" w:hAnsi="Times New Roman"/>
          <w:sz w:val="20"/>
        </w:rPr>
        <w:t>While the outcome of such contingencies cannot be predicted with certainty, we do not believe that the resolution of such matters will have a material adverse impact on our financial position, results of operations or cash flows.</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rFonts w:ascii="Times New Roman" w:hAnsi="Times New Roman"/>
          <w:sz w:val="20"/>
        </w:rPr>
        <w:t>In December 2020, the New Jersey Department of Environmental Protection (“NJDEP”) and the Administrator of the New Jersey Spill Compensation Fund (the “Spill Fund”) filed a lawsuit in the Superior Court of New Jersey, Law Division, Union County against Hovnanian Enterprises, Inc., in addition to other unrelated parties, in connection with contamination at Hickory Manor, a residential condominium development. Alleged predecessors of certain defendants had used the Hickory Manor property for decades for manufacturing purposes.</w:t>
      </w:r>
      <w:r>
        <w:rPr/>
        <w:t> </w:t>
      </w:r>
      <w:r>
        <w:rPr>
          <w:rFonts w:ascii="Times New Roman" w:hAnsi="Times New Roman"/>
          <w:sz w:val="20"/>
        </w:rPr>
        <w:t>In</w:t>
      </w:r>
      <w:r>
        <w:rPr/>
        <w:t> </w:t>
      </w:r>
      <w:r>
        <w:rPr>
          <w:rFonts w:ascii="Times New Roman" w:hAnsi="Times New Roman"/>
          <w:sz w:val="20"/>
        </w:rPr>
        <w:t>1998</w:t>
      </w:r>
      <w:r>
        <w:rPr/>
        <w:t> </w:t>
      </w:r>
      <w:r>
        <w:rPr>
          <w:rFonts w:ascii="Times New Roman" w:hAnsi="Times New Roman"/>
          <w:sz w:val="20"/>
        </w:rPr>
        <w:t>(when one of our affiliates purchased the property and began conducting the remediation), NJDEP confirmed that groundwater at this site was impacted from an off-site source. The site was later remediated, resulting in the NJDEP issuing an unconditional site-wide No Further Action (“NFA”)</w:t>
      </w:r>
      <w:r>
        <w:rPr/>
        <w:t> </w:t>
      </w:r>
      <w:r>
        <w:rPr>
          <w:rFonts w:ascii="Times New Roman" w:hAnsi="Times New Roman"/>
          <w:sz w:val="20"/>
        </w:rPr>
        <w:t>determination letter and Covenant Not to Sue in</w:t>
      </w:r>
      <w:r>
        <w:rPr/>
        <w:t> </w:t>
      </w:r>
      <w:r>
        <w:rPr>
          <w:rFonts w:ascii="Times New Roman" w:hAnsi="Times New Roman"/>
          <w:sz w:val="20"/>
        </w:rPr>
        <w:t>1999. Subsequently,</w:t>
      </w:r>
      <w:r>
        <w:rPr/>
        <w:t> </w:t>
      </w:r>
      <w:r>
        <w:rPr>
          <w:rFonts w:ascii="Times New Roman" w:hAnsi="Times New Roman"/>
          <w:sz w:val="20"/>
        </w:rPr>
        <w:t>one</w:t>
      </w:r>
      <w:r>
        <w:rPr/>
        <w:t> </w:t>
      </w:r>
      <w:r>
        <w:rPr>
          <w:rFonts w:ascii="Times New Roman" w:hAnsi="Times New Roman"/>
          <w:sz w:val="20"/>
        </w:rPr>
        <w:t>of our affiliates was involved in redeveloping the property as a residential community. The complaint asserts claims under the New Jersey Spill Act and other state law claims and alleges that</w:t>
      </w:r>
      <w:r>
        <w:rPr/>
        <w:t> </w:t>
      </w:r>
      <w:r>
        <w:rPr>
          <w:rFonts w:ascii="Times New Roman" w:hAnsi="Times New Roman"/>
          <w:sz w:val="20"/>
        </w:rPr>
        <w:t>the NJDEP and the Spill Fund have incurred over $5.3</w:t>
      </w:r>
      <w:r>
        <w:rPr/>
        <w:t xml:space="preserve"> </w:t>
      </w:r>
      <w:r>
        <w:rPr>
          <w:rFonts w:ascii="Times New Roman" w:hAnsi="Times New Roman"/>
          <w:sz w:val="20"/>
        </w:rPr>
        <w:t>million since</w:t>
      </w:r>
      <w:r>
        <w:rPr/>
        <w:t> </w:t>
      </w:r>
      <w:r>
        <w:rPr>
          <w:rFonts w:ascii="Times New Roman" w:hAnsi="Times New Roman"/>
          <w:sz w:val="20"/>
        </w:rPr>
        <w:t>2009</w:t>
      </w:r>
      <w:r>
        <w:rPr/>
        <w:t> </w:t>
      </w:r>
      <w:r>
        <w:rPr>
          <w:rFonts w:ascii="Times New Roman" w:hAnsi="Times New Roman"/>
          <w:sz w:val="20"/>
        </w:rPr>
        <w:t>to investigate vapor intrusion at the development and to install vapor mitigation systems. Among other things, the complaint seeks recovery of the costs incurred, an order that defendants perform additional required remediation and disgorgement of profits on our affiliate’s sales of the homes in the development. Discovery has commenced.</w:t>
      </w:r>
      <w:r>
        <w:rPr/>
        <w:t> </w:t>
      </w:r>
      <w:r>
        <w:rPr>
          <w:rFonts w:ascii="Times New Roman" w:hAnsi="Times New Roman"/>
          <w:sz w:val="20"/>
        </w:rPr>
        <w:t>Hovnanian Enterprises, Inc. intends to defend these claims vigorously.</w:t>
      </w:r>
    </w:p>
    <w:p>
      <w:pPr>
        <w:pStyle w:val="TextBody"/>
        <w:bidi w:val="0"/>
        <w:spacing w:lineRule="atLeast" w:line="240"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185"/>
        <w:gridCol w:w="5030"/>
      </w:tblGrid>
      <w:tr>
        <w:trPr/>
        <w:tc>
          <w:tcPr>
            <w:tcW w:w="1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8.</w:t>
            </w:r>
          </w:p>
        </w:tc>
        <w:tc>
          <w:tcPr>
            <w:tcW w:w="50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Cash Equivalents, Restricted Cash and Customers' Deposits</w:t>
            </w:r>
          </w:p>
        </w:tc>
      </w:tr>
    </w:tbl>
    <w:p>
      <w:pPr>
        <w:pStyle w:val="TextBody"/>
        <w:bidi w:val="0"/>
        <w:spacing w:before="0" w:after="0"/>
        <w:jc w:val="left"/>
        <w:rPr/>
      </w:pPr>
      <w:r>
        <w:rPr/>
        <w:t> </w:t>
      </w:r>
    </w:p>
    <w:p>
      <w:pPr>
        <w:pStyle w:val="TextBody"/>
        <w:bidi w:val="0"/>
        <w:spacing w:lineRule="atLeast" w:line="240" w:before="0" w:after="0"/>
        <w:ind w:left="0" w:right="0" w:firstLine="900"/>
        <w:jc w:val="left"/>
        <w:rPr/>
      </w:pPr>
      <w:r>
        <w:rPr>
          <w:rFonts w:ascii="Times New Roman" w:hAnsi="Times New Roman"/>
          <w:sz w:val="20"/>
        </w:rPr>
        <w:t>Cash equivalents include</w:t>
      </w:r>
      <w:r>
        <w:rPr/>
        <w:t> </w:t>
      </w:r>
      <w:r>
        <w:rPr>
          <w:rFonts w:ascii="Times New Roman" w:hAnsi="Times New Roman"/>
          <w:sz w:val="20"/>
        </w:rPr>
        <w:t>certificates of deposit, U.S. Treasury bills and government money–market funds with maturities of 90</w:t>
      </w:r>
      <w:r>
        <w:rPr/>
        <w:t xml:space="preserve"> </w:t>
      </w:r>
      <w:r>
        <w:rPr>
          <w:rFonts w:ascii="Times New Roman" w:hAnsi="Times New Roman"/>
          <w:sz w:val="20"/>
        </w:rPr>
        <w:t>days or less when purchased.</w:t>
      </w:r>
      <w:r>
        <w:rPr/>
        <w:t> </w:t>
      </w:r>
      <w:r>
        <w:rPr>
          <w:rFonts w:ascii="Times New Roman" w:hAnsi="Times New Roman"/>
          <w:sz w:val="20"/>
        </w:rPr>
        <w:t>Our cash balances are held at a few financial institutions and may, at times, exceed insurable amounts.</w:t>
      </w:r>
      <w:r>
        <w:rPr/>
        <w:t> </w:t>
      </w:r>
      <w:r>
        <w:rPr>
          <w:rFonts w:ascii="Times New Roman" w:hAnsi="Times New Roman"/>
          <w:sz w:val="20"/>
        </w:rPr>
        <w:t>We believe we help to mitigate this risk by depositing our cash in major high credit quality</w:t>
      </w:r>
      <w:r>
        <w:rPr/>
        <w:t> </w:t>
      </w:r>
      <w:r>
        <w:rPr>
          <w:rFonts w:ascii="Times New Roman" w:hAnsi="Times New Roman"/>
          <w:sz w:val="20"/>
        </w:rPr>
        <w:t>financial institutions.</w:t>
      </w:r>
      <w:r>
        <w:rPr/>
        <w:t> </w:t>
      </w:r>
      <w:r>
        <w:rPr>
          <w:rFonts w:ascii="Times New Roman" w:hAnsi="Times New Roman"/>
          <w:sz w:val="20"/>
        </w:rPr>
        <w:t>As of</w:t>
      </w:r>
      <w:r>
        <w:rPr/>
        <w:t> </w:t>
      </w:r>
      <w:r>
        <w:rPr>
          <w:rFonts w:ascii="Times New Roman" w:hAnsi="Times New Roman"/>
          <w:sz w:val="20"/>
        </w:rPr>
        <w:t>July 31, 2026</w:t>
      </w:r>
      <w:r>
        <w:rPr/>
        <w:t xml:space="preserve"> </w:t>
      </w:r>
      <w:r>
        <w:rPr>
          <w:rFonts w:ascii="Times New Roman" w:hAnsi="Times New Roman"/>
          <w:sz w:val="20"/>
        </w:rPr>
        <w:t>and October 31, 2025, $9.8</w:t>
      </w:r>
      <w:r>
        <w:rPr/>
        <w:t> </w:t>
      </w:r>
      <w:r>
        <w:rPr>
          <w:rFonts w:ascii="Times New Roman" w:hAnsi="Times New Roman"/>
          <w:sz w:val="20"/>
        </w:rPr>
        <w:t>million and $11.9</w:t>
      </w:r>
      <w:r>
        <w:rPr/>
        <w:t> </w:t>
      </w:r>
      <w:r>
        <w:rPr>
          <w:rFonts w:ascii="Times New Roman" w:hAnsi="Times New Roman"/>
          <w:sz w:val="20"/>
        </w:rPr>
        <w:t>million, respectively, of our total cash and cash equivalents was in cash equivalents and restricted cash equivalents.</w:t>
      </w:r>
    </w:p>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rFonts w:ascii="Times New Roman" w:hAnsi="Times New Roman"/>
          <w:sz w:val="20"/>
        </w:rPr>
        <w:t>Homebuilding "Restricted cash and cash equivalents" on the Condensed Consolidated Balance Sheets totaled $9.2</w:t>
      </w:r>
      <w:r>
        <w:rPr/>
        <w:t xml:space="preserve"> </w:t>
      </w:r>
      <w:r>
        <w:rPr>
          <w:rFonts w:ascii="Times New Roman" w:hAnsi="Times New Roman"/>
          <w:sz w:val="20"/>
        </w:rPr>
        <w:t>million and $12.6</w:t>
      </w:r>
      <w:r>
        <w:rPr/>
        <w:t xml:space="preserve"> </w:t>
      </w:r>
      <w:r>
        <w:rPr>
          <w:rFonts w:ascii="Times New Roman" w:hAnsi="Times New Roman"/>
          <w:sz w:val="20"/>
        </w:rPr>
        <w:t>million as of</w:t>
      </w:r>
      <w:r>
        <w:rPr/>
        <w:t> </w:t>
      </w:r>
      <w:r>
        <w:rPr>
          <w:rFonts w:ascii="Times New Roman" w:hAnsi="Times New Roman"/>
          <w:sz w:val="20"/>
        </w:rPr>
        <w:t>July 31, 2026</w:t>
      </w:r>
      <w:r>
        <w:rPr/>
        <w:t xml:space="preserve"> </w:t>
      </w:r>
      <w:r>
        <w:rPr>
          <w:rFonts w:ascii="Times New Roman" w:hAnsi="Times New Roman"/>
          <w:sz w:val="20"/>
        </w:rPr>
        <w:t>and October 31, 2025, respectively, which primarily consists of cash collateralizing our letter of credit agreements and facilities (see Note 12).</w:t>
      </w:r>
    </w:p>
    <w:p>
      <w:pPr>
        <w:pStyle w:val="TextBody"/>
        <w:bidi w:val="0"/>
        <w:spacing w:lineRule="atLeast" w:line="240" w:before="0" w:after="0"/>
        <w:ind w:left="0" w:right="0" w:firstLine="90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r>
        <w:br w:type="page"/>
      </w:r>
    </w:p>
    <w:p>
      <w:pPr>
        <w:pStyle w:val="TextBody"/>
        <w:bidi w:val="0"/>
        <w:spacing w:before="0" w:after="0"/>
        <w:jc w:val="left"/>
        <w:rPr/>
      </w:pPr>
      <w:hyperlink w:anchor="TOC_TableofContent">
        <w:r>
          <w:rPr>
            <w:rStyle w:val="InternetLink"/>
            <w:rFonts w:ascii="Times New Roman" w:hAnsi="Times New Roman"/>
            <w:strike w:val="false"/>
            <w:dstrike w:val="false"/>
            <w:color w:val="0000FF"/>
            <w:sz w:val="20"/>
            <w:u w:val="single"/>
            <w:effect w:val="none"/>
          </w:rPr>
          <w:t>Table of Contents</w:t>
        </w:r>
      </w:hyperlink>
    </w:p>
    <w:p>
      <w:pPr>
        <w:pStyle w:val="TextBody"/>
        <w:bidi w:val="0"/>
        <w:spacing w:before="0" w:after="0"/>
        <w:jc w:val="left"/>
        <w:rPr/>
      </w:pPr>
      <w:r>
        <w:rPr/>
        <w:t> </w:t>
      </w:r>
    </w:p>
    <w:p>
      <w:pPr>
        <w:pStyle w:val="TextBody"/>
        <w:bidi w:val="0"/>
        <w:spacing w:lineRule="atLeast" w:line="240" w:before="0" w:after="0"/>
        <w:ind w:left="0" w:right="0" w:firstLine="900"/>
        <w:jc w:val="left"/>
        <w:rPr/>
      </w:pPr>
      <w:r>
        <w:rPr>
          <w:rFonts w:ascii="Times New Roman" w:hAnsi="Times New Roman"/>
          <w:sz w:val="20"/>
        </w:rPr>
        <w:t>Financial services restricted cash and cash equivalents, which are included in "Financial services" assets on the Condensed Consolidated Balance</w:t>
      </w:r>
      <w:r>
        <w:rPr/>
        <w:t xml:space="preserve"> </w:t>
      </w:r>
      <w:r>
        <w:rPr>
          <w:rFonts w:ascii="Times New Roman" w:hAnsi="Times New Roman"/>
          <w:sz w:val="20"/>
        </w:rPr>
        <w:t>Sheets, totaled $27.6</w:t>
      </w:r>
      <w:r>
        <w:rPr/>
        <w:t> </w:t>
      </w:r>
      <w:r>
        <w:rPr>
          <w:rFonts w:ascii="Times New Roman" w:hAnsi="Times New Roman"/>
          <w:sz w:val="20"/>
        </w:rPr>
        <w:t>million and $27.7</w:t>
      </w:r>
      <w:r>
        <w:rPr/>
        <w:t xml:space="preserve"> </w:t>
      </w:r>
      <w:r>
        <w:rPr>
          <w:rFonts w:ascii="Times New Roman" w:hAnsi="Times New Roman"/>
          <w:sz w:val="20"/>
        </w:rPr>
        <w:t>million as of July 31, 2026</w:t>
      </w:r>
      <w:r>
        <w:rPr/>
        <w:t xml:space="preserve"> </w:t>
      </w:r>
      <w:r>
        <w:rPr>
          <w:rFonts w:ascii="Times New Roman" w:hAnsi="Times New Roman"/>
          <w:sz w:val="20"/>
        </w:rPr>
        <w:t>and October 31, 2025, respectively. Included in these</w:t>
      </w:r>
      <w:r>
        <w:rPr/>
        <w:t> </w:t>
      </w:r>
      <w:r>
        <w:rPr>
          <w:rFonts w:ascii="Times New Roman" w:hAnsi="Times New Roman"/>
          <w:sz w:val="20"/>
        </w:rPr>
        <w:t>balances were (1) financial services customers’ deposits of $25.3</w:t>
      </w:r>
      <w:r>
        <w:rPr/>
        <w:t> </w:t>
      </w:r>
      <w:r>
        <w:rPr>
          <w:rFonts w:ascii="Times New Roman" w:hAnsi="Times New Roman"/>
          <w:sz w:val="20"/>
        </w:rPr>
        <w:t>million</w:t>
      </w:r>
      <w:r>
        <w:rPr/>
        <w:t> </w:t>
      </w:r>
      <w:r>
        <w:rPr>
          <w:rFonts w:ascii="Times New Roman" w:hAnsi="Times New Roman"/>
          <w:sz w:val="20"/>
        </w:rPr>
        <w:t>and $25.4</w:t>
      </w:r>
      <w:r>
        <w:rPr/>
        <w:t> </w:t>
      </w:r>
      <w:r>
        <w:rPr>
          <w:rFonts w:ascii="Times New Roman" w:hAnsi="Times New Roman"/>
          <w:sz w:val="20"/>
        </w:rPr>
        <w:t>million at July 31, 2026</w:t>
      </w:r>
      <w:r>
        <w:rPr/>
        <w:t xml:space="preserve"> </w:t>
      </w:r>
      <w:r>
        <w:rPr>
          <w:rFonts w:ascii="Times New Roman" w:hAnsi="Times New Roman"/>
          <w:sz w:val="20"/>
        </w:rPr>
        <w:t>and</w:t>
      </w:r>
      <w:r>
        <w:rPr/>
        <w:t> </w:t>
      </w:r>
      <w:r>
        <w:rPr>
          <w:rFonts w:ascii="Times New Roman" w:hAnsi="Times New Roman"/>
          <w:sz w:val="20"/>
        </w:rPr>
        <w:t>October 31, 2025, respectively, which are subject to restrictions</w:t>
      </w:r>
      <w:r>
        <w:rPr/>
        <w:t> </w:t>
      </w:r>
      <w:r>
        <w:rPr>
          <w:rFonts w:ascii="Times New Roman" w:hAnsi="Times New Roman"/>
          <w:sz w:val="20"/>
        </w:rPr>
        <w:t>on our use, and (2) restricted cash under the terms of our mortgage warehouse lines of credit of $2.3</w:t>
      </w:r>
      <w:r>
        <w:rPr/>
        <w:t> </w:t>
      </w:r>
      <w:r>
        <w:rPr>
          <w:rFonts w:ascii="Times New Roman" w:hAnsi="Times New Roman"/>
          <w:sz w:val="20"/>
        </w:rPr>
        <w:t>million at both</w:t>
      </w:r>
      <w:r>
        <w:rPr/>
        <w:t> </w:t>
      </w:r>
      <w:r>
        <w:rPr>
          <w:rFonts w:ascii="Times New Roman" w:hAnsi="Times New Roman"/>
          <w:sz w:val="20"/>
        </w:rPr>
        <w:t>July 31, 2026</w:t>
      </w:r>
      <w:r>
        <w:rPr/>
        <w:t xml:space="preserve"> </w:t>
      </w:r>
      <w:r>
        <w:rPr>
          <w:rFonts w:ascii="Times New Roman" w:hAnsi="Times New Roman"/>
          <w:sz w:val="20"/>
        </w:rPr>
        <w:t>and October 31, 2025.</w:t>
      </w:r>
      <w:r>
        <w:rPr/>
        <w:t> </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rFonts w:ascii="Times New Roman" w:hAnsi="Times New Roman"/>
          <w:sz w:val="20"/>
        </w:rPr>
        <w:t>Homebuilding</w:t>
      </w:r>
      <w:r>
        <w:rPr/>
        <w:t> </w:t>
      </w:r>
      <w:r>
        <w:rPr>
          <w:rFonts w:ascii="Times New Roman" w:hAnsi="Times New Roman"/>
          <w:sz w:val="20"/>
        </w:rPr>
        <w:t>"Customers' deposits" are shown as a liability on the Condensed Consolidated Balance Sheets. These liabilities are significantly more than the applicable periods’ restricted cash balances because</w:t>
      </w:r>
      <w:r>
        <w:rPr/>
        <w:t> </w:t>
      </w:r>
      <w:r>
        <w:rPr>
          <w:rFonts w:ascii="Times New Roman" w:hAnsi="Times New Roman"/>
          <w:sz w:val="20"/>
        </w:rPr>
        <w:t>in some states</w:t>
      </w:r>
      <w:r>
        <w:rPr/>
        <w:t> </w:t>
      </w:r>
      <w:r>
        <w:rPr>
          <w:rFonts w:ascii="Times New Roman" w:hAnsi="Times New Roman"/>
          <w:sz w:val="20"/>
        </w:rPr>
        <w:t>and foreign jurisdictions the deposits are not restricted from use and, in other states, we are able to release the majority of these customer deposits to cash by pledging letters of credit or surety bonds.</w:t>
      </w:r>
    </w:p>
    <w:p>
      <w:pPr>
        <w:pStyle w:val="TextBody"/>
        <w:bidi w:val="0"/>
        <w:spacing w:lineRule="atLeast" w:line="240" w:before="0" w:after="0"/>
        <w:jc w:val="left"/>
        <w:rPr/>
      </w:pPr>
      <w:r>
        <w:rPr/>
        <w:t> </w:t>
      </w:r>
    </w:p>
    <w:tbl>
      <w:tblPr>
        <w:tblW w:w="835" w:type="dxa"/>
        <w:jc w:val="left"/>
        <w:tblInd w:w="0" w:type="dxa"/>
        <w:tblLayout w:type="fixed"/>
        <w:tblCellMar>
          <w:top w:w="0" w:type="dxa"/>
          <w:left w:w="0" w:type="dxa"/>
          <w:bottom w:w="0" w:type="dxa"/>
          <w:right w:w="0" w:type="dxa"/>
        </w:tblCellMar>
      </w:tblPr>
      <w:tblGrid>
        <w:gridCol w:w="185"/>
        <w:gridCol w:w="650"/>
      </w:tblGrid>
      <w:tr>
        <w:trPr/>
        <w:tc>
          <w:tcPr>
            <w:tcW w:w="185" w:type="dxa"/>
            <w:tcBorders/>
            <w:vAlign w:val="center"/>
          </w:tcPr>
          <w:p>
            <w:pPr>
              <w:pStyle w:val="TableContents"/>
              <w:bidi w:val="0"/>
              <w:spacing w:lineRule="atLeast" w:line="240" w:before="0" w:after="0"/>
              <w:jc w:val="left"/>
              <w:rPr>
                <w:rFonts w:ascii="Times New Roman" w:hAnsi="Times New Roman"/>
                <w:b/>
                <w:sz w:val="20"/>
              </w:rPr>
            </w:pPr>
            <w:r>
              <w:rPr>
                <w:rFonts w:ascii="Times New Roman" w:hAnsi="Times New Roman"/>
                <w:b/>
                <w:sz w:val="20"/>
              </w:rPr>
              <w:t>9.</w:t>
            </w:r>
          </w:p>
        </w:tc>
        <w:tc>
          <w:tcPr>
            <w:tcW w:w="650" w:type="dxa"/>
            <w:tcBorders/>
            <w:vAlign w:val="center"/>
          </w:tcPr>
          <w:p>
            <w:pPr>
              <w:pStyle w:val="TableContents"/>
              <w:bidi w:val="0"/>
              <w:spacing w:lineRule="atLeast" w:line="240" w:before="0" w:after="0"/>
              <w:jc w:val="left"/>
              <w:rPr>
                <w:rFonts w:ascii="Times New Roman" w:hAnsi="Times New Roman"/>
                <w:b/>
                <w:sz w:val="20"/>
              </w:rPr>
            </w:pPr>
            <w:r>
              <w:rPr>
                <w:rFonts w:ascii="Times New Roman" w:hAnsi="Times New Roman"/>
                <w:b/>
                <w:sz w:val="20"/>
              </w:rPr>
              <w:t xml:space="preserve">Leases </w:t>
            </w:r>
          </w:p>
        </w:tc>
      </w:tr>
    </w:tbl>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rFonts w:ascii="Times New Roman" w:hAnsi="Times New Roman"/>
          <w:sz w:val="20"/>
        </w:rPr>
        <w:t>We rent certain office space for use in our operations. Our lease population at July 31, 2026</w:t>
      </w:r>
      <w:r>
        <w:rPr/>
        <w:t xml:space="preserve"> </w:t>
      </w:r>
      <w:r>
        <w:rPr>
          <w:rFonts w:ascii="Times New Roman" w:hAnsi="Times New Roman"/>
          <w:sz w:val="20"/>
        </w:rPr>
        <w:t>is comprised of operating leases where we are the lessee, primarily for our corporate office and division offices.</w:t>
      </w:r>
    </w:p>
    <w:p>
      <w:pPr>
        <w:pStyle w:val="TextBody"/>
        <w:bidi w:val="0"/>
        <w:spacing w:lineRule="atLeast" w:line="240" w:before="0" w:after="0"/>
        <w:ind w:left="0" w:right="0" w:firstLine="900"/>
        <w:jc w:val="left"/>
        <w:rPr/>
      </w:pPr>
      <w:r>
        <w:rPr/>
        <w:t> </w:t>
      </w:r>
    </w:p>
    <w:p>
      <w:pPr>
        <w:pStyle w:val="TextBody"/>
        <w:bidi w:val="0"/>
        <w:spacing w:lineRule="atLeast" w:line="240" w:before="0" w:after="200"/>
        <w:ind w:left="0" w:right="0" w:firstLine="900"/>
        <w:jc w:val="left"/>
        <w:rPr>
          <w:rFonts w:ascii="Times New Roman" w:hAnsi="Times New Roman"/>
          <w:sz w:val="20"/>
        </w:rPr>
      </w:pPr>
      <w:r>
        <w:rPr>
          <w:rFonts w:ascii="Times New Roman" w:hAnsi="Times New Roman"/>
          <w:sz w:val="20"/>
        </w:rPr>
        <w:t>Lease costs are included in our Condensed Consolidated Statements of Operations, primarily in "Selling, general and administrative" homebuilding expenses, and payments on our lease liabilities are presented in the table below.</w:t>
      </w:r>
    </w:p>
    <w:tbl>
      <w:tblPr>
        <w:tblW w:w="6325" w:type="dxa"/>
        <w:jc w:val="left"/>
        <w:tblInd w:w="0" w:type="dxa"/>
        <w:tblLayout w:type="fixed"/>
        <w:tblCellMar>
          <w:top w:w="0" w:type="dxa"/>
          <w:left w:w="0" w:type="dxa"/>
          <w:bottom w:w="0" w:type="dxa"/>
          <w:right w:w="0" w:type="dxa"/>
        </w:tblCellMar>
      </w:tblPr>
      <w:tblGrid>
        <w:gridCol w:w="2795"/>
        <w:gridCol w:w="174"/>
        <w:gridCol w:w="678"/>
        <w:gridCol w:w="83"/>
        <w:gridCol w:w="174"/>
        <w:gridCol w:w="678"/>
        <w:gridCol w:w="60"/>
        <w:gridCol w:w="162"/>
        <w:gridCol w:w="631"/>
        <w:gridCol w:w="78"/>
        <w:gridCol w:w="162"/>
        <w:gridCol w:w="650"/>
      </w:tblGrid>
      <w:tr>
        <w:trPr/>
        <w:tc>
          <w:tcPr>
            <w:tcW w:w="2795" w:type="dxa"/>
            <w:tcBorders/>
            <w:vAlign w:val="center"/>
          </w:tcPr>
          <w:p>
            <w:pPr>
              <w:pStyle w:val="TableContents"/>
              <w:bidi w:val="0"/>
              <w:spacing w:before="0" w:after="0"/>
              <w:jc w:val="left"/>
              <w:rPr/>
            </w:pPr>
            <w:r>
              <w:rPr/>
              <w:t> </w:t>
            </w:r>
          </w:p>
        </w:tc>
        <w:tc>
          <w:tcPr>
            <w:tcW w:w="1787" w:type="dxa"/>
            <w:gridSpan w:val="5"/>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60" w:type="dxa"/>
            <w:tcBorders/>
            <w:vAlign w:val="center"/>
          </w:tcPr>
          <w:p>
            <w:pPr>
              <w:pStyle w:val="TableContents"/>
              <w:bidi w:val="0"/>
              <w:spacing w:before="0" w:after="0"/>
              <w:jc w:val="left"/>
              <w:rPr/>
            </w:pPr>
            <w:r>
              <w:rPr/>
              <w:t> </w:t>
            </w:r>
          </w:p>
        </w:tc>
        <w:tc>
          <w:tcPr>
            <w:tcW w:w="1683" w:type="dxa"/>
            <w:gridSpan w:val="5"/>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Nine Months Ended</w:t>
            </w:r>
          </w:p>
        </w:tc>
      </w:tr>
      <w:tr>
        <w:trPr/>
        <w:tc>
          <w:tcPr>
            <w:tcW w:w="2795" w:type="dxa"/>
            <w:tcBorders>
              <w:bottom w:val="single" w:sz="8" w:space="0" w:color="000000"/>
            </w:tcBorders>
            <w:tcMar>
              <w:bottom w:w="28" w:type="dxa"/>
            </w:tcMar>
            <w:vAlign w:val="center"/>
          </w:tcPr>
          <w:p>
            <w:pPr>
              <w:pStyle w:val="TableContents"/>
              <w:bidi w:val="0"/>
              <w:spacing w:before="0" w:after="0"/>
              <w:jc w:val="left"/>
              <w:rPr/>
            </w:pPr>
            <w:r>
              <w:rPr/>
              <w:t> </w:t>
            </w:r>
          </w:p>
        </w:tc>
        <w:tc>
          <w:tcPr>
            <w:tcW w:w="1787" w:type="dxa"/>
            <w:gridSpan w:val="5"/>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July 31,</w:t>
            </w:r>
          </w:p>
        </w:tc>
        <w:tc>
          <w:tcPr>
            <w:tcW w:w="60" w:type="dxa"/>
            <w:tcBorders>
              <w:bottom w:val="single" w:sz="8" w:space="0" w:color="000000"/>
            </w:tcBorders>
            <w:tcMar>
              <w:bottom w:w="28" w:type="dxa"/>
            </w:tcMar>
            <w:vAlign w:val="center"/>
          </w:tcPr>
          <w:p>
            <w:pPr>
              <w:pStyle w:val="TableContents"/>
              <w:bidi w:val="0"/>
              <w:spacing w:before="0" w:after="0"/>
              <w:jc w:val="left"/>
              <w:rPr/>
            </w:pPr>
            <w:r>
              <w:rPr/>
              <w:t> </w:t>
            </w:r>
          </w:p>
        </w:tc>
        <w:tc>
          <w:tcPr>
            <w:tcW w:w="1683" w:type="dxa"/>
            <w:gridSpan w:val="5"/>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July 31,</w:t>
            </w:r>
          </w:p>
        </w:tc>
      </w:tr>
      <w:tr>
        <w:trPr/>
        <w:tc>
          <w:tcPr>
            <w:tcW w:w="279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 thousands)</w:t>
            </w:r>
          </w:p>
        </w:tc>
        <w:tc>
          <w:tcPr>
            <w:tcW w:w="852"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52"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93"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7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12"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r>
      <w:tr>
        <w:trPr/>
        <w:tc>
          <w:tcPr>
            <w:tcW w:w="279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costs</w:t>
            </w:r>
          </w:p>
        </w:tc>
        <w:tc>
          <w:tcPr>
            <w:tcW w:w="174"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3,458</w:t>
            </w:r>
          </w:p>
        </w:tc>
        <w:tc>
          <w:tcPr>
            <w:tcW w:w="83"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74"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2,876</w:t>
            </w:r>
          </w:p>
        </w:tc>
        <w:tc>
          <w:tcPr>
            <w:tcW w:w="6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62"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9,583</w:t>
            </w:r>
          </w:p>
        </w:tc>
        <w:tc>
          <w:tcPr>
            <w:tcW w:w="78"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62"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8,708</w:t>
            </w:r>
          </w:p>
        </w:tc>
      </w:tr>
      <w:tr>
        <w:trPr/>
        <w:tc>
          <w:tcPr>
            <w:tcW w:w="27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payments on lease liabilities</w:t>
            </w:r>
          </w:p>
        </w:tc>
        <w:tc>
          <w:tcPr>
            <w:tcW w:w="17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3,100</w:t>
            </w:r>
          </w:p>
        </w:tc>
        <w:tc>
          <w:tcPr>
            <w:tcW w:w="83" w:type="dxa"/>
            <w:tcBorders/>
            <w:shd w:fill="FFFFFF" w:val="clear"/>
            <w:vAlign w:val="center"/>
          </w:tcPr>
          <w:p>
            <w:pPr>
              <w:pStyle w:val="TableContents"/>
              <w:bidi w:val="0"/>
              <w:spacing w:before="0" w:after="0"/>
              <w:jc w:val="left"/>
              <w:rPr/>
            </w:pPr>
            <w:r>
              <w:rPr/>
              <w:t> </w:t>
            </w:r>
          </w:p>
        </w:tc>
        <w:tc>
          <w:tcPr>
            <w:tcW w:w="17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2,520</w:t>
            </w:r>
          </w:p>
        </w:tc>
        <w:tc>
          <w:tcPr>
            <w:tcW w:w="60" w:type="dxa"/>
            <w:tcBorders/>
            <w:shd w:fill="FFFFFF" w:val="clear"/>
            <w:vAlign w:val="center"/>
          </w:tcPr>
          <w:p>
            <w:pPr>
              <w:pStyle w:val="TableContents"/>
              <w:bidi w:val="0"/>
              <w:spacing w:before="0" w:after="0"/>
              <w:jc w:val="left"/>
              <w:rPr/>
            </w:pPr>
            <w:r>
              <w:rPr/>
              <w:t> </w:t>
            </w:r>
          </w:p>
        </w:tc>
        <w:tc>
          <w:tcPr>
            <w:tcW w:w="16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8,845</w:t>
            </w:r>
          </w:p>
        </w:tc>
        <w:tc>
          <w:tcPr>
            <w:tcW w:w="78" w:type="dxa"/>
            <w:tcBorders/>
            <w:shd w:fill="FFFFFF" w:val="clear"/>
            <w:vAlign w:val="center"/>
          </w:tcPr>
          <w:p>
            <w:pPr>
              <w:pStyle w:val="TableContents"/>
              <w:bidi w:val="0"/>
              <w:spacing w:before="0" w:after="0"/>
              <w:jc w:val="left"/>
              <w:rPr/>
            </w:pPr>
            <w:r>
              <w:rPr/>
              <w:t> </w:t>
            </w:r>
          </w:p>
        </w:tc>
        <w:tc>
          <w:tcPr>
            <w:tcW w:w="16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8,092</w:t>
            </w:r>
          </w:p>
        </w:tc>
      </w:tr>
    </w:tbl>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rFonts w:ascii="Times New Roman" w:hAnsi="Times New Roman"/>
          <w:sz w:val="20"/>
        </w:rPr>
        <w:t>Operating right-of-use lease assets ("ROU assets") are included in "Prepaid expenses and other assets" on our Condensed Consolidated Balance Sheets, while lease liabilities are included in</w:t>
      </w:r>
      <w:r>
        <w:rPr/>
        <w:t> </w:t>
      </w:r>
      <w:r>
        <w:rPr>
          <w:rFonts w:ascii="Times New Roman" w:hAnsi="Times New Roman"/>
          <w:sz w:val="20"/>
        </w:rPr>
        <w:t>"Accounts payable and other liabilities." During the nine months ended July 31, 2026, we had an increase to ROU assets of $10.4</w:t>
      </w:r>
      <w:r>
        <w:rPr/>
        <w:t xml:space="preserve"> </w:t>
      </w:r>
      <w:r>
        <w:rPr>
          <w:rFonts w:ascii="Times New Roman" w:hAnsi="Times New Roman"/>
          <w:sz w:val="20"/>
        </w:rPr>
        <w:t>million and an increase to lease liabilities of $12.9</w:t>
      </w:r>
      <w:r>
        <w:rPr/>
        <w:t xml:space="preserve"> </w:t>
      </w:r>
      <w:r>
        <w:rPr>
          <w:rFonts w:ascii="Times New Roman" w:hAnsi="Times New Roman"/>
          <w:sz w:val="20"/>
        </w:rPr>
        <w:t>million primarily as a result of new leases and lease renewals, adjusted for lease incentives, that commenced during the period. During the nine months ended July 31, 2026, we recognized $4.9</w:t>
      </w:r>
      <w:r>
        <w:rPr/>
        <w:t xml:space="preserve"> </w:t>
      </w:r>
      <w:r>
        <w:rPr>
          <w:rFonts w:ascii="Times New Roman" w:hAnsi="Times New Roman"/>
          <w:sz w:val="20"/>
        </w:rPr>
        <w:t>million of income included in "Other expense (income), net"</w:t>
      </w:r>
      <w:r>
        <w:rPr/>
        <w:t> </w:t>
      </w:r>
      <w:r>
        <w:rPr>
          <w:rFonts w:ascii="Times New Roman" w:hAnsi="Times New Roman"/>
          <w:sz w:val="20"/>
        </w:rPr>
        <w:t>in our Condensed Consolidated Statements of Operations, due to the receipt of an early termination fee to leave office space in the Northeast segment before the lease maturity date. The following table contains additional information about our leases:</w:t>
      </w:r>
    </w:p>
    <w:p>
      <w:pPr>
        <w:pStyle w:val="TextBody"/>
        <w:bidi w:val="0"/>
        <w:spacing w:lineRule="atLeast" w:line="240" w:before="0" w:after="0"/>
        <w:ind w:left="0" w:right="0" w:firstLine="900"/>
        <w:jc w:val="left"/>
        <w:rPr/>
      </w:pPr>
      <w:r>
        <w:rPr/>
        <w:t> </w:t>
      </w:r>
    </w:p>
    <w:tbl>
      <w:tblPr>
        <w:tblW w:w="7260" w:type="dxa"/>
        <w:jc w:val="left"/>
        <w:tblInd w:w="0" w:type="dxa"/>
        <w:tblLayout w:type="fixed"/>
        <w:tblCellMar>
          <w:top w:w="0" w:type="dxa"/>
          <w:left w:w="0" w:type="dxa"/>
          <w:bottom w:w="28" w:type="dxa"/>
          <w:right w:w="0" w:type="dxa"/>
        </w:tblCellMar>
      </w:tblPr>
      <w:tblGrid>
        <w:gridCol w:w="4040"/>
        <w:gridCol w:w="238"/>
        <w:gridCol w:w="1123"/>
        <w:gridCol w:w="185"/>
        <w:gridCol w:w="257"/>
        <w:gridCol w:w="1217"/>
        <w:gridCol w:w="200"/>
      </w:tblGrid>
      <w:tr>
        <w:trPr/>
        <w:tc>
          <w:tcPr>
            <w:tcW w:w="4040" w:type="dxa"/>
            <w:tcBorders>
              <w:bottom w:val="single" w:sz="8" w:space="0" w:color="000000"/>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 thousands)</w:t>
            </w:r>
          </w:p>
        </w:tc>
        <w:tc>
          <w:tcPr>
            <w:tcW w:w="1361" w:type="dxa"/>
            <w:gridSpan w:val="2"/>
            <w:tcBorders>
              <w:bottom w:val="single" w:sz="8" w:space="0" w:color="000000"/>
            </w:tcBorders>
            <w:vAlign w:val="center"/>
          </w:tcPr>
          <w:p>
            <w:pPr>
              <w:pStyle w:val="TableContents"/>
              <w:bidi w:val="0"/>
              <w:spacing w:before="0" w:after="0"/>
              <w:ind w:left="202" w:right="202" w:hanging="0"/>
              <w:jc w:val="center"/>
              <w:rPr>
                <w:rFonts w:ascii="Times New Roman" w:hAnsi="Times New Roman"/>
                <w:b/>
                <w:sz w:val="20"/>
              </w:rPr>
            </w:pPr>
            <w:r>
              <w:rPr>
                <w:rFonts w:ascii="Times New Roman" w:hAnsi="Times New Roman"/>
                <w:b/>
                <w:sz w:val="20"/>
              </w:rPr>
              <w:t>July 31, 2026</w:t>
            </w:r>
          </w:p>
        </w:tc>
        <w:tc>
          <w:tcPr>
            <w:tcW w:w="185" w:type="dxa"/>
            <w:tcBorders>
              <w:bottom w:val="single" w:sz="8" w:space="0" w:color="000000"/>
            </w:tcBorders>
            <w:vAlign w:val="center"/>
          </w:tcPr>
          <w:p>
            <w:pPr>
              <w:pStyle w:val="TableContents"/>
              <w:bidi w:val="0"/>
              <w:spacing w:before="0" w:after="0"/>
              <w:jc w:val="left"/>
              <w:rPr/>
            </w:pPr>
            <w:r>
              <w:rPr/>
              <w:t> </w:t>
            </w:r>
          </w:p>
        </w:tc>
        <w:tc>
          <w:tcPr>
            <w:tcW w:w="1474" w:type="dxa"/>
            <w:gridSpan w:val="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October 31, 2025</w:t>
            </w:r>
          </w:p>
        </w:tc>
        <w:tc>
          <w:tcPr>
            <w:tcW w:w="200" w:type="dxa"/>
            <w:tcBorders>
              <w:bottom w:val="single" w:sz="8" w:space="0" w:color="000000"/>
            </w:tcBorders>
            <w:vAlign w:val="center"/>
          </w:tcPr>
          <w:p>
            <w:pPr>
              <w:pStyle w:val="TableContents"/>
              <w:bidi w:val="0"/>
              <w:spacing w:before="0" w:after="0"/>
              <w:jc w:val="left"/>
              <w:rPr/>
            </w:pPr>
            <w:r>
              <w:rPr/>
              <w:t> </w:t>
            </w:r>
          </w:p>
        </w:tc>
      </w:tr>
      <w:tr>
        <w:trPr/>
        <w:tc>
          <w:tcPr>
            <w:tcW w:w="4040"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ROU assets</w:t>
            </w:r>
          </w:p>
        </w:tc>
        <w:tc>
          <w:tcPr>
            <w:tcW w:w="238"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3"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34,025</w:t>
            </w:r>
          </w:p>
        </w:tc>
        <w:tc>
          <w:tcPr>
            <w:tcW w:w="18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257"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17"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23,671</w:t>
            </w:r>
          </w:p>
        </w:tc>
        <w:tc>
          <w:tcPr>
            <w:tcW w:w="20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r>
      <w:tr>
        <w:trPr/>
        <w:tc>
          <w:tcPr>
            <w:tcW w:w="404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238"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3"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40,009</w:t>
            </w:r>
          </w:p>
        </w:tc>
        <w:tc>
          <w:tcPr>
            <w:tcW w:w="185" w:type="dxa"/>
            <w:tcBorders/>
            <w:shd w:fill="FFFFFF" w:val="clear"/>
            <w:tcMar>
              <w:bottom w:w="0" w:type="dxa"/>
            </w:tcMar>
            <w:vAlign w:val="center"/>
          </w:tcPr>
          <w:p>
            <w:pPr>
              <w:pStyle w:val="TableContents"/>
              <w:bidi w:val="0"/>
              <w:spacing w:before="0" w:after="0"/>
              <w:jc w:val="left"/>
              <w:rPr/>
            </w:pPr>
            <w:r>
              <w:rPr/>
              <w:t> </w:t>
            </w:r>
          </w:p>
        </w:tc>
        <w:tc>
          <w:tcPr>
            <w:tcW w:w="257"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17"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27,090</w:t>
            </w:r>
          </w:p>
        </w:tc>
        <w:tc>
          <w:tcPr>
            <w:tcW w:w="200" w:type="dxa"/>
            <w:tcBorders/>
            <w:shd w:fill="FFFFFF" w:val="clear"/>
            <w:tcMar>
              <w:bottom w:w="0" w:type="dxa"/>
            </w:tcMar>
            <w:vAlign w:val="center"/>
          </w:tcPr>
          <w:p>
            <w:pPr>
              <w:pStyle w:val="TableContents"/>
              <w:bidi w:val="0"/>
              <w:spacing w:before="0" w:after="0"/>
              <w:jc w:val="left"/>
              <w:rPr/>
            </w:pPr>
            <w:r>
              <w:rPr/>
              <w:t> </w:t>
            </w:r>
          </w:p>
        </w:tc>
      </w:tr>
      <w:tr>
        <w:trPr/>
        <w:tc>
          <w:tcPr>
            <w:tcW w:w="404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remaining lease term (in years)</w:t>
            </w:r>
          </w:p>
        </w:tc>
        <w:tc>
          <w:tcPr>
            <w:tcW w:w="238" w:type="dxa"/>
            <w:tcBorders/>
            <w:shd w:fill="CCEEFF" w:val="clear"/>
            <w:tcMar>
              <w:bottom w:w="0" w:type="dxa"/>
            </w:tcMar>
            <w:vAlign w:val="center"/>
          </w:tcPr>
          <w:p>
            <w:pPr>
              <w:pStyle w:val="TableContents"/>
              <w:bidi w:val="0"/>
              <w:spacing w:before="0" w:after="0"/>
              <w:jc w:val="left"/>
              <w:rPr/>
            </w:pPr>
            <w:r>
              <w:rPr/>
              <w:t> </w:t>
            </w:r>
          </w:p>
        </w:tc>
        <w:tc>
          <w:tcPr>
            <w:tcW w:w="1123"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5.7</w:t>
            </w:r>
          </w:p>
        </w:tc>
        <w:tc>
          <w:tcPr>
            <w:tcW w:w="185" w:type="dxa"/>
            <w:tcBorders/>
            <w:shd w:fill="CCEEFF" w:val="clear"/>
            <w:tcMar>
              <w:bottom w:w="0" w:type="dxa"/>
            </w:tcMar>
            <w:vAlign w:val="center"/>
          </w:tcPr>
          <w:p>
            <w:pPr>
              <w:pStyle w:val="TableContents"/>
              <w:bidi w:val="0"/>
              <w:spacing w:before="0" w:after="0"/>
              <w:jc w:val="left"/>
              <w:rPr/>
            </w:pPr>
            <w:r>
              <w:rPr/>
              <w:t> </w:t>
            </w:r>
          </w:p>
        </w:tc>
        <w:tc>
          <w:tcPr>
            <w:tcW w:w="257" w:type="dxa"/>
            <w:tcBorders/>
            <w:shd w:fill="CCEEFF" w:val="clear"/>
            <w:tcMar>
              <w:bottom w:w="0" w:type="dxa"/>
            </w:tcMar>
            <w:vAlign w:val="center"/>
          </w:tcPr>
          <w:p>
            <w:pPr>
              <w:pStyle w:val="TableContents"/>
              <w:bidi w:val="0"/>
              <w:spacing w:before="0" w:after="0"/>
              <w:jc w:val="left"/>
              <w:rPr/>
            </w:pPr>
            <w:r>
              <w:rPr/>
              <w:t> </w:t>
            </w:r>
          </w:p>
        </w:tc>
        <w:tc>
          <w:tcPr>
            <w:tcW w:w="1217"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w:t>
            </w:r>
          </w:p>
        </w:tc>
        <w:tc>
          <w:tcPr>
            <w:tcW w:w="200" w:type="dxa"/>
            <w:tcBorders/>
            <w:shd w:fill="CCEEFF" w:val="clear"/>
            <w:tcMar>
              <w:bottom w:w="0" w:type="dxa"/>
            </w:tcMar>
            <w:vAlign w:val="center"/>
          </w:tcPr>
          <w:p>
            <w:pPr>
              <w:pStyle w:val="TableContents"/>
              <w:bidi w:val="0"/>
              <w:spacing w:before="0" w:after="0"/>
              <w:jc w:val="left"/>
              <w:rPr/>
            </w:pPr>
            <w:r>
              <w:rPr/>
              <w:t> </w:t>
            </w:r>
          </w:p>
        </w:tc>
      </w:tr>
      <w:tr>
        <w:trPr/>
        <w:tc>
          <w:tcPr>
            <w:tcW w:w="404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discount rate</w:t>
            </w:r>
          </w:p>
        </w:tc>
        <w:tc>
          <w:tcPr>
            <w:tcW w:w="238" w:type="dxa"/>
            <w:tcBorders/>
            <w:shd w:fill="FFFFFF" w:val="clear"/>
            <w:tcMar>
              <w:bottom w:w="0" w:type="dxa"/>
            </w:tcMar>
            <w:vAlign w:val="center"/>
          </w:tcPr>
          <w:p>
            <w:pPr>
              <w:pStyle w:val="TableContents"/>
              <w:bidi w:val="0"/>
              <w:spacing w:before="0" w:after="0"/>
              <w:jc w:val="left"/>
              <w:rPr/>
            </w:pPr>
            <w:r>
              <w:rPr/>
              <w:t> </w:t>
            </w:r>
          </w:p>
        </w:tc>
        <w:tc>
          <w:tcPr>
            <w:tcW w:w="1123"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8.1</w:t>
            </w:r>
          </w:p>
        </w:tc>
        <w:tc>
          <w:tcPr>
            <w:tcW w:w="18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7" w:type="dxa"/>
            <w:tcBorders/>
            <w:shd w:fill="FFFFFF" w:val="clear"/>
            <w:tcMar>
              <w:bottom w:w="0" w:type="dxa"/>
            </w:tcMar>
            <w:vAlign w:val="center"/>
          </w:tcPr>
          <w:p>
            <w:pPr>
              <w:pStyle w:val="TableContents"/>
              <w:bidi w:val="0"/>
              <w:spacing w:before="0" w:after="0"/>
              <w:jc w:val="left"/>
              <w:rPr/>
            </w:pPr>
            <w:r>
              <w:rPr/>
              <w:t> </w:t>
            </w:r>
          </w:p>
        </w:tc>
        <w:tc>
          <w:tcPr>
            <w:tcW w:w="1217"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8.1</w:t>
            </w:r>
          </w:p>
        </w:tc>
        <w:tc>
          <w:tcPr>
            <w:tcW w:w="20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rFonts w:ascii="Times New Roman" w:hAnsi="Times New Roman"/>
          <w:sz w:val="20"/>
        </w:rPr>
        <w:t>Maturities of our operating lease liabilities as of July 31, 2026</w:t>
      </w:r>
      <w:r>
        <w:rPr/>
        <w:t xml:space="preserve"> </w:t>
      </w:r>
      <w:r>
        <w:rPr>
          <w:rFonts w:ascii="Times New Roman" w:hAnsi="Times New Roman"/>
          <w:sz w:val="20"/>
        </w:rPr>
        <w:t>are as follows:</w:t>
      </w:r>
    </w:p>
    <w:p>
      <w:pPr>
        <w:pStyle w:val="TextBody"/>
        <w:bidi w:val="0"/>
        <w:spacing w:lineRule="atLeast" w:line="240" w:before="0" w:after="0"/>
        <w:ind w:left="0" w:right="0" w:firstLine="900"/>
        <w:jc w:val="left"/>
        <w:rPr/>
      </w:pPr>
      <w:r>
        <w:rPr/>
        <w:t> </w:t>
      </w:r>
    </w:p>
    <w:tbl>
      <w:tblPr>
        <w:tblW w:w="5679" w:type="dxa"/>
        <w:jc w:val="left"/>
        <w:tblInd w:w="0" w:type="dxa"/>
        <w:tblLayout w:type="fixed"/>
        <w:tblCellMar>
          <w:top w:w="0" w:type="dxa"/>
          <w:left w:w="0" w:type="dxa"/>
          <w:bottom w:w="28" w:type="dxa"/>
          <w:right w:w="0" w:type="dxa"/>
        </w:tblCellMar>
      </w:tblPr>
      <w:tblGrid>
        <w:gridCol w:w="4490"/>
        <w:gridCol w:w="187"/>
        <w:gridCol w:w="1002"/>
      </w:tblGrid>
      <w:tr>
        <w:trPr/>
        <w:tc>
          <w:tcPr>
            <w:tcW w:w="4490" w:type="dxa"/>
            <w:tcBorders>
              <w:bottom w:val="single" w:sz="8" w:space="0" w:color="000000"/>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Fiscal Year Ending October 31,</w:t>
            </w:r>
          </w:p>
        </w:tc>
        <w:tc>
          <w:tcPr>
            <w:tcW w:w="1189" w:type="dxa"/>
            <w:gridSpan w:val="2"/>
            <w:tcBorders>
              <w:bottom w:val="single" w:sz="8"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(In thousands)</w:t>
            </w:r>
          </w:p>
        </w:tc>
      </w:tr>
      <w:tr>
        <w:trPr/>
        <w:tc>
          <w:tcPr>
            <w:tcW w:w="4490"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2026 (excluding the nine months ended July 31, 2026)</w:t>
            </w:r>
          </w:p>
        </w:tc>
        <w:tc>
          <w:tcPr>
            <w:tcW w:w="187"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2"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2,889</w:t>
            </w:r>
          </w:p>
        </w:tc>
      </w:tr>
      <w:tr>
        <w:trPr/>
        <w:tc>
          <w:tcPr>
            <w:tcW w:w="449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87" w:type="dxa"/>
            <w:tcBorders/>
            <w:shd w:fill="FFFFFF" w:val="clear"/>
            <w:tcMar>
              <w:bottom w:w="0" w:type="dxa"/>
            </w:tcMar>
            <w:vAlign w:val="center"/>
          </w:tcPr>
          <w:p>
            <w:pPr>
              <w:pStyle w:val="TableContents"/>
              <w:bidi w:val="0"/>
              <w:spacing w:before="0" w:after="0"/>
              <w:jc w:val="left"/>
              <w:rPr/>
            </w:pPr>
            <w:r>
              <w:rPr/>
              <w:t> </w:t>
            </w:r>
          </w:p>
        </w:tc>
        <w:tc>
          <w:tcPr>
            <w:tcW w:w="1002"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11,618</w:t>
            </w:r>
          </w:p>
        </w:tc>
      </w:tr>
      <w:tr>
        <w:trPr/>
        <w:tc>
          <w:tcPr>
            <w:tcW w:w="449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87" w:type="dxa"/>
            <w:tcBorders/>
            <w:shd w:fill="CCEEFF" w:val="clear"/>
            <w:tcMar>
              <w:bottom w:w="0" w:type="dxa"/>
            </w:tcMar>
            <w:vAlign w:val="center"/>
          </w:tcPr>
          <w:p>
            <w:pPr>
              <w:pStyle w:val="TableContents"/>
              <w:bidi w:val="0"/>
              <w:spacing w:before="0" w:after="0"/>
              <w:jc w:val="left"/>
              <w:rPr/>
            </w:pPr>
            <w:r>
              <w:rPr/>
              <w:t> </w:t>
            </w:r>
          </w:p>
        </w:tc>
        <w:tc>
          <w:tcPr>
            <w:tcW w:w="1002"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8,493</w:t>
            </w:r>
          </w:p>
        </w:tc>
      </w:tr>
      <w:tr>
        <w:trPr/>
        <w:tc>
          <w:tcPr>
            <w:tcW w:w="449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187" w:type="dxa"/>
            <w:tcBorders/>
            <w:shd w:fill="FFFFFF" w:val="clear"/>
            <w:tcMar>
              <w:bottom w:w="0" w:type="dxa"/>
            </w:tcMar>
            <w:vAlign w:val="center"/>
          </w:tcPr>
          <w:p>
            <w:pPr>
              <w:pStyle w:val="TableContents"/>
              <w:bidi w:val="0"/>
              <w:spacing w:before="0" w:after="0"/>
              <w:jc w:val="left"/>
              <w:rPr/>
            </w:pPr>
            <w:r>
              <w:rPr/>
              <w:t> </w:t>
            </w:r>
          </w:p>
        </w:tc>
        <w:tc>
          <w:tcPr>
            <w:tcW w:w="1002"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7,454</w:t>
            </w:r>
          </w:p>
        </w:tc>
      </w:tr>
      <w:tr>
        <w:trPr/>
        <w:tc>
          <w:tcPr>
            <w:tcW w:w="449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187" w:type="dxa"/>
            <w:tcBorders/>
            <w:shd w:fill="CCEEFF" w:val="clear"/>
            <w:tcMar>
              <w:bottom w:w="0" w:type="dxa"/>
            </w:tcMar>
            <w:vAlign w:val="center"/>
          </w:tcPr>
          <w:p>
            <w:pPr>
              <w:pStyle w:val="TableContents"/>
              <w:bidi w:val="0"/>
              <w:spacing w:before="0" w:after="0"/>
              <w:jc w:val="left"/>
              <w:rPr/>
            </w:pPr>
            <w:r>
              <w:rPr/>
              <w:t> </w:t>
            </w:r>
          </w:p>
        </w:tc>
        <w:tc>
          <w:tcPr>
            <w:tcW w:w="1002"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6,163</w:t>
            </w:r>
          </w:p>
        </w:tc>
      </w:tr>
      <w:tr>
        <w:trPr/>
        <w:tc>
          <w:tcPr>
            <w:tcW w:w="4490" w:type="dxa"/>
            <w:tcBorders>
              <w:bottom w:val="single" w:sz="8" w:space="0" w:color="000000"/>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2031 and thereafter</w:t>
            </w:r>
          </w:p>
        </w:tc>
        <w:tc>
          <w:tcPr>
            <w:tcW w:w="187" w:type="dxa"/>
            <w:tcBorders>
              <w:bottom w:val="single" w:sz="8" w:space="0" w:color="000000"/>
            </w:tcBorders>
            <w:shd w:fill="FFFFFF" w:val="clear"/>
            <w:vAlign w:val="center"/>
          </w:tcPr>
          <w:p>
            <w:pPr>
              <w:pStyle w:val="TableContents"/>
              <w:bidi w:val="0"/>
              <w:spacing w:before="0" w:after="0"/>
              <w:jc w:val="left"/>
              <w:rPr/>
            </w:pPr>
            <w:r>
              <w:rPr/>
              <w:t> </w:t>
            </w:r>
          </w:p>
        </w:tc>
        <w:tc>
          <w:tcPr>
            <w:tcW w:w="1002"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13,928</w:t>
            </w:r>
          </w:p>
        </w:tc>
      </w:tr>
      <w:tr>
        <w:trPr/>
        <w:tc>
          <w:tcPr>
            <w:tcW w:w="4490"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lease payments</w:t>
            </w:r>
          </w:p>
        </w:tc>
        <w:tc>
          <w:tcPr>
            <w:tcW w:w="187"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002"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50,545</w:t>
            </w:r>
          </w:p>
        </w:tc>
      </w:tr>
      <w:tr>
        <w:trPr/>
        <w:tc>
          <w:tcPr>
            <w:tcW w:w="4490" w:type="dxa"/>
            <w:tcBorders>
              <w:bottom w:val="single" w:sz="8" w:space="0" w:color="000000"/>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187" w:type="dxa"/>
            <w:tcBorders>
              <w:bottom w:val="single" w:sz="8" w:space="0" w:color="000000"/>
            </w:tcBorders>
            <w:shd w:fill="FFFFFF" w:val="clear"/>
            <w:vAlign w:val="center"/>
          </w:tcPr>
          <w:p>
            <w:pPr>
              <w:pStyle w:val="TableContents"/>
              <w:bidi w:val="0"/>
              <w:spacing w:before="0" w:after="0"/>
              <w:jc w:val="left"/>
              <w:rPr/>
            </w:pPr>
            <w:r>
              <w:rPr/>
              <w:t> </w:t>
            </w:r>
          </w:p>
        </w:tc>
        <w:tc>
          <w:tcPr>
            <w:tcW w:w="1002"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(10,536)</w:t>
            </w:r>
          </w:p>
        </w:tc>
      </w:tr>
      <w:tr>
        <w:trPr/>
        <w:tc>
          <w:tcPr>
            <w:tcW w:w="449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Present value of operating lease liabilities</w:t>
            </w:r>
          </w:p>
        </w:tc>
        <w:tc>
          <w:tcPr>
            <w:tcW w:w="187"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2"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40,009</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TableofContent">
        <w:r>
          <w:rPr>
            <w:rStyle w:val="InternetLink"/>
            <w:strike w:val="false"/>
            <w:dstrike w:val="false"/>
            <w:color w:val="0000FF"/>
            <w:sz w:val="20"/>
            <w:u w:val="single"/>
            <w:effect w:val="none"/>
          </w:rPr>
          <w:t>Table of Contents</w:t>
        </w:r>
      </w:hyperlink>
    </w:p>
    <w:p>
      <w:pPr>
        <w:pStyle w:val="TextBody"/>
        <w:bidi w:val="0"/>
        <w:spacing w:before="0" w:after="0"/>
        <w:jc w:val="left"/>
        <w:rPr/>
      </w:pPr>
      <w:r>
        <w:rPr/>
        <w:t> </w:t>
      </w:r>
    </w:p>
    <w:tbl>
      <w:tblPr>
        <w:tblW w:w="2980" w:type="dxa"/>
        <w:jc w:val="left"/>
        <w:tblInd w:w="0" w:type="dxa"/>
        <w:tblLayout w:type="fixed"/>
        <w:tblCellMar>
          <w:top w:w="0" w:type="dxa"/>
          <w:left w:w="0" w:type="dxa"/>
          <w:bottom w:w="0" w:type="dxa"/>
          <w:right w:w="0" w:type="dxa"/>
        </w:tblCellMar>
      </w:tblPr>
      <w:tblGrid>
        <w:gridCol w:w="335"/>
        <w:gridCol w:w="2645"/>
      </w:tblGrid>
      <w:tr>
        <w:trPr/>
        <w:tc>
          <w:tcPr>
            <w:tcW w:w="335" w:type="dxa"/>
            <w:tcBorders/>
            <w:vAlign w:val="center"/>
          </w:tcPr>
          <w:p>
            <w:pPr>
              <w:pStyle w:val="TableContents"/>
              <w:bidi w:val="0"/>
              <w:spacing w:before="0" w:after="0"/>
              <w:jc w:val="left"/>
              <w:rPr>
                <w:sz w:val="20"/>
              </w:rPr>
            </w:pPr>
            <w:r>
              <w:rPr>
                <w:rFonts w:ascii="Times New Roman" w:hAnsi="Times New Roman"/>
                <w:b/>
                <w:sz w:val="20"/>
              </w:rPr>
              <w:t>10.</w:t>
            </w:r>
            <w:r>
              <w:rPr>
                <w:sz w:val="20"/>
              </w:rPr>
              <w:t xml:space="preserve"> </w:t>
            </w:r>
          </w:p>
        </w:tc>
        <w:tc>
          <w:tcPr>
            <w:tcW w:w="2645" w:type="dxa"/>
            <w:tcBorders/>
            <w:vAlign w:val="center"/>
          </w:tcPr>
          <w:p>
            <w:pPr>
              <w:pStyle w:val="TableContents"/>
              <w:bidi w:val="0"/>
              <w:spacing w:before="0" w:after="0"/>
              <w:jc w:val="left"/>
              <w:rPr>
                <w:sz w:val="20"/>
              </w:rPr>
            </w:pPr>
            <w:r>
              <w:rPr>
                <w:rFonts w:ascii="Times New Roman" w:hAnsi="Times New Roman"/>
                <w:b/>
                <w:sz w:val="20"/>
              </w:rPr>
              <w:t>Mortgage Loans Held for Sale</w:t>
            </w:r>
            <w:r>
              <w:rPr>
                <w:sz w:val="20"/>
              </w:rPr>
              <w:t> </w:t>
            </w:r>
          </w:p>
        </w:tc>
      </w:tr>
    </w:tbl>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rFonts w:ascii="Times New Roman" w:hAnsi="Times New Roman"/>
          <w:sz w:val="20"/>
        </w:rPr>
        <w:t>Our wholly owned mortgage banking subsidiary, K. Hovnanian American Mortgage, LLC (“K. Hovnanian Mortgage”), originates mortgage loans, primarily from the sale of our homes. Such mortgage loans and related servicing rights are generally sold in the secondary mortgage market within a short period of time from origination. Mortgage loans held for sale are collateralized by the underlying property. Loans held for sale are recorded at fair value with changes in the value recognized in the Condensed Consolidated Statements of Operations in “Financial services” revenue.</w:t>
      </w:r>
      <w:r>
        <w:rPr/>
        <w:t> </w:t>
      </w:r>
    </w:p>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rFonts w:ascii="Times New Roman" w:hAnsi="Times New Roman"/>
          <w:sz w:val="20"/>
        </w:rPr>
        <w:t>As of</w:t>
      </w:r>
      <w:r>
        <w:rPr/>
        <w:t> </w:t>
      </w:r>
      <w:r>
        <w:rPr>
          <w:rFonts w:ascii="Times New Roman" w:hAnsi="Times New Roman"/>
          <w:sz w:val="20"/>
        </w:rPr>
        <w:t>July 31, 2026</w:t>
      </w:r>
      <w:r>
        <w:rPr/>
        <w:t> </w:t>
      </w:r>
      <w:r>
        <w:rPr>
          <w:rFonts w:ascii="Times New Roman" w:hAnsi="Times New Roman"/>
          <w:sz w:val="20"/>
        </w:rPr>
        <w:t>and October 31, 2025, $114.5</w:t>
      </w:r>
      <w:r>
        <w:rPr/>
        <w:t> </w:t>
      </w:r>
      <w:r>
        <w:rPr>
          <w:rFonts w:ascii="Times New Roman" w:hAnsi="Times New Roman"/>
          <w:sz w:val="20"/>
        </w:rPr>
        <w:t>million and $107.6</w:t>
      </w:r>
      <w:r>
        <w:rPr/>
        <w:t> </w:t>
      </w:r>
      <w:r>
        <w:rPr>
          <w:rFonts w:ascii="Times New Roman" w:hAnsi="Times New Roman"/>
          <w:sz w:val="20"/>
        </w:rPr>
        <w:t>million, respectively, of mortgages held for sale were pledged against our mortgage warehouse lines of credit (see Note 11). We may incur losses with respect to mortgages that were previously sold that are delinquent and which had underwriting defects, but only to the extent the losses are not covered by mortgage insurance or the</w:t>
      </w:r>
      <w:r>
        <w:rPr/>
        <w:t> </w:t>
      </w:r>
      <w:r>
        <w:rPr>
          <w:rFonts w:ascii="Times New Roman" w:hAnsi="Times New Roman"/>
          <w:sz w:val="20"/>
        </w:rPr>
        <w:t>resale value of the home. The reserves for these estimated losses are included in</w:t>
      </w:r>
      <w:r>
        <w:rPr/>
        <w:t> “</w:t>
      </w:r>
      <w:r>
        <w:rPr>
          <w:rFonts w:ascii="Times New Roman" w:hAnsi="Times New Roman"/>
          <w:sz w:val="20"/>
        </w:rPr>
        <w:t>Financial services” liabilities</w:t>
      </w:r>
      <w:r>
        <w:rPr/>
        <w:t> </w:t>
      </w:r>
      <w:r>
        <w:rPr>
          <w:rFonts w:ascii="Times New Roman" w:hAnsi="Times New Roman"/>
          <w:sz w:val="20"/>
        </w:rPr>
        <w:t>on the Condensed Consolidated Balance Sheets. As of July 31, 2026</w:t>
      </w:r>
      <w:r>
        <w:rPr/>
        <w:t> </w:t>
      </w:r>
      <w:r>
        <w:rPr>
          <w:rFonts w:ascii="Times New Roman" w:hAnsi="Times New Roman"/>
          <w:sz w:val="20"/>
        </w:rPr>
        <w:t>and October 31, 2025, we had specific reserves for eight</w:t>
      </w:r>
      <w:r>
        <w:rPr/>
        <w:t xml:space="preserve"> </w:t>
      </w:r>
      <w:r>
        <w:rPr>
          <w:rFonts w:ascii="Times New Roman" w:hAnsi="Times New Roman"/>
          <w:sz w:val="20"/>
        </w:rPr>
        <w:t>and nine</w:t>
      </w:r>
      <w:r>
        <w:rPr/>
        <w:t xml:space="preserve"> </w:t>
      </w:r>
      <w:r>
        <w:rPr>
          <w:rFonts w:ascii="Times New Roman" w:hAnsi="Times New Roman"/>
          <w:sz w:val="20"/>
        </w:rPr>
        <w:t>identified mortgage loans, respectively, as well as reserves for an estimate of future losses on mortgages sold but not yet identified to us.</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rFonts w:ascii="Times New Roman" w:hAnsi="Times New Roman"/>
          <w:sz w:val="20"/>
        </w:rPr>
        <w:t>The activity in our loan origination reserves during the</w:t>
      </w:r>
      <w:r>
        <w:rPr/>
        <w:t> </w:t>
      </w:r>
      <w:r>
        <w:rPr>
          <w:rFonts w:ascii="Times New Roman" w:hAnsi="Times New Roman"/>
          <w:sz w:val="20"/>
        </w:rPr>
        <w:t>three and nine</w:t>
      </w:r>
      <w:r>
        <w:rPr/>
        <w:t xml:space="preserve"> </w:t>
      </w:r>
      <w:r>
        <w:rPr>
          <w:rFonts w:ascii="Times New Roman" w:hAnsi="Times New Roman"/>
          <w:sz w:val="20"/>
        </w:rPr>
        <w:t>months ended July 31, 2026</w:t>
      </w:r>
      <w:r>
        <w:rPr/>
        <w:t> </w:t>
      </w:r>
      <w:r>
        <w:rPr>
          <w:rFonts w:ascii="Times New Roman" w:hAnsi="Times New Roman"/>
          <w:sz w:val="20"/>
        </w:rPr>
        <w:t>and 2025</w:t>
      </w:r>
      <w:r>
        <w:rPr/>
        <w:t xml:space="preserve"> </w:t>
      </w:r>
      <w:r>
        <w:rPr>
          <w:rFonts w:ascii="Times New Roman" w:hAnsi="Times New Roman"/>
          <w:sz w:val="20"/>
        </w:rPr>
        <w:t>were as follows:</w:t>
      </w:r>
    </w:p>
    <w:p>
      <w:pPr>
        <w:pStyle w:val="TextBody"/>
        <w:bidi w:val="0"/>
        <w:spacing w:lineRule="atLeast" w:line="240" w:before="0" w:after="0"/>
        <w:jc w:val="left"/>
        <w:rPr/>
      </w:pPr>
      <w:r>
        <w:rPr/>
        <w:t> </w:t>
      </w:r>
    </w:p>
    <w:tbl>
      <w:tblPr>
        <w:tblW w:w="9640" w:type="dxa"/>
        <w:jc w:val="left"/>
        <w:tblInd w:w="0" w:type="dxa"/>
        <w:tblLayout w:type="fixed"/>
        <w:tblCellMar>
          <w:top w:w="0" w:type="dxa"/>
          <w:left w:w="0" w:type="dxa"/>
          <w:bottom w:w="0" w:type="dxa"/>
          <w:right w:w="0" w:type="dxa"/>
        </w:tblCellMar>
      </w:tblPr>
      <w:tblGrid>
        <w:gridCol w:w="6110"/>
        <w:gridCol w:w="174"/>
        <w:gridCol w:w="678"/>
        <w:gridCol w:w="83"/>
        <w:gridCol w:w="174"/>
        <w:gridCol w:w="678"/>
        <w:gridCol w:w="60"/>
        <w:gridCol w:w="162"/>
        <w:gridCol w:w="631"/>
        <w:gridCol w:w="78"/>
        <w:gridCol w:w="162"/>
        <w:gridCol w:w="650"/>
      </w:tblGrid>
      <w:tr>
        <w:trPr/>
        <w:tc>
          <w:tcPr>
            <w:tcW w:w="6110" w:type="dxa"/>
            <w:tcBorders/>
            <w:vAlign w:val="center"/>
          </w:tcPr>
          <w:p>
            <w:pPr>
              <w:pStyle w:val="TableContents"/>
              <w:bidi w:val="0"/>
              <w:spacing w:before="0" w:after="0"/>
              <w:jc w:val="left"/>
              <w:rPr/>
            </w:pPr>
            <w:r>
              <w:rPr/>
              <w:t> </w:t>
            </w:r>
          </w:p>
        </w:tc>
        <w:tc>
          <w:tcPr>
            <w:tcW w:w="1787" w:type="dxa"/>
            <w:gridSpan w:val="5"/>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60" w:type="dxa"/>
            <w:tcBorders/>
            <w:vAlign w:val="center"/>
          </w:tcPr>
          <w:p>
            <w:pPr>
              <w:pStyle w:val="TableContents"/>
              <w:bidi w:val="0"/>
              <w:spacing w:before="0" w:after="0"/>
              <w:jc w:val="left"/>
              <w:rPr/>
            </w:pPr>
            <w:r>
              <w:rPr/>
              <w:t> </w:t>
            </w:r>
          </w:p>
        </w:tc>
        <w:tc>
          <w:tcPr>
            <w:tcW w:w="1683" w:type="dxa"/>
            <w:gridSpan w:val="5"/>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Nine Months Ended</w:t>
            </w:r>
          </w:p>
        </w:tc>
      </w:tr>
      <w:tr>
        <w:trPr/>
        <w:tc>
          <w:tcPr>
            <w:tcW w:w="6110" w:type="dxa"/>
            <w:tcBorders>
              <w:bottom w:val="single" w:sz="8" w:space="0" w:color="000000"/>
            </w:tcBorders>
            <w:tcMar>
              <w:bottom w:w="28" w:type="dxa"/>
            </w:tcMar>
            <w:vAlign w:val="center"/>
          </w:tcPr>
          <w:p>
            <w:pPr>
              <w:pStyle w:val="TableContents"/>
              <w:bidi w:val="0"/>
              <w:spacing w:before="0" w:after="0"/>
              <w:jc w:val="left"/>
              <w:rPr/>
            </w:pPr>
            <w:r>
              <w:rPr/>
              <w:t> </w:t>
            </w:r>
          </w:p>
        </w:tc>
        <w:tc>
          <w:tcPr>
            <w:tcW w:w="1787" w:type="dxa"/>
            <w:gridSpan w:val="5"/>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July 31,</w:t>
            </w:r>
          </w:p>
        </w:tc>
        <w:tc>
          <w:tcPr>
            <w:tcW w:w="60" w:type="dxa"/>
            <w:tcBorders>
              <w:bottom w:val="single" w:sz="8" w:space="0" w:color="000000"/>
            </w:tcBorders>
            <w:tcMar>
              <w:bottom w:w="28" w:type="dxa"/>
            </w:tcMar>
            <w:vAlign w:val="center"/>
          </w:tcPr>
          <w:p>
            <w:pPr>
              <w:pStyle w:val="TableContents"/>
              <w:bidi w:val="0"/>
              <w:spacing w:before="0" w:after="0"/>
              <w:jc w:val="left"/>
              <w:rPr/>
            </w:pPr>
            <w:r>
              <w:rPr/>
              <w:t> </w:t>
            </w:r>
          </w:p>
        </w:tc>
        <w:tc>
          <w:tcPr>
            <w:tcW w:w="1683" w:type="dxa"/>
            <w:gridSpan w:val="5"/>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July 31,</w:t>
            </w:r>
          </w:p>
        </w:tc>
      </w:tr>
      <w:tr>
        <w:trPr/>
        <w:tc>
          <w:tcPr>
            <w:tcW w:w="611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 thousands)</w:t>
            </w:r>
          </w:p>
        </w:tc>
        <w:tc>
          <w:tcPr>
            <w:tcW w:w="852"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52"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93"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7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12"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r>
      <w:tr>
        <w:trPr/>
        <w:tc>
          <w:tcPr>
            <w:tcW w:w="611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Loan origination reserves, beginning of period</w:t>
            </w:r>
          </w:p>
        </w:tc>
        <w:tc>
          <w:tcPr>
            <w:tcW w:w="174"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2,168</w:t>
            </w:r>
          </w:p>
        </w:tc>
        <w:tc>
          <w:tcPr>
            <w:tcW w:w="83"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74"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2,738</w:t>
            </w:r>
          </w:p>
        </w:tc>
        <w:tc>
          <w:tcPr>
            <w:tcW w:w="6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62"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2,016</w:t>
            </w:r>
          </w:p>
        </w:tc>
        <w:tc>
          <w:tcPr>
            <w:tcW w:w="78"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62"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2,520</w:t>
            </w:r>
          </w:p>
        </w:tc>
      </w:tr>
      <w:tr>
        <w:trPr/>
        <w:tc>
          <w:tcPr>
            <w:tcW w:w="611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Provisions for estimated losses during the period</w:t>
            </w:r>
          </w:p>
        </w:tc>
        <w:tc>
          <w:tcPr>
            <w:tcW w:w="174" w:type="dxa"/>
            <w:tcBorders/>
            <w:shd w:fill="FFFFFF" w:val="clear"/>
            <w:vAlign w:val="center"/>
          </w:tcPr>
          <w:p>
            <w:pPr>
              <w:pStyle w:val="TableContents"/>
              <w:bidi w:val="0"/>
              <w:spacing w:before="0" w:after="0"/>
              <w:jc w:val="left"/>
              <w:rPr/>
            </w:pPr>
            <w:r>
              <w:rPr/>
              <w:t> </w:t>
            </w:r>
          </w:p>
        </w:tc>
        <w:tc>
          <w:tcPr>
            <w:tcW w:w="67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104</w:t>
            </w:r>
          </w:p>
        </w:tc>
        <w:tc>
          <w:tcPr>
            <w:tcW w:w="83" w:type="dxa"/>
            <w:tcBorders/>
            <w:shd w:fill="FFFFFF" w:val="clear"/>
            <w:vAlign w:val="center"/>
          </w:tcPr>
          <w:p>
            <w:pPr>
              <w:pStyle w:val="TableContents"/>
              <w:bidi w:val="0"/>
              <w:spacing w:before="0" w:after="0"/>
              <w:jc w:val="left"/>
              <w:rPr/>
            </w:pPr>
            <w:r>
              <w:rPr/>
              <w:t> </w:t>
            </w:r>
          </w:p>
        </w:tc>
        <w:tc>
          <w:tcPr>
            <w:tcW w:w="174" w:type="dxa"/>
            <w:tcBorders/>
            <w:shd w:fill="FFFFFF" w:val="clear"/>
            <w:vAlign w:val="center"/>
          </w:tcPr>
          <w:p>
            <w:pPr>
              <w:pStyle w:val="TableContents"/>
              <w:bidi w:val="0"/>
              <w:spacing w:before="0" w:after="0"/>
              <w:jc w:val="left"/>
              <w:rPr/>
            </w:pPr>
            <w:r>
              <w:rPr/>
              <w:t> </w:t>
            </w:r>
          </w:p>
        </w:tc>
        <w:tc>
          <w:tcPr>
            <w:tcW w:w="67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184</w:t>
            </w:r>
          </w:p>
        </w:tc>
        <w:tc>
          <w:tcPr>
            <w:tcW w:w="60" w:type="dxa"/>
            <w:tcBorders/>
            <w:shd w:fill="FFFFFF" w:val="clear"/>
            <w:vAlign w:val="center"/>
          </w:tcPr>
          <w:p>
            <w:pPr>
              <w:pStyle w:val="TableContents"/>
              <w:bidi w:val="0"/>
              <w:spacing w:before="0" w:after="0"/>
              <w:jc w:val="left"/>
              <w:rPr/>
            </w:pPr>
            <w:r>
              <w:rPr/>
              <w:t> </w:t>
            </w:r>
          </w:p>
        </w:tc>
        <w:tc>
          <w:tcPr>
            <w:tcW w:w="162" w:type="dxa"/>
            <w:tcBorders/>
            <w:shd w:fill="FFFFFF" w:val="clear"/>
            <w:vAlign w:val="center"/>
          </w:tcPr>
          <w:p>
            <w:pPr>
              <w:pStyle w:val="TableContents"/>
              <w:bidi w:val="0"/>
              <w:spacing w:before="0" w:after="0"/>
              <w:jc w:val="left"/>
              <w:rPr/>
            </w:pPr>
            <w:r>
              <w:rPr/>
              <w:t> </w:t>
            </w:r>
          </w:p>
        </w:tc>
        <w:tc>
          <w:tcPr>
            <w:tcW w:w="63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314</w:t>
            </w:r>
          </w:p>
        </w:tc>
        <w:tc>
          <w:tcPr>
            <w:tcW w:w="78" w:type="dxa"/>
            <w:tcBorders/>
            <w:shd w:fill="FFFFFF" w:val="clear"/>
            <w:vAlign w:val="center"/>
          </w:tcPr>
          <w:p>
            <w:pPr>
              <w:pStyle w:val="TableContents"/>
              <w:bidi w:val="0"/>
              <w:spacing w:before="0" w:after="0"/>
              <w:jc w:val="left"/>
              <w:rPr/>
            </w:pPr>
            <w:r>
              <w:rPr/>
              <w:t> </w:t>
            </w:r>
          </w:p>
        </w:tc>
        <w:tc>
          <w:tcPr>
            <w:tcW w:w="162" w:type="dxa"/>
            <w:tcBorders/>
            <w:shd w:fill="FFFFFF" w:val="clear"/>
            <w:vAlign w:val="center"/>
          </w:tcPr>
          <w:p>
            <w:pPr>
              <w:pStyle w:val="TableContents"/>
              <w:bidi w:val="0"/>
              <w:spacing w:before="0" w:after="0"/>
              <w:jc w:val="lef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441</w:t>
            </w:r>
          </w:p>
        </w:tc>
      </w:tr>
      <w:tr>
        <w:trPr/>
        <w:tc>
          <w:tcPr>
            <w:tcW w:w="6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pre-existing provisions for losses from changes in estimates</w:t>
            </w:r>
          </w:p>
        </w:tc>
        <w:tc>
          <w:tcPr>
            <w:tcW w:w="174" w:type="dxa"/>
            <w:tcBorders/>
            <w:shd w:fill="CCEEFF" w:val="clear"/>
            <w:vAlign w:val="center"/>
          </w:tcPr>
          <w:p>
            <w:pPr>
              <w:pStyle w:val="TableContents"/>
              <w:bidi w:val="0"/>
              <w:spacing w:before="0" w:after="0"/>
              <w:jc w:val="left"/>
              <w:rPr/>
            </w:pPr>
            <w:r>
              <w:rPr/>
              <w:t> </w:t>
            </w:r>
          </w:p>
        </w:tc>
        <w:tc>
          <w:tcPr>
            <w:tcW w:w="67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56</w:t>
            </w:r>
          </w:p>
        </w:tc>
        <w:tc>
          <w:tcPr>
            <w:tcW w:w="83"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67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60" w:type="dxa"/>
            <w:tcBorders/>
            <w:shd w:fill="CCEEFF" w:val="clear"/>
            <w:vAlign w:val="center"/>
          </w:tcPr>
          <w:p>
            <w:pPr>
              <w:pStyle w:val="TableContents"/>
              <w:bidi w:val="0"/>
              <w:spacing w:before="0" w:after="0"/>
              <w:jc w:val="left"/>
              <w:rPr/>
            </w:pPr>
            <w:r>
              <w:rPr/>
              <w:t> </w:t>
            </w:r>
          </w:p>
        </w:tc>
        <w:tc>
          <w:tcPr>
            <w:tcW w:w="162" w:type="dxa"/>
            <w:tcBorders/>
            <w:shd w:fill="CCEEFF" w:val="clear"/>
            <w:vAlign w:val="center"/>
          </w:tcPr>
          <w:p>
            <w:pPr>
              <w:pStyle w:val="TableContents"/>
              <w:bidi w:val="0"/>
              <w:spacing w:before="0" w:after="0"/>
              <w:jc w:val="left"/>
              <w:rPr/>
            </w:pPr>
            <w:r>
              <w:rPr/>
              <w:t> </w:t>
            </w:r>
          </w:p>
        </w:tc>
        <w:tc>
          <w:tcPr>
            <w:tcW w:w="63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56</w:t>
            </w:r>
          </w:p>
        </w:tc>
        <w:tc>
          <w:tcPr>
            <w:tcW w:w="78" w:type="dxa"/>
            <w:tcBorders/>
            <w:shd w:fill="CCEEFF" w:val="clear"/>
            <w:vAlign w:val="center"/>
          </w:tcPr>
          <w:p>
            <w:pPr>
              <w:pStyle w:val="TableContents"/>
              <w:bidi w:val="0"/>
              <w:spacing w:before="0" w:after="0"/>
              <w:jc w:val="left"/>
              <w:rPr/>
            </w:pPr>
            <w:r>
              <w:rPr/>
              <w:t> </w:t>
            </w:r>
          </w:p>
        </w:tc>
        <w:tc>
          <w:tcPr>
            <w:tcW w:w="162"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w:t>
            </w:r>
          </w:p>
        </w:tc>
      </w:tr>
      <w:tr>
        <w:trPr/>
        <w:tc>
          <w:tcPr>
            <w:tcW w:w="6110" w:type="dxa"/>
            <w:tcBorders>
              <w:bottom w:val="single" w:sz="8"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Payments/settlements</w:t>
            </w:r>
          </w:p>
        </w:tc>
        <w:tc>
          <w:tcPr>
            <w:tcW w:w="174"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78"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83"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78"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w:t>
            </w:r>
          </w:p>
        </w:tc>
        <w:tc>
          <w:tcPr>
            <w:tcW w:w="60"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31"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(68)</w:t>
            </w:r>
          </w:p>
        </w:tc>
        <w:tc>
          <w:tcPr>
            <w:tcW w:w="78"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(83)</w:t>
            </w:r>
          </w:p>
        </w:tc>
      </w:tr>
      <w:tr>
        <w:trPr/>
        <w:tc>
          <w:tcPr>
            <w:tcW w:w="611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Loan origination reserves, end of period</w:t>
            </w:r>
          </w:p>
        </w:tc>
        <w:tc>
          <w:tcPr>
            <w:tcW w:w="17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2,318</w:t>
            </w:r>
          </w:p>
        </w:tc>
        <w:tc>
          <w:tcPr>
            <w:tcW w:w="8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color w:val="333333"/>
              </w:rPr>
            </w:pPr>
            <w:r>
              <w:rPr>
                <w:color w:val="333333"/>
              </w:rPr>
              <w:t> </w:t>
            </w:r>
          </w:p>
        </w:tc>
        <w:tc>
          <w:tcPr>
            <w:tcW w:w="17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color w:val="333333"/>
                <w:sz w:val="20"/>
              </w:rPr>
            </w:pPr>
            <w:r>
              <w:rPr>
                <w:rFonts w:ascii="Times New Roman" w:hAnsi="Times New Roman"/>
                <w:color w:val="333333"/>
                <w:sz w:val="20"/>
              </w:rPr>
              <w:t>$</w:t>
            </w:r>
          </w:p>
        </w:tc>
        <w:tc>
          <w:tcPr>
            <w:tcW w:w="67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2,889</w:t>
            </w:r>
          </w:p>
        </w:tc>
        <w:tc>
          <w:tcPr>
            <w:tcW w:w="6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color w:val="333333"/>
              </w:rPr>
            </w:pPr>
            <w:r>
              <w:rPr>
                <w:color w:val="333333"/>
              </w:rPr>
              <w:t> </w:t>
            </w:r>
          </w:p>
        </w:tc>
        <w:tc>
          <w:tcPr>
            <w:tcW w:w="16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2,318</w:t>
            </w:r>
          </w:p>
        </w:tc>
        <w:tc>
          <w:tcPr>
            <w:tcW w:w="7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color w:val="333333"/>
              </w:rPr>
            </w:pPr>
            <w:r>
              <w:rPr>
                <w:color w:val="333333"/>
              </w:rPr>
              <w:t> </w:t>
            </w:r>
          </w:p>
        </w:tc>
        <w:tc>
          <w:tcPr>
            <w:tcW w:w="16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color w:val="333333"/>
                <w:sz w:val="20"/>
              </w:rPr>
            </w:pPr>
            <w:r>
              <w:rPr>
                <w:rFonts w:ascii="Times New Roman" w:hAnsi="Times New Roman"/>
                <w:color w:val="333333"/>
                <w:sz w:val="20"/>
              </w:rPr>
              <w:t>$</w:t>
            </w:r>
          </w:p>
        </w:tc>
        <w:tc>
          <w:tcPr>
            <w:tcW w:w="65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2,889</w:t>
            </w:r>
          </w:p>
        </w:tc>
      </w:tr>
    </w:tbl>
    <w:p>
      <w:pPr>
        <w:pStyle w:val="TextBody"/>
        <w:bidi w:val="0"/>
        <w:spacing w:lineRule="atLeast" w:line="240" w:before="0" w:after="0"/>
        <w:jc w:val="left"/>
        <w:rPr/>
      </w:pPr>
      <w:r>
        <w:rPr/>
        <w:t> </w:t>
      </w:r>
    </w:p>
    <w:p>
      <w:pPr>
        <w:pStyle w:val="TextBody"/>
        <w:bidi w:val="0"/>
        <w:spacing w:before="0" w:after="0"/>
        <w:jc w:val="left"/>
        <w:rPr/>
      </w:pPr>
      <w:r>
        <w:rPr/>
        <w:t> </w:t>
      </w:r>
    </w:p>
    <w:tbl>
      <w:tblPr>
        <w:tblW w:w="1240" w:type="dxa"/>
        <w:jc w:val="left"/>
        <w:tblInd w:w="0" w:type="dxa"/>
        <w:tblLayout w:type="fixed"/>
        <w:tblCellMar>
          <w:top w:w="0" w:type="dxa"/>
          <w:left w:w="0" w:type="dxa"/>
          <w:bottom w:w="0" w:type="dxa"/>
          <w:right w:w="0" w:type="dxa"/>
        </w:tblCellMar>
      </w:tblPr>
      <w:tblGrid>
        <w:gridCol w:w="290"/>
        <w:gridCol w:w="950"/>
      </w:tblGrid>
      <w:tr>
        <w:trPr/>
        <w:tc>
          <w:tcPr>
            <w:tcW w:w="2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11.</w:t>
            </w:r>
          </w:p>
        </w:tc>
        <w:tc>
          <w:tcPr>
            <w:tcW w:w="9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Mortgages</w:t>
            </w:r>
          </w:p>
        </w:tc>
      </w:tr>
    </w:tbl>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rFonts w:ascii="Times New Roman" w:hAnsi="Times New Roman"/>
          <w:i/>
          <w:sz w:val="20"/>
        </w:rPr>
      </w:pPr>
      <w:r>
        <w:rPr>
          <w:rFonts w:ascii="Times New Roman" w:hAnsi="Times New Roman"/>
          <w:i/>
          <w:sz w:val="20"/>
        </w:rPr>
        <w:t>Nonrecourse</w:t>
      </w:r>
    </w:p>
    <w:p>
      <w:pPr>
        <w:pStyle w:val="TextBody"/>
        <w:bidi w:val="0"/>
        <w:spacing w:lineRule="atLeast" w:line="240" w:before="0" w:after="0"/>
        <w:jc w:val="center"/>
        <w:rPr/>
      </w:pPr>
      <w:r>
        <w:rPr/>
        <w:t> </w:t>
      </w:r>
    </w:p>
    <w:p>
      <w:pPr>
        <w:pStyle w:val="TextBody"/>
        <w:bidi w:val="0"/>
        <w:spacing w:lineRule="atLeast" w:line="240" w:before="0" w:after="0"/>
        <w:ind w:left="0" w:right="0" w:firstLine="900"/>
        <w:jc w:val="left"/>
        <w:rPr/>
      </w:pPr>
      <w:r>
        <w:rPr>
          <w:rFonts w:ascii="Times New Roman" w:hAnsi="Times New Roman"/>
          <w:sz w:val="20"/>
        </w:rPr>
        <w:t>We had nonrecourse mortgage loans for certain communities totaling $32.4</w:t>
      </w:r>
      <w:r>
        <w:rPr/>
        <w:t> </w:t>
      </w:r>
      <w:r>
        <w:rPr>
          <w:rFonts w:ascii="Times New Roman" w:hAnsi="Times New Roman"/>
          <w:sz w:val="20"/>
        </w:rPr>
        <w:t>million and $29.5</w:t>
      </w:r>
      <w:r>
        <w:rPr/>
        <w:t> </w:t>
      </w:r>
      <w:r>
        <w:rPr>
          <w:rFonts w:ascii="Times New Roman" w:hAnsi="Times New Roman"/>
          <w:sz w:val="20"/>
        </w:rPr>
        <w:t>million, net of debt issuance costs,</w:t>
      </w:r>
      <w:r>
        <w:rPr/>
        <w:t> </w:t>
      </w:r>
      <w:r>
        <w:rPr>
          <w:rFonts w:ascii="Times New Roman" w:hAnsi="Times New Roman"/>
          <w:sz w:val="20"/>
        </w:rPr>
        <w:t>as of</w:t>
      </w:r>
      <w:r>
        <w:rPr/>
        <w:t> </w:t>
      </w:r>
      <w:r>
        <w:rPr>
          <w:rFonts w:ascii="Times New Roman" w:hAnsi="Times New Roman"/>
          <w:sz w:val="20"/>
        </w:rPr>
        <w:t>July 31, 2026</w:t>
      </w:r>
      <w:r>
        <w:rPr/>
        <w:t> </w:t>
      </w:r>
      <w:r>
        <w:rPr>
          <w:rFonts w:ascii="Times New Roman" w:hAnsi="Times New Roman"/>
          <w:sz w:val="20"/>
        </w:rPr>
        <w:t>and October 31, 2025, respectively, which are secured by the related real property, including any improvements, with an aggregate book value of $48.0</w:t>
      </w:r>
      <w:r>
        <w:rPr/>
        <w:t> </w:t>
      </w:r>
      <w:r>
        <w:rPr>
          <w:rFonts w:ascii="Times New Roman" w:hAnsi="Times New Roman"/>
          <w:sz w:val="20"/>
        </w:rPr>
        <w:t>million and $113.9</w:t>
      </w:r>
      <w:r>
        <w:rPr/>
        <w:t> </w:t>
      </w:r>
      <w:r>
        <w:rPr>
          <w:rFonts w:ascii="Times New Roman" w:hAnsi="Times New Roman"/>
          <w:sz w:val="20"/>
        </w:rPr>
        <w:t>million, respectively. The weighted-average interest rate on these obligations was 7.2% and 7.4% at July 31, 2026</w:t>
      </w:r>
      <w:r>
        <w:rPr/>
        <w:t> </w:t>
      </w:r>
      <w:r>
        <w:rPr>
          <w:rFonts w:ascii="Times New Roman" w:hAnsi="Times New Roman"/>
          <w:sz w:val="20"/>
        </w:rPr>
        <w:t>and October 31, 2025, respectively,</w:t>
      </w:r>
      <w:r>
        <w:rPr/>
        <w:t> </w:t>
      </w:r>
      <w:r>
        <w:rPr>
          <w:rFonts w:ascii="Times New Roman" w:hAnsi="Times New Roman"/>
          <w:sz w:val="20"/>
        </w:rPr>
        <w:t>and the mortgage loan payments primarily correspond to home deliveries.</w:t>
      </w:r>
    </w:p>
    <w:p>
      <w:pPr>
        <w:pStyle w:val="TextBody"/>
        <w:bidi w:val="0"/>
        <w:spacing w:lineRule="atLeast" w:line="240" w:before="0" w:after="0"/>
        <w:jc w:val="center"/>
        <w:rPr/>
      </w:pPr>
      <w:r>
        <w:rPr/>
        <w:t> </w:t>
      </w:r>
    </w:p>
    <w:p>
      <w:pPr>
        <w:pStyle w:val="TextBody"/>
        <w:bidi w:val="0"/>
        <w:spacing w:lineRule="atLeast" w:line="240" w:before="0" w:after="0"/>
        <w:ind w:left="0" w:right="0" w:firstLine="900"/>
        <w:jc w:val="left"/>
        <w:rPr>
          <w:rFonts w:ascii="Times New Roman" w:hAnsi="Times New Roman"/>
          <w:i/>
          <w:sz w:val="20"/>
        </w:rPr>
      </w:pPr>
      <w:r>
        <w:rPr>
          <w:rFonts w:ascii="Times New Roman" w:hAnsi="Times New Roman"/>
          <w:i/>
          <w:sz w:val="20"/>
        </w:rPr>
        <w:t>Mortgage Loans</w:t>
      </w:r>
    </w:p>
    <w:p>
      <w:pPr>
        <w:pStyle w:val="TextBody"/>
        <w:bidi w:val="0"/>
        <w:spacing w:lineRule="atLeast" w:line="240" w:before="0" w:after="0"/>
        <w:ind w:left="0" w:right="0" w:firstLine="900"/>
        <w:jc w:val="center"/>
        <w:rPr/>
      </w:pPr>
      <w:r>
        <w:rPr/>
        <w:t> </w:t>
      </w:r>
    </w:p>
    <w:p>
      <w:pPr>
        <w:pStyle w:val="TextBody"/>
        <w:bidi w:val="0"/>
        <w:spacing w:lineRule="atLeast" w:line="240" w:before="0" w:after="0"/>
        <w:ind w:left="0" w:right="0" w:firstLine="900"/>
        <w:jc w:val="left"/>
        <w:rPr>
          <w:rFonts w:ascii="Times New Roman" w:hAnsi="Times New Roman"/>
          <w:sz w:val="20"/>
        </w:rPr>
      </w:pPr>
      <w:r>
        <w:rPr>
          <w:rFonts w:ascii="Times New Roman" w:hAnsi="Times New Roman"/>
          <w:sz w:val="20"/>
        </w:rPr>
        <w:t>K. Hovnanian Mortgage finances the origination of mortgage loans through various master repurchase agreements, which are recorded in "Financial services" liabilities on the Condensed Consolidated Balance Sheets.</w:t>
      </w:r>
    </w:p>
    <w:p>
      <w:pPr>
        <w:pStyle w:val="TextBody"/>
        <w:bidi w:val="0"/>
        <w:spacing w:lineRule="atLeast" w:line="240" w:before="0" w:after="0"/>
        <w:jc w:val="center"/>
        <w:rPr/>
      </w:pPr>
      <w:r>
        <w:rPr/>
        <w:t> </w:t>
      </w:r>
    </w:p>
    <w:p>
      <w:pPr>
        <w:pStyle w:val="TextBody"/>
        <w:bidi w:val="0"/>
        <w:spacing w:lineRule="atLeast" w:line="240" w:before="0" w:after="0"/>
        <w:ind w:left="0" w:right="0" w:firstLine="900"/>
        <w:jc w:val="left"/>
        <w:rPr/>
      </w:pPr>
      <w:r>
        <w:rPr>
          <w:rFonts w:ascii="Times New Roman" w:hAnsi="Times New Roman"/>
          <w:sz w:val="20"/>
        </w:rPr>
        <w:t>Our secured Master Repurchase Agreement with JPMorgan Chase Bank, N.A. (“Chase Master Repurchase Agreement”) is a short-term borrowing facility that provides up to $50.0</w:t>
      </w:r>
      <w:r>
        <w:rPr/>
        <w:t xml:space="preserve"> </w:t>
      </w:r>
      <w:r>
        <w:rPr>
          <w:rFonts w:ascii="Times New Roman" w:hAnsi="Times New Roman"/>
          <w:sz w:val="20"/>
        </w:rPr>
        <w:t>million through its maturity on March 31, 2027.</w:t>
      </w:r>
      <w:r>
        <w:rPr/>
        <w:t> </w:t>
      </w:r>
      <w:r>
        <w:rPr>
          <w:rFonts w:ascii="Times New Roman" w:hAnsi="Times New Roman"/>
          <w:sz w:val="20"/>
        </w:rPr>
        <w:t>The loan is secured by the mortgages held for sale and is repaid when we sell the underlying mortgage loans to permanent investors.</w:t>
      </w:r>
      <w:r>
        <w:rPr/>
        <w:t> </w:t>
      </w:r>
      <w:r>
        <w:rPr>
          <w:rFonts w:ascii="Times New Roman" w:hAnsi="Times New Roman"/>
          <w:sz w:val="20"/>
        </w:rPr>
        <w:t>Interest is payable monthly on outstanding advances at an adjusted Secured Overnight Financing Rate ("SOFR"), plus an applicable margin of 2.00% to 2.25%. As of</w:t>
      </w:r>
      <w:r>
        <w:rPr/>
        <w:t> </w:t>
      </w:r>
      <w:r>
        <w:rPr>
          <w:rFonts w:ascii="Times New Roman" w:hAnsi="Times New Roman"/>
          <w:sz w:val="20"/>
        </w:rPr>
        <w:t>July 31, 2026, the aggregate principal amount of all borrowings outstanding under the Chase Master Repurchase Agreement was $1.9</w:t>
      </w:r>
      <w:r>
        <w:rPr/>
        <w:t> </w:t>
      </w:r>
      <w:r>
        <w:rPr>
          <w:rFonts w:ascii="Times New Roman" w:hAnsi="Times New Roman"/>
          <w:sz w:val="20"/>
        </w:rPr>
        <w:t>million. As of October 31, 2025</w:t>
      </w:r>
      <w:r>
        <w:rPr/>
        <w:t xml:space="preserve"> </w:t>
      </w:r>
      <w:r>
        <w:rPr>
          <w:rFonts w:ascii="Times New Roman" w:hAnsi="Times New Roman"/>
          <w:sz w:val="20"/>
        </w:rPr>
        <w:t>there were no</w:t>
      </w:r>
      <w:r>
        <w:rPr/>
        <w:t xml:space="preserve"> </w:t>
      </w:r>
      <w:r>
        <w:rPr>
          <w:rFonts w:ascii="Times New Roman" w:hAnsi="Times New Roman"/>
          <w:sz w:val="20"/>
        </w:rPr>
        <w:t>borrowings outstanding under the Chase Master Repurchase Agreement.</w:t>
      </w:r>
      <w:r>
        <w:rPr/>
        <w:t> </w:t>
      </w:r>
    </w:p>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rFonts w:ascii="Times New Roman" w:hAnsi="Times New Roman"/>
          <w:sz w:val="20"/>
        </w:rPr>
        <w:t>K. Hovnanian Mortgage has another secured Master Repurchase Agreement with Customers Bank (“Customers Master Repurchase Agreement”), which is a short-term borrowing facility that provides</w:t>
      </w:r>
      <w:r>
        <w:rPr/>
        <w:t> </w:t>
      </w:r>
      <w:r>
        <w:rPr>
          <w:rFonts w:ascii="Times New Roman" w:hAnsi="Times New Roman"/>
          <w:sz w:val="20"/>
        </w:rPr>
        <w:t>up to $100.0</w:t>
      </w:r>
      <w:r>
        <w:rPr/>
        <w:t xml:space="preserve"> </w:t>
      </w:r>
      <w:r>
        <w:rPr>
          <w:rFonts w:ascii="Times New Roman" w:hAnsi="Times New Roman"/>
          <w:sz w:val="20"/>
        </w:rPr>
        <w:t>million through its maturity on March 3, 2027.</w:t>
      </w:r>
      <w:r>
        <w:rPr/>
        <w:t> </w:t>
      </w:r>
      <w:r>
        <w:rPr>
          <w:rFonts w:ascii="Times New Roman" w:hAnsi="Times New Roman"/>
          <w:sz w:val="20"/>
        </w:rPr>
        <w:t>The loan is secured by the mortgages held for sale and is repaid when we sell the underlying mortgage loans to permanent investors.</w:t>
      </w:r>
      <w:r>
        <w:rPr/>
        <w:t> </w:t>
      </w:r>
      <w:r>
        <w:rPr>
          <w:rFonts w:ascii="Times New Roman" w:hAnsi="Times New Roman"/>
          <w:sz w:val="20"/>
        </w:rPr>
        <w:t>Interest is payable daily or as loans are sold to permanent investors on outstanding advances at the current SOFR,</w:t>
      </w:r>
      <w:r>
        <w:rPr/>
        <w:t> </w:t>
      </w:r>
      <w:r>
        <w:rPr>
          <w:rFonts w:ascii="Times New Roman" w:hAnsi="Times New Roman"/>
          <w:sz w:val="20"/>
        </w:rPr>
        <w:t>plus an applicable margin ranging from 2.125% to 4.5% based on the type of loan and the number of days outstanding</w:t>
      </w:r>
      <w:r>
        <w:rPr/>
        <w:t> </w:t>
      </w:r>
      <w:r>
        <w:rPr>
          <w:rFonts w:ascii="Times New Roman" w:hAnsi="Times New Roman"/>
          <w:sz w:val="20"/>
        </w:rPr>
        <w:t>on the warehouse line. As of July 31, 2026</w:t>
      </w:r>
      <w:r>
        <w:rPr/>
        <w:t> </w:t>
      </w:r>
      <w:r>
        <w:rPr>
          <w:rFonts w:ascii="Times New Roman" w:hAnsi="Times New Roman"/>
          <w:sz w:val="20"/>
        </w:rPr>
        <w:t>and October 31, 2025, the aggregate principal amount of all borrowings outstanding under the Customers Master Repurchase Agreement was $14.5</w:t>
      </w:r>
      <w:r>
        <w:rPr/>
        <w:t> </w:t>
      </w:r>
      <w:r>
        <w:rPr>
          <w:rFonts w:ascii="Times New Roman" w:hAnsi="Times New Roman"/>
          <w:sz w:val="20"/>
        </w:rPr>
        <w:t>million and $17.8</w:t>
      </w:r>
      <w:r>
        <w:rPr/>
        <w:t> </w:t>
      </w:r>
      <w:r>
        <w:rPr>
          <w:rFonts w:ascii="Times New Roman" w:hAnsi="Times New Roman"/>
          <w:sz w:val="20"/>
        </w:rPr>
        <w:t>million, respectively.</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rFonts w:ascii="Times New Roman" w:hAnsi="Times New Roman"/>
          <w:sz w:val="20"/>
        </w:rPr>
        <w:t>K. Hovnanian</w:t>
      </w:r>
      <w:r>
        <w:rPr/>
        <w:t> </w:t>
      </w:r>
      <w:r>
        <w:rPr>
          <w:rFonts w:ascii="Times New Roman" w:hAnsi="Times New Roman"/>
          <w:sz w:val="20"/>
        </w:rPr>
        <w:t>Mortgage has another secured Master Repurchase Agreement with Hinsdale Bank &amp; Trust Company, N.A. ("Hinsdale Master Repurchase Agreement"), which is a short-term borrowing facility that provides up to $50.0</w:t>
      </w:r>
      <w:r>
        <w:rPr/>
        <w:t xml:space="preserve"> </w:t>
      </w:r>
      <w:r>
        <w:rPr>
          <w:rFonts w:ascii="Times New Roman" w:hAnsi="Times New Roman"/>
          <w:sz w:val="20"/>
        </w:rPr>
        <w:t>million. On July 10, 2026, the agreement was amended to extend its maturity date to July 9, 2027. The loan is secured by the mortgages held for sale and is repaid when we sell the underlying mortgage loans to permanent investors. Interest is payable monthly on outstanding advances at the One-Month Term SOFR, plus an applicable margin of 1.75% subject to a floor of 2.75%. As of</w:t>
      </w:r>
      <w:r>
        <w:rPr/>
        <w:t> </w:t>
      </w:r>
      <w:r>
        <w:rPr>
          <w:rFonts w:ascii="Times New Roman" w:hAnsi="Times New Roman"/>
          <w:sz w:val="20"/>
        </w:rPr>
        <w:t>July 31, 2026</w:t>
      </w:r>
      <w:r>
        <w:rPr/>
        <w:t xml:space="preserve"> </w:t>
      </w:r>
      <w:r>
        <w:rPr>
          <w:rFonts w:ascii="Times New Roman" w:hAnsi="Times New Roman"/>
          <w:sz w:val="20"/>
        </w:rPr>
        <w:t>and October 31, 2025, the aggregate principal amount of all borrowings outstanding under the Hinsdale Master Repurchase Agreement was $46.3</w:t>
      </w:r>
      <w:r>
        <w:rPr/>
        <w:t> </w:t>
      </w:r>
      <w:r>
        <w:rPr>
          <w:rFonts w:ascii="Times New Roman" w:hAnsi="Times New Roman"/>
          <w:sz w:val="20"/>
        </w:rPr>
        <w:t>million and $35.9</w:t>
      </w:r>
      <w:r>
        <w:rPr/>
        <w:t xml:space="preserve"> </w:t>
      </w:r>
      <w:r>
        <w:rPr>
          <w:rFonts w:ascii="Times New Roman" w:hAnsi="Times New Roman"/>
          <w:sz w:val="20"/>
        </w:rPr>
        <w:t>million, respectively.</w:t>
      </w:r>
    </w:p>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r>
        <w:br w:type="page"/>
      </w:r>
    </w:p>
    <w:p>
      <w:pPr>
        <w:pStyle w:val="TextBody"/>
        <w:bidi w:val="0"/>
        <w:spacing w:before="0" w:after="0"/>
        <w:jc w:val="left"/>
        <w:rPr/>
      </w:pPr>
      <w:hyperlink w:anchor="TOC_TableofContent">
        <w:r>
          <w:rPr>
            <w:rStyle w:val="InternetLink"/>
            <w:rFonts w:ascii="Times New Roman" w:hAnsi="Times New Roman"/>
            <w:strike w:val="false"/>
            <w:dstrike w:val="false"/>
            <w:color w:val="0000FF"/>
            <w:sz w:val="20"/>
            <w:u w:val="single"/>
            <w:effect w:val="none"/>
          </w:rPr>
          <w:t>Table of Contents</w:t>
        </w:r>
      </w:hyperlink>
    </w:p>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rFonts w:ascii="Times New Roman" w:hAnsi="Times New Roman"/>
          <w:sz w:val="20"/>
        </w:rPr>
        <w:t>K. Hovnanian</w:t>
      </w:r>
      <w:r>
        <w:rPr/>
        <w:t> </w:t>
      </w:r>
      <w:r>
        <w:rPr>
          <w:rFonts w:ascii="Times New Roman" w:hAnsi="Times New Roman"/>
          <w:sz w:val="20"/>
        </w:rPr>
        <w:t>Mortgage has another secured Master Repurchase Agreement with PlainsCapital</w:t>
      </w:r>
      <w:r>
        <w:rPr/>
        <w:t> </w:t>
      </w:r>
      <w:r>
        <w:rPr>
          <w:rFonts w:ascii="Times New Roman" w:hAnsi="Times New Roman"/>
          <w:sz w:val="20"/>
        </w:rPr>
        <w:t>Bank ("PlainsCapital</w:t>
      </w:r>
      <w:r>
        <w:rPr/>
        <w:t> </w:t>
      </w:r>
      <w:r>
        <w:rPr>
          <w:rFonts w:ascii="Times New Roman" w:hAnsi="Times New Roman"/>
          <w:sz w:val="20"/>
        </w:rPr>
        <w:t>Master Repurchase Agreement"), which is a short-term borrowing facility that provides up to $50.0</w:t>
      </w:r>
      <w:r>
        <w:rPr/>
        <w:t xml:space="preserve"> </w:t>
      </w:r>
      <w:r>
        <w:rPr>
          <w:rFonts w:ascii="Times New Roman" w:hAnsi="Times New Roman"/>
          <w:sz w:val="20"/>
        </w:rPr>
        <w:t xml:space="preserve">million through its maturity on May 31, 2027. </w:t>
      </w:r>
      <w:r>
        <w:rPr/>
        <w:t> </w:t>
      </w:r>
      <w:r>
        <w:rPr>
          <w:rFonts w:ascii="Times New Roman" w:hAnsi="Times New Roman"/>
          <w:sz w:val="20"/>
        </w:rPr>
        <w:t>The loan is secured by the mortgages held for sale and is repaid when we sell the underlying mortgage loans to permanent investors. Interest is payable daily or as loans are sold to permanent investors on outstanding advances at the Daily SOFR, plus an applicable margin of 2.125% subject to a floor of 5.5%. As of July 31, 2026</w:t>
      </w:r>
      <w:r>
        <w:rPr/>
        <w:t xml:space="preserve"> </w:t>
      </w:r>
      <w:r>
        <w:rPr>
          <w:rFonts w:ascii="Times New Roman" w:hAnsi="Times New Roman"/>
          <w:sz w:val="20"/>
        </w:rPr>
        <w:t>and October 31, 2025, the aggregate principal amount of all borrowings outstanding under the PlainsCapital</w:t>
      </w:r>
      <w:r>
        <w:rPr/>
        <w:t> </w:t>
      </w:r>
      <w:r>
        <w:rPr>
          <w:rFonts w:ascii="Times New Roman" w:hAnsi="Times New Roman"/>
          <w:sz w:val="20"/>
        </w:rPr>
        <w:t>Master Repurchase Agreement was $39.0</w:t>
      </w:r>
      <w:r>
        <w:rPr/>
        <w:t xml:space="preserve"> </w:t>
      </w:r>
      <w:r>
        <w:rPr>
          <w:rFonts w:ascii="Times New Roman" w:hAnsi="Times New Roman"/>
          <w:sz w:val="20"/>
        </w:rPr>
        <w:t>million and $40.6</w:t>
      </w:r>
      <w:r>
        <w:rPr/>
        <w:t xml:space="preserve"> </w:t>
      </w:r>
      <w:r>
        <w:rPr>
          <w:rFonts w:ascii="Times New Roman" w:hAnsi="Times New Roman"/>
          <w:sz w:val="20"/>
        </w:rPr>
        <w:t>million, respectively.</w:t>
      </w:r>
    </w:p>
    <w:p>
      <w:pPr>
        <w:pStyle w:val="TextBody"/>
        <w:bidi w:val="0"/>
        <w:spacing w:lineRule="atLeast" w:line="240" w:before="0" w:after="0"/>
        <w:jc w:val="center"/>
        <w:rPr/>
      </w:pPr>
      <w:r>
        <w:rPr/>
        <w:t> </w:t>
      </w:r>
    </w:p>
    <w:p>
      <w:pPr>
        <w:pStyle w:val="TextBody"/>
        <w:bidi w:val="0"/>
        <w:spacing w:lineRule="atLeast" w:line="240" w:before="0" w:after="0"/>
        <w:ind w:left="0" w:right="0" w:firstLine="900"/>
        <w:jc w:val="left"/>
        <w:rPr/>
      </w:pPr>
      <w:r>
        <w:rPr>
          <w:rFonts w:ascii="Times New Roman" w:hAnsi="Times New Roman"/>
          <w:sz w:val="20"/>
        </w:rPr>
        <w:t>The Chase Master Repurchase Agreement, Customers Master Repurchase Agreement, Hinsdale Master Repurchase Agreement and PlainsCapital</w:t>
      </w:r>
      <w:r>
        <w:rPr/>
        <w:t> </w:t>
      </w:r>
      <w:r>
        <w:rPr>
          <w:rFonts w:ascii="Times New Roman" w:hAnsi="Times New Roman"/>
          <w:sz w:val="20"/>
        </w:rPr>
        <w:t>Master Repurchase Agreement</w:t>
      </w:r>
      <w:r>
        <w:rPr/>
        <w:t> </w:t>
      </w:r>
      <w:r>
        <w:rPr>
          <w:rFonts w:ascii="Times New Roman" w:hAnsi="Times New Roman"/>
          <w:sz w:val="20"/>
        </w:rPr>
        <w:t>(together, the “Master Repurchase Agreements”) require K. Hovnanian Mortgage to satisfy and maintain specified financial ratios and other financial condition tests. Because of the extremely short period of time mortgages are held by K. Hovnanian Mortgage before the mortgages are sold to investors (generally a period of a few weeks), the immateriality to us on a consolidated basis, the size of the Master Repurchase Agreements, the levels required by these financial covenants, our ability based on our immediately available resources to contribute sufficient capital to cure any default, were such conditions to occur, and our right to cure any conditions of default based on the terms of the applicable agreement, we do not consider any of these covenants to be substantive or material.</w:t>
      </w:r>
      <w:r>
        <w:rPr/>
        <w:t> </w:t>
      </w:r>
      <w:r>
        <w:rPr>
          <w:rFonts w:ascii="Times New Roman" w:hAnsi="Times New Roman"/>
          <w:sz w:val="20"/>
        </w:rPr>
        <w:t>As of July 31, 2026, we believe we were in compliance with the covenants under the Master Repurchase Agreements.</w:t>
      </w:r>
    </w:p>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290"/>
        <w:gridCol w:w="2915"/>
      </w:tblGrid>
      <w:tr>
        <w:trPr/>
        <w:tc>
          <w:tcPr>
            <w:tcW w:w="2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12.</w:t>
            </w:r>
          </w:p>
        </w:tc>
        <w:tc>
          <w:tcPr>
            <w:tcW w:w="2915" w:type="dxa"/>
            <w:tcBorders/>
            <w:vAlign w:val="center"/>
          </w:tcPr>
          <w:p>
            <w:pPr>
              <w:pStyle w:val="TableContents"/>
              <w:bidi w:val="0"/>
              <w:spacing w:before="0" w:after="0"/>
              <w:jc w:val="left"/>
              <w:rPr>
                <w:sz w:val="20"/>
              </w:rPr>
            </w:pPr>
            <w:r>
              <w:rPr>
                <w:rFonts w:ascii="Times New Roman" w:hAnsi="Times New Roman"/>
                <w:b/>
                <w:sz w:val="20"/>
              </w:rPr>
              <w:t>Senior Notes and Credit Facilities</w:t>
            </w:r>
            <w:r>
              <w:rPr>
                <w:sz w:val="20"/>
              </w:rPr>
              <w:t xml:space="preserve"> </w:t>
            </w:r>
          </w:p>
        </w:tc>
      </w:tr>
    </w:tbl>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rFonts w:ascii="Times New Roman" w:hAnsi="Times New Roman"/>
          <w:sz w:val="20"/>
        </w:rPr>
        <w:t>Senior notes and credit facilities balances as of July 31, 2026</w:t>
      </w:r>
      <w:r>
        <w:rPr/>
        <w:t xml:space="preserve"> </w:t>
      </w:r>
      <w:r>
        <w:rPr>
          <w:rFonts w:ascii="Times New Roman" w:hAnsi="Times New Roman"/>
          <w:sz w:val="20"/>
        </w:rPr>
        <w:t>and October 31, 2025, were as follows:</w:t>
      </w:r>
    </w:p>
    <w:p>
      <w:pPr>
        <w:pStyle w:val="TextBody"/>
        <w:bidi w:val="0"/>
        <w:spacing w:lineRule="atLeast" w:line="240" w:before="0" w:after="0"/>
        <w:ind w:left="0" w:right="0" w:firstLine="900"/>
        <w:jc w:val="left"/>
        <w:rPr/>
      </w:pPr>
      <w:r>
        <w:rPr/>
        <w:t> </w:t>
      </w:r>
    </w:p>
    <w:tbl>
      <w:tblPr>
        <w:tblW w:w="10205" w:type="dxa"/>
        <w:jc w:val="left"/>
        <w:tblInd w:w="0" w:type="dxa"/>
        <w:tblLayout w:type="fixed"/>
        <w:tblCellMar>
          <w:top w:w="0" w:type="dxa"/>
          <w:left w:w="0" w:type="dxa"/>
          <w:bottom w:w="28" w:type="dxa"/>
          <w:right w:w="0" w:type="dxa"/>
        </w:tblCellMar>
      </w:tblPr>
      <w:tblGrid>
        <w:gridCol w:w="7424"/>
        <w:gridCol w:w="197"/>
        <w:gridCol w:w="1118"/>
        <w:gridCol w:w="60"/>
        <w:gridCol w:w="206"/>
        <w:gridCol w:w="1200"/>
      </w:tblGrid>
      <w:tr>
        <w:trPr/>
        <w:tc>
          <w:tcPr>
            <w:tcW w:w="7424" w:type="dxa"/>
            <w:tcBorders>
              <w:bottom w:val="single" w:sz="8" w:space="0" w:color="000000"/>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 thousands)</w:t>
            </w:r>
          </w:p>
        </w:tc>
        <w:tc>
          <w:tcPr>
            <w:tcW w:w="1315" w:type="dxa"/>
            <w:gridSpan w:val="2"/>
            <w:tcBorders>
              <w:bottom w:val="single" w:sz="8" w:space="0" w:color="000000"/>
            </w:tcBorders>
            <w:vAlign w:val="center"/>
          </w:tcPr>
          <w:p>
            <w:pPr>
              <w:pStyle w:val="TableContents"/>
              <w:bidi w:val="0"/>
              <w:spacing w:before="0" w:after="0"/>
              <w:ind w:left="230" w:right="230" w:hanging="0"/>
              <w:jc w:val="center"/>
              <w:rPr>
                <w:rFonts w:ascii="Times New Roman" w:hAnsi="Times New Roman"/>
                <w:b/>
                <w:sz w:val="20"/>
              </w:rPr>
            </w:pPr>
            <w:r>
              <w:rPr>
                <w:rFonts w:ascii="Times New Roman" w:hAnsi="Times New Roman"/>
                <w:b/>
                <w:sz w:val="20"/>
              </w:rPr>
              <w:t>July 31, 2026</w:t>
            </w:r>
          </w:p>
        </w:tc>
        <w:tc>
          <w:tcPr>
            <w:tcW w:w="60" w:type="dxa"/>
            <w:tcBorders>
              <w:bottom w:val="single" w:sz="8" w:space="0" w:color="000000"/>
            </w:tcBorders>
            <w:vAlign w:val="center"/>
          </w:tcPr>
          <w:p>
            <w:pPr>
              <w:pStyle w:val="TableContents"/>
              <w:bidi w:val="0"/>
              <w:spacing w:before="0" w:after="0"/>
              <w:jc w:val="left"/>
              <w:rPr/>
            </w:pPr>
            <w:r>
              <w:rPr/>
              <w:t> </w:t>
            </w:r>
          </w:p>
        </w:tc>
        <w:tc>
          <w:tcPr>
            <w:tcW w:w="1406" w:type="dxa"/>
            <w:gridSpan w:val="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October 31, 2025</w:t>
            </w:r>
          </w:p>
        </w:tc>
      </w:tr>
      <w:tr>
        <w:trPr/>
        <w:tc>
          <w:tcPr>
            <w:tcW w:w="7424"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Senior Notes:</w:t>
            </w:r>
          </w:p>
        </w:tc>
        <w:tc>
          <w:tcPr>
            <w:tcW w:w="197"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118"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206"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0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r>
      <w:tr>
        <w:trPr/>
        <w:tc>
          <w:tcPr>
            <w:tcW w:w="7424"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8.0% Senior Notes due April 1, 2031</w:t>
            </w:r>
          </w:p>
        </w:tc>
        <w:tc>
          <w:tcPr>
            <w:tcW w:w="197"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8"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450,000</w:t>
            </w:r>
          </w:p>
        </w:tc>
        <w:tc>
          <w:tcPr>
            <w:tcW w:w="60" w:type="dxa"/>
            <w:tcBorders/>
            <w:shd w:fill="FFFFFF" w:val="clear"/>
            <w:tcMar>
              <w:bottom w:w="0" w:type="dxa"/>
            </w:tcMar>
            <w:vAlign w:val="center"/>
          </w:tcPr>
          <w:p>
            <w:pPr>
              <w:pStyle w:val="TableContents"/>
              <w:bidi w:val="0"/>
              <w:spacing w:before="0" w:after="0"/>
              <w:jc w:val="left"/>
              <w:rPr/>
            </w:pPr>
            <w:r>
              <w:rPr/>
              <w:t> </w:t>
            </w:r>
          </w:p>
        </w:tc>
        <w:tc>
          <w:tcPr>
            <w:tcW w:w="206"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0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450,000</w:t>
            </w:r>
          </w:p>
        </w:tc>
      </w:tr>
      <w:tr>
        <w:trPr/>
        <w:tc>
          <w:tcPr>
            <w:tcW w:w="7424"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8.375% Senior Notes due October 1, 2033</w:t>
            </w:r>
          </w:p>
        </w:tc>
        <w:tc>
          <w:tcPr>
            <w:tcW w:w="197" w:type="dxa"/>
            <w:tcBorders/>
            <w:shd w:fill="CCEEFF" w:val="clear"/>
            <w:tcMar>
              <w:bottom w:w="0" w:type="dxa"/>
            </w:tcMar>
            <w:vAlign w:val="center"/>
          </w:tcPr>
          <w:p>
            <w:pPr>
              <w:pStyle w:val="TableContents"/>
              <w:bidi w:val="0"/>
              <w:spacing w:before="0" w:after="0"/>
              <w:jc w:val="left"/>
              <w:rPr/>
            </w:pPr>
            <w:r>
              <w:rPr/>
              <w:t> </w:t>
            </w:r>
          </w:p>
        </w:tc>
        <w:tc>
          <w:tcPr>
            <w:tcW w:w="1118"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450,000</w:t>
            </w:r>
          </w:p>
        </w:tc>
        <w:tc>
          <w:tcPr>
            <w:tcW w:w="60" w:type="dxa"/>
            <w:tcBorders/>
            <w:shd w:fill="CCEEFF" w:val="clear"/>
            <w:tcMar>
              <w:bottom w:w="0" w:type="dxa"/>
            </w:tcMar>
            <w:vAlign w:val="center"/>
          </w:tcPr>
          <w:p>
            <w:pPr>
              <w:pStyle w:val="TableContents"/>
              <w:bidi w:val="0"/>
              <w:spacing w:before="0" w:after="0"/>
              <w:jc w:val="left"/>
              <w:rPr/>
            </w:pPr>
            <w:r>
              <w:rPr/>
              <w:t> </w:t>
            </w:r>
          </w:p>
        </w:tc>
        <w:tc>
          <w:tcPr>
            <w:tcW w:w="206" w:type="dxa"/>
            <w:tcBorders/>
            <w:shd w:fill="CCEEFF" w:val="clear"/>
            <w:tcMar>
              <w:bottom w:w="0" w:type="dxa"/>
            </w:tcMar>
            <w:vAlign w:val="center"/>
          </w:tcPr>
          <w:p>
            <w:pPr>
              <w:pStyle w:val="TableContents"/>
              <w:bidi w:val="0"/>
              <w:spacing w:before="0" w:after="0"/>
              <w:jc w:val="left"/>
              <w:rPr/>
            </w:pPr>
            <w:r>
              <w:rPr/>
              <w:t> </w:t>
            </w:r>
          </w:p>
        </w:tc>
        <w:tc>
          <w:tcPr>
            <w:tcW w:w="120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450,000</w:t>
            </w:r>
          </w:p>
        </w:tc>
      </w:tr>
      <w:tr>
        <w:trPr/>
        <w:tc>
          <w:tcPr>
            <w:tcW w:w="7424" w:type="dxa"/>
            <w:tcBorders>
              <w:bottom w:val="single" w:sz="8" w:space="0" w:color="000000"/>
            </w:tcBorders>
            <w:shd w:fill="FFFFFF" w:val="clear"/>
            <w:vAlign w:val="center"/>
          </w:tcPr>
          <w:p>
            <w:pPr>
              <w:pStyle w:val="TableContents"/>
              <w:bidi w:val="0"/>
              <w:spacing w:before="0" w:after="0"/>
              <w:jc w:val="left"/>
              <w:rPr>
                <w:sz w:val="20"/>
              </w:rPr>
            </w:pPr>
            <w:r>
              <w:rPr>
                <w:rFonts w:ascii="Times New Roman" w:hAnsi="Times New Roman"/>
                <w:sz w:val="20"/>
              </w:rPr>
              <w:t>5.0% Senior Notes due</w:t>
            </w:r>
            <w:r>
              <w:rPr>
                <w:sz w:val="20"/>
              </w:rPr>
              <w:t> </w:t>
            </w:r>
            <w:r>
              <w:rPr>
                <w:rFonts w:ascii="Times New Roman" w:hAnsi="Times New Roman"/>
                <w:sz w:val="20"/>
              </w:rPr>
              <w:t>February 1, 2040</w:t>
            </w:r>
          </w:p>
        </w:tc>
        <w:tc>
          <w:tcPr>
            <w:tcW w:w="197" w:type="dxa"/>
            <w:tcBorders>
              <w:bottom w:val="single" w:sz="8" w:space="0" w:color="000000"/>
            </w:tcBorders>
            <w:shd w:fill="FFFFFF" w:val="clear"/>
            <w:vAlign w:val="center"/>
          </w:tcPr>
          <w:p>
            <w:pPr>
              <w:pStyle w:val="TableContents"/>
              <w:bidi w:val="0"/>
              <w:spacing w:before="0" w:after="0"/>
              <w:jc w:val="left"/>
              <w:rPr/>
            </w:pPr>
            <w:r>
              <w:rPr/>
              <w:t> </w:t>
            </w:r>
          </w:p>
        </w:tc>
        <w:tc>
          <w:tcPr>
            <w:tcW w:w="1118"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24,968</w:t>
            </w:r>
          </w:p>
        </w:tc>
        <w:tc>
          <w:tcPr>
            <w:tcW w:w="60" w:type="dxa"/>
            <w:tcBorders>
              <w:bottom w:val="single" w:sz="8" w:space="0" w:color="000000"/>
            </w:tcBorders>
            <w:shd w:fill="FFFFFF" w:val="clear"/>
            <w:vAlign w:val="center"/>
          </w:tcPr>
          <w:p>
            <w:pPr>
              <w:pStyle w:val="TableContents"/>
              <w:bidi w:val="0"/>
              <w:spacing w:before="0" w:after="0"/>
              <w:jc w:val="left"/>
              <w:rPr/>
            </w:pPr>
            <w:r>
              <w:rPr/>
              <w:t> </w:t>
            </w:r>
          </w:p>
        </w:tc>
        <w:tc>
          <w:tcPr>
            <w:tcW w:w="206" w:type="dxa"/>
            <w:tcBorders>
              <w:bottom w:val="single" w:sz="8" w:space="0" w:color="000000"/>
            </w:tcBorders>
            <w:shd w:fill="FFFFFF" w:val="clear"/>
            <w:vAlign w:val="center"/>
          </w:tcPr>
          <w:p>
            <w:pPr>
              <w:pStyle w:val="TableContents"/>
              <w:bidi w:val="0"/>
              <w:spacing w:before="0" w:after="0"/>
              <w:jc w:val="left"/>
              <w:rPr/>
            </w:pPr>
            <w:r>
              <w:rPr/>
              <w:t> </w:t>
            </w:r>
          </w:p>
        </w:tc>
        <w:tc>
          <w:tcPr>
            <w:tcW w:w="1200"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24,968</w:t>
            </w:r>
          </w:p>
        </w:tc>
      </w:tr>
      <w:tr>
        <w:trPr/>
        <w:tc>
          <w:tcPr>
            <w:tcW w:w="7424"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Senior Notes</w:t>
            </w:r>
          </w:p>
        </w:tc>
        <w:tc>
          <w:tcPr>
            <w:tcW w:w="197"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8"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924,968</w:t>
            </w:r>
          </w:p>
        </w:tc>
        <w:tc>
          <w:tcPr>
            <w:tcW w:w="6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206"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0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924,968</w:t>
            </w:r>
          </w:p>
        </w:tc>
      </w:tr>
      <w:tr>
        <w:trPr/>
        <w:tc>
          <w:tcPr>
            <w:tcW w:w="7424" w:type="dxa"/>
            <w:tcBorders>
              <w:top w:val="double" w:sz="6" w:space="0" w:color="000000"/>
              <w:bottom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Senior Secured Revolving Credit Facility(1)</w:t>
            </w:r>
          </w:p>
        </w:tc>
        <w:tc>
          <w:tcPr>
            <w:tcW w:w="197" w:type="dxa"/>
            <w:tcBorders>
              <w:top w:val="double" w:sz="6" w:space="0" w:color="000000"/>
              <w:bottom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8" w:type="dxa"/>
            <w:tcBorders>
              <w:top w:val="double" w:sz="6" w:space="0" w:color="000000"/>
              <w:bottom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top w:val="double" w:sz="6" w:space="0" w:color="000000"/>
              <w:bottom w:val="double" w:sz="6" w:space="0" w:color="000000"/>
            </w:tcBorders>
            <w:shd w:fill="FFFFFF" w:val="clear"/>
            <w:tcMar>
              <w:top w:w="28" w:type="dxa"/>
            </w:tcMar>
            <w:vAlign w:val="center"/>
          </w:tcPr>
          <w:p>
            <w:pPr>
              <w:pStyle w:val="TableContents"/>
              <w:bidi w:val="0"/>
              <w:spacing w:before="0" w:after="0"/>
              <w:jc w:val="left"/>
              <w:rPr/>
            </w:pPr>
            <w:r>
              <w:rPr/>
              <w:t> </w:t>
            </w:r>
          </w:p>
        </w:tc>
        <w:tc>
          <w:tcPr>
            <w:tcW w:w="206" w:type="dxa"/>
            <w:tcBorders>
              <w:top w:val="double" w:sz="6" w:space="0" w:color="000000"/>
              <w:bottom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00" w:type="dxa"/>
            <w:tcBorders>
              <w:top w:val="double" w:sz="6" w:space="0" w:color="000000"/>
              <w:bottom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7424" w:type="dxa"/>
            <w:tcBorders>
              <w:top w:val="double" w:sz="6"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Subtotal senior notes and credit facilities</w:t>
            </w:r>
          </w:p>
        </w:tc>
        <w:tc>
          <w:tcPr>
            <w:tcW w:w="197" w:type="dxa"/>
            <w:tcBorders>
              <w:top w:val="double" w:sz="6"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8" w:type="dxa"/>
            <w:tcBorders>
              <w:top w:val="double" w:sz="6"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924,968</w:t>
            </w:r>
          </w:p>
        </w:tc>
        <w:tc>
          <w:tcPr>
            <w:tcW w:w="60" w:type="dxa"/>
            <w:tcBorders>
              <w:top w:val="double" w:sz="6"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206" w:type="dxa"/>
            <w:tcBorders>
              <w:top w:val="double" w:sz="6"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00" w:type="dxa"/>
            <w:tcBorders>
              <w:top w:val="double" w:sz="6"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924,968</w:t>
            </w:r>
          </w:p>
        </w:tc>
      </w:tr>
      <w:tr>
        <w:trPr/>
        <w:tc>
          <w:tcPr>
            <w:tcW w:w="7424" w:type="dxa"/>
            <w:tcBorders>
              <w:top w:val="double" w:sz="6" w:space="0" w:color="000000"/>
              <w:bottom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Net (discounts) premiums</w:t>
            </w:r>
          </w:p>
        </w:tc>
        <w:tc>
          <w:tcPr>
            <w:tcW w:w="197" w:type="dxa"/>
            <w:tcBorders>
              <w:top w:val="double" w:sz="6" w:space="0" w:color="000000"/>
              <w:bottom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8" w:type="dxa"/>
            <w:tcBorders>
              <w:top w:val="double" w:sz="6" w:space="0" w:color="000000"/>
              <w:bottom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(10,803)</w:t>
            </w:r>
          </w:p>
        </w:tc>
        <w:tc>
          <w:tcPr>
            <w:tcW w:w="60" w:type="dxa"/>
            <w:tcBorders>
              <w:top w:val="double" w:sz="6" w:space="0" w:color="000000"/>
              <w:bottom w:val="double" w:sz="6" w:space="0" w:color="000000"/>
            </w:tcBorders>
            <w:shd w:fill="FFFFFF" w:val="clear"/>
            <w:tcMar>
              <w:top w:w="28" w:type="dxa"/>
            </w:tcMar>
            <w:vAlign w:val="center"/>
          </w:tcPr>
          <w:p>
            <w:pPr>
              <w:pStyle w:val="TableContents"/>
              <w:bidi w:val="0"/>
              <w:spacing w:before="0" w:after="0"/>
              <w:jc w:val="left"/>
              <w:rPr/>
            </w:pPr>
            <w:r>
              <w:rPr/>
              <w:t> </w:t>
            </w:r>
          </w:p>
        </w:tc>
        <w:tc>
          <w:tcPr>
            <w:tcW w:w="206" w:type="dxa"/>
            <w:tcBorders>
              <w:top w:val="double" w:sz="6" w:space="0" w:color="000000"/>
              <w:bottom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00" w:type="dxa"/>
            <w:tcBorders>
              <w:top w:val="double" w:sz="6" w:space="0" w:color="000000"/>
              <w:bottom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(11,051)</w:t>
            </w:r>
          </w:p>
        </w:tc>
      </w:tr>
      <w:tr>
        <w:trPr/>
        <w:tc>
          <w:tcPr>
            <w:tcW w:w="7424" w:type="dxa"/>
            <w:tcBorders>
              <w:top w:val="double" w:sz="6"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Unamortized debt issuance costs</w:t>
            </w:r>
          </w:p>
        </w:tc>
        <w:tc>
          <w:tcPr>
            <w:tcW w:w="197" w:type="dxa"/>
            <w:tcBorders>
              <w:top w:val="double" w:sz="6"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8" w:type="dxa"/>
            <w:tcBorders>
              <w:top w:val="double" w:sz="6"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(11,673)</w:t>
            </w:r>
          </w:p>
        </w:tc>
        <w:tc>
          <w:tcPr>
            <w:tcW w:w="60" w:type="dxa"/>
            <w:tcBorders>
              <w:top w:val="double" w:sz="6"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206" w:type="dxa"/>
            <w:tcBorders>
              <w:top w:val="double" w:sz="6"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00" w:type="dxa"/>
            <w:tcBorders>
              <w:top w:val="double" w:sz="6"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(13,199)</w:t>
            </w:r>
          </w:p>
        </w:tc>
      </w:tr>
      <w:tr>
        <w:trPr/>
        <w:tc>
          <w:tcPr>
            <w:tcW w:w="7424" w:type="dxa"/>
            <w:tcBorders>
              <w:top w:val="double" w:sz="6" w:space="0" w:color="000000"/>
              <w:bottom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senior notes and credit facilities, net of discounts, premiums and unamortized debt issuance costs</w:t>
            </w:r>
          </w:p>
        </w:tc>
        <w:tc>
          <w:tcPr>
            <w:tcW w:w="197" w:type="dxa"/>
            <w:tcBorders>
              <w:top w:val="double" w:sz="6" w:space="0" w:color="000000"/>
              <w:bottom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8" w:type="dxa"/>
            <w:tcBorders>
              <w:top w:val="double" w:sz="6" w:space="0" w:color="000000"/>
              <w:bottom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902,492</w:t>
            </w:r>
          </w:p>
        </w:tc>
        <w:tc>
          <w:tcPr>
            <w:tcW w:w="60" w:type="dxa"/>
            <w:tcBorders>
              <w:top w:val="double" w:sz="6" w:space="0" w:color="000000"/>
              <w:bottom w:val="double" w:sz="6" w:space="0" w:color="000000"/>
            </w:tcBorders>
            <w:shd w:fill="FFFFFF" w:val="clear"/>
            <w:tcMar>
              <w:top w:w="28" w:type="dxa"/>
            </w:tcMar>
            <w:vAlign w:val="center"/>
          </w:tcPr>
          <w:p>
            <w:pPr>
              <w:pStyle w:val="TableContents"/>
              <w:bidi w:val="0"/>
              <w:spacing w:before="0" w:after="0"/>
              <w:jc w:val="left"/>
              <w:rPr/>
            </w:pPr>
            <w:r>
              <w:rPr/>
              <w:t> </w:t>
            </w:r>
          </w:p>
        </w:tc>
        <w:tc>
          <w:tcPr>
            <w:tcW w:w="206" w:type="dxa"/>
            <w:tcBorders>
              <w:top w:val="double" w:sz="6" w:space="0" w:color="000000"/>
              <w:bottom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00" w:type="dxa"/>
            <w:tcBorders>
              <w:top w:val="double" w:sz="6" w:space="0" w:color="000000"/>
              <w:bottom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900,718</w:t>
            </w:r>
          </w:p>
        </w:tc>
      </w:tr>
    </w:tbl>
    <w:p>
      <w:pPr>
        <w:pStyle w:val="TextBody"/>
        <w:bidi w:val="0"/>
        <w:spacing w:before="0" w:after="0"/>
        <w:jc w:val="left"/>
        <w:rPr/>
      </w:pPr>
      <w:r>
        <w:rPr/>
        <w:t> </w:t>
      </w:r>
    </w:p>
    <w:p>
      <w:pPr>
        <w:pStyle w:val="TextBody"/>
        <w:bidi w:val="0"/>
        <w:spacing w:lineRule="atLeast" w:line="240" w:before="0" w:after="0"/>
        <w:jc w:val="left"/>
        <w:rPr/>
      </w:pPr>
      <w:r>
        <w:rPr>
          <w:rFonts w:ascii="Times New Roman" w:hAnsi="Times New Roman"/>
          <w:i/>
          <w:sz w:val="20"/>
        </w:rPr>
        <w:t>(1) At July 31, 2026, provides for up to $125.0</w:t>
      </w:r>
      <w:r>
        <w:rPr/>
        <w:t xml:space="preserve"> </w:t>
      </w:r>
      <w:r>
        <w:rPr>
          <w:rFonts w:ascii="Times New Roman" w:hAnsi="Times New Roman"/>
          <w:i/>
          <w:sz w:val="20"/>
        </w:rPr>
        <w:t>million in aggregate amount of senior secured first lien revolving loans. The revolving loans under the revolving credit facility have a maturity of June 30, 2028</w:t>
      </w:r>
      <w:r>
        <w:rPr/>
        <w:t xml:space="preserve"> </w:t>
      </w:r>
      <w:r>
        <w:rPr>
          <w:rFonts w:ascii="Times New Roman" w:hAnsi="Times New Roman"/>
          <w:i/>
          <w:sz w:val="20"/>
        </w:rPr>
        <w:t>and borrowings bear interest, at K. Hovnanian’s option, at either (i) a term SOFR (subject to a floor of 3.00%) plus an applicable margin of 4.50% or (ii) an alternate base rate (subject to a floor of 3.00%) plus an applicable margin of 3.50%. In addition, K. Hovnanian will pay an unused commitment fee on the undrawn revolving commitments at a rate of 1.00% per annum</w:t>
      </w:r>
      <w:r>
        <w:rPr>
          <w:rFonts w:ascii="Times New Roman" w:hAnsi="Times New Roman"/>
          <w:sz w:val="20"/>
        </w:rPr>
        <w:t>.</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rFonts w:ascii="Times New Roman" w:hAnsi="Times New Roman"/>
          <w:i/>
          <w:sz w:val="20"/>
        </w:rPr>
      </w:pPr>
      <w:r>
        <w:rPr>
          <w:rFonts w:ascii="Times New Roman" w:hAnsi="Times New Roman"/>
          <w:i/>
          <w:sz w:val="20"/>
        </w:rPr>
        <w:t>General</w:t>
      </w:r>
    </w:p>
    <w:p>
      <w:pPr>
        <w:pStyle w:val="TextBody"/>
        <w:bidi w:val="0"/>
        <w:spacing w:lineRule="atLeast" w:line="240" w:before="200" w:after="40"/>
        <w:ind w:left="0" w:right="0" w:firstLine="900"/>
        <w:jc w:val="left"/>
        <w:rPr/>
      </w:pPr>
      <w:r>
        <w:rPr>
          <w:rFonts w:ascii="Times New Roman" w:hAnsi="Times New Roman"/>
          <w:sz w:val="20"/>
        </w:rPr>
        <w:t>Except for K. Hovnanian, the issuer of the notes and borrower under the credit agreement governing our secured revolving credit facility (the “Secured Credit Facility”), our home mortgage subsidiaries, certain of our title insurance subsidiaries, joint ventures and subsidiaries holding interests in our joint ventures, we and each of our subsidiaries are guarantors of the Secured Credit Facility and senior notes outstanding at July 31, 2026</w:t>
      </w:r>
      <w:r>
        <w:rPr/>
        <w:t xml:space="preserve"> </w:t>
      </w:r>
      <w:r>
        <w:rPr>
          <w:rFonts w:ascii="Times New Roman" w:hAnsi="Times New Roman"/>
          <w:sz w:val="20"/>
        </w:rPr>
        <w:t>(collectively, the “Notes Guarantors”).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TableofContent">
        <w:r>
          <w:rPr>
            <w:rStyle w:val="InternetLink"/>
            <w:rFonts w:ascii="Times New Roman" w:hAnsi="Times New Roman"/>
            <w:strike w:val="false"/>
            <w:dstrike w:val="false"/>
            <w:color w:val="0000FF"/>
            <w:sz w:val="20"/>
            <w:u w:val="single"/>
            <w:effect w:val="none"/>
          </w:rPr>
          <w:t>Table of Contents</w:t>
        </w:r>
      </w:hyperlink>
    </w:p>
    <w:p>
      <w:pPr>
        <w:pStyle w:val="TextBody"/>
        <w:bidi w:val="0"/>
        <w:spacing w:lineRule="atLeast" w:line="240" w:before="200" w:after="0"/>
        <w:ind w:left="0" w:right="0" w:firstLine="900"/>
        <w:jc w:val="left"/>
        <w:rPr/>
      </w:pPr>
      <w:r>
        <w:rPr>
          <w:rFonts w:ascii="Times New Roman" w:hAnsi="Times New Roman"/>
          <w:sz w:val="20"/>
        </w:rPr>
        <w:t>The credit agreement governing the</w:t>
      </w:r>
      <w:r>
        <w:rPr/>
        <w:t> </w:t>
      </w:r>
      <w:r>
        <w:rPr>
          <w:rFonts w:ascii="Times New Roman" w:hAnsi="Times New Roman"/>
          <w:sz w:val="20"/>
        </w:rPr>
        <w:t>Secured Credit Facility</w:t>
      </w:r>
      <w:r>
        <w:rPr/>
        <w:t> </w:t>
      </w:r>
      <w:r>
        <w:rPr>
          <w:rFonts w:ascii="Times New Roman" w:hAnsi="Times New Roman"/>
          <w:sz w:val="20"/>
        </w:rPr>
        <w:t>and the indentures governing the senior notes (together, the "Debt Instruments") outstanding at July 31, 2026, do not contain any financial maintenance covenants, but do contain restrictive covenants that limit, among other things, the ability of HEI and certain of its subsidiaries, including K. Hovnanian, to incur (including through exchanges or certain other types of transactions) indebtedness, pay dividends and make distributions on common and preferred stock, repay/repurchase certain indebtedness prior to its respective stated maturity, repurchase common and preferred stock, make other restricted payments (including investments), sell certain assets (including in certain land banking transactions), incur liens, consolidate, merge, sell or otherwise dispose of all or substantially all of their assets and enter into certain transactions with affiliates. The Debt Instruments also contain customary events of default which would permit the lenders or holders thereof to exercise remedies with respect to the collateral (as applicable), declare the loans (the “Secured Revolving Loans”) made under the Credit Agreement, dated as of October 31, 2019, as amended, by and among K. Hovnanian, the Company, the other guarantors party thereto, Wilmington Trust, National Association, as administrative agent, and the lenders party thereto</w:t>
      </w:r>
      <w:r>
        <w:rPr/>
        <w:t> </w:t>
      </w:r>
      <w:r>
        <w:rPr>
          <w:rFonts w:ascii="Times New Roman" w:hAnsi="Times New Roman"/>
          <w:sz w:val="20"/>
        </w:rPr>
        <w:t>(the "Secured Credit Agreement") or notes to be immediately due and payable if not cured within applicable grace periods, including the failure to make timely payments on the Secured Revolving Loans or notes or other material indebtedness, cross default to other material indebtedness, the failure to comply with agreements and covenants and specified events of bankruptcy and insolvency and, with respect to the Secured Revolving Loans, material inaccuracy of representations and warranties, a change of control, the failure of the documents granting security for the obligations under the Secured Credit Agreement to be in full force and effect, and the failure of the liens on any material portion of the collateral securing the obligations under the Secured Credit Agreement to be valid and perfected. As of July 31, 2026, we believe we were in compliance with the covenants of the Debt Instruments.</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rFonts w:ascii="Times New Roman" w:hAnsi="Times New Roman"/>
          <w:sz w:val="20"/>
        </w:rPr>
      </w:pPr>
      <w:r>
        <w:rPr>
          <w:rFonts w:ascii="Times New Roman" w:hAnsi="Times New Roman"/>
          <w:sz w:val="20"/>
        </w:rPr>
        <w:t>Under the terms of our Debt Instruments, we have the right to make certain redemptions and prepayments and, depending on market conditions, our strategic priorities and covenant restrictions, may do so from time to time. We also continue to analyze and evaluate our capital structure and explore transactions to strengthen our balance sheet, including those that reduce leverage, interest rates and/or extend maturities, and will seek to do so with the right opportunity. We may also continue to make debt or equity purchases and/or exchanges from time to time through tender offers, exchange offers, redemptions, open market purchases, private transactions, or otherwise, or seek to raise additional debt or equity capital, depending on market conditions and covenant restrictions.</w:t>
      </w:r>
    </w:p>
    <w:p>
      <w:pPr>
        <w:pStyle w:val="TextBody"/>
        <w:bidi w:val="0"/>
        <w:spacing w:lineRule="atLeast" w:line="240" w:before="200" w:after="200"/>
        <w:ind w:left="0" w:right="0" w:firstLine="900"/>
        <w:jc w:val="left"/>
        <w:rPr>
          <w:rFonts w:ascii="Times New Roman" w:hAnsi="Times New Roman"/>
          <w:i/>
          <w:sz w:val="20"/>
        </w:rPr>
      </w:pPr>
      <w:r>
        <w:rPr>
          <w:rFonts w:ascii="Times New Roman" w:hAnsi="Times New Roman"/>
          <w:i/>
          <w:sz w:val="20"/>
        </w:rPr>
        <w:t>Fiscal 2026</w:t>
      </w:r>
    </w:p>
    <w:p>
      <w:pPr>
        <w:pStyle w:val="TextBody"/>
        <w:bidi w:val="0"/>
        <w:spacing w:lineRule="atLeast" w:line="240" w:before="0" w:after="0"/>
        <w:ind w:left="0" w:right="0" w:firstLine="900"/>
        <w:jc w:val="left"/>
        <w:rPr/>
      </w:pPr>
      <w:r>
        <w:rPr>
          <w:rFonts w:ascii="Times New Roman" w:hAnsi="Times New Roman"/>
          <w:sz w:val="20"/>
        </w:rPr>
        <w:t>There were no transactions</w:t>
      </w:r>
      <w:r>
        <w:rPr/>
        <w:t> </w:t>
      </w:r>
      <w:r>
        <w:rPr>
          <w:rFonts w:ascii="Times New Roman" w:hAnsi="Times New Roman"/>
          <w:sz w:val="20"/>
        </w:rPr>
        <w:t>related to our debt securities during the nine months ended July 31, 2026.</w:t>
      </w:r>
    </w:p>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TableofContent">
        <w:r>
          <w:rPr>
            <w:rStyle w:val="InternetLink"/>
            <w:rFonts w:ascii="Times New Roman" w:hAnsi="Times New Roman"/>
            <w:strike w:val="false"/>
            <w:dstrike w:val="false"/>
            <w:color w:val="0000FF"/>
            <w:sz w:val="20"/>
            <w:u w:val="single"/>
            <w:effect w:val="none"/>
          </w:rPr>
          <w:t>Table of Contents</w:t>
        </w:r>
      </w:hyperlink>
    </w:p>
    <w:p>
      <w:pPr>
        <w:pStyle w:val="TextBody"/>
        <w:bidi w:val="0"/>
        <w:spacing w:lineRule="atLeast" w:line="240" w:before="200" w:after="0"/>
        <w:ind w:left="0" w:right="0" w:firstLine="900"/>
        <w:jc w:val="left"/>
        <w:rPr>
          <w:rFonts w:ascii="Times New Roman" w:hAnsi="Times New Roman"/>
          <w:i/>
          <w:sz w:val="20"/>
        </w:rPr>
      </w:pPr>
      <w:r>
        <w:rPr>
          <w:rFonts w:ascii="Times New Roman" w:hAnsi="Times New Roman"/>
          <w:i/>
          <w:sz w:val="20"/>
        </w:rPr>
        <w:t>Secured Obligations</w:t>
      </w:r>
    </w:p>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rFonts w:ascii="Times New Roman" w:hAnsi="Times New Roman"/>
          <w:sz w:val="20"/>
        </w:rPr>
        <w:t>The Secured Credit Agreement provides for up to $125.0</w:t>
      </w:r>
      <w:r>
        <w:rPr/>
        <w:t xml:space="preserve"> </w:t>
      </w:r>
      <w:r>
        <w:rPr>
          <w:rFonts w:ascii="Times New Roman" w:hAnsi="Times New Roman"/>
          <w:sz w:val="20"/>
        </w:rPr>
        <w:t>million in aggregate amount of Secured Revolving Loans to be used for general corporate purposes, upon the terms and subject to the conditions set forth therein. Secured Revolving Loans are to be borrowed by K. Hovnanian and guaranteed by the Notes Guarantors. The revolving loans under the Secured Credit Agreement have a maturity of June 30, 2028 and borrowings bear interest, at K. Hovnanian’s option, at either (i) SOFR (subject to a floor of 3.00%) plus an applicable margin of 4.5% or (ii) an alternate base rate (subject to a floor of 3.00%) plus an applicable margin of 3.5%. In addition, K. Hovnanian pays an unused commitment fee on the undrawn revolving commitments at a rate of 1.0% per annum.</w:t>
      </w:r>
    </w:p>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rFonts w:ascii="Times New Roman" w:hAnsi="Times New Roman"/>
          <w:sz w:val="20"/>
        </w:rPr>
        <w:t>As of July 31, 2026, the collateral securing the Secured Credit Agreement included (1) $230.0</w:t>
      </w:r>
      <w:r>
        <w:rPr/>
        <w:t xml:space="preserve"> </w:t>
      </w:r>
      <w:r>
        <w:rPr>
          <w:rFonts w:ascii="Times New Roman" w:hAnsi="Times New Roman"/>
          <w:sz w:val="20"/>
        </w:rPr>
        <w:t>million of cash and cash equivalents, which included $5.7</w:t>
      </w:r>
      <w:r>
        <w:rPr/>
        <w:t xml:space="preserve"> </w:t>
      </w:r>
      <w:r>
        <w:rPr>
          <w:rFonts w:ascii="Times New Roman" w:hAnsi="Times New Roman"/>
          <w:sz w:val="20"/>
        </w:rPr>
        <w:t>million of restricted cash collateralizing certain letters of credit (subsequent to such date, fluctuations as a result of cash uses include general business operations and real estate and other investments along with cash inflow primarily from deliveries); (2) $641.5</w:t>
      </w:r>
      <w:r>
        <w:rPr/>
        <w:t xml:space="preserve"> </w:t>
      </w:r>
      <w:r>
        <w:rPr>
          <w:rFonts w:ascii="Times New Roman" w:hAnsi="Times New Roman"/>
          <w:sz w:val="20"/>
        </w:rPr>
        <w:t>million aggregate book value of real property, which does not include the impact of inventory investments, home deliveries or impairments thereafter and which may differ from the value if it were appraised; and (3) equity interests in joint venture holding companies with an aggregate book value of $151.0</w:t>
      </w:r>
      <w:r>
        <w:rPr/>
        <w:t xml:space="preserve"> </w:t>
      </w:r>
      <w:r>
        <w:rPr>
          <w:rFonts w:ascii="Times New Roman" w:hAnsi="Times New Roman"/>
          <w:sz w:val="20"/>
        </w:rPr>
        <w:t>million.</w:t>
      </w:r>
    </w:p>
    <w:p>
      <w:pPr>
        <w:pStyle w:val="TextBody"/>
        <w:bidi w:val="0"/>
        <w:spacing w:lineRule="atLeast" w:line="240" w:before="200" w:after="0"/>
        <w:ind w:left="0" w:right="0" w:firstLine="900"/>
        <w:jc w:val="left"/>
        <w:rPr>
          <w:rFonts w:ascii="Times New Roman" w:hAnsi="Times New Roman"/>
          <w:i/>
          <w:sz w:val="20"/>
        </w:rPr>
      </w:pPr>
      <w:r>
        <w:rPr>
          <w:rFonts w:ascii="Times New Roman" w:hAnsi="Times New Roman"/>
          <w:i/>
          <w:sz w:val="20"/>
        </w:rPr>
        <w:t>Unsecured Obligations</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rFonts w:ascii="Times New Roman" w:hAnsi="Times New Roman"/>
          <w:sz w:val="20"/>
        </w:rPr>
        <w:t>The 8.0% Senior Notes due 2031 (the "2031 Notes") bear interest at 8.0% per annum and mature on April 1, 2031. The 8.375% Senior Notes due 2033 (the "2033 Notes") bear interest at 8.375% per annum and mature on October 1, 2033. Interest on both of the 2031 Notes and 2033 Notes is payable semi-annually on April 1 and October 1 of each year to holders of record of the applicable series of notes at the close of business on March 15 or September 15, as the case may be, immediately preceding each such interest payment date.</w:t>
      </w:r>
      <w:r>
        <w:rPr/>
        <w:t xml:space="preserve"> </w:t>
      </w:r>
      <w:r>
        <w:rPr>
          <w:rFonts w:ascii="Times New Roman" w:hAnsi="Times New Roman"/>
          <w:sz w:val="20"/>
        </w:rPr>
        <w:t>The 2031 Notes are redeemable, in whole or in part, at K. Hovnanian’s option at any time prior to April 1, 2028 at 100.0% of their principal amount plus an applicable “make-whole” amount. K. Hovnanian may also redeem some or all of the 2031 Notes at 104.0% of their principal amount commencing on April 1, 2028, at 102.0% of their principal amount commencing on April 1, 2029 and at 100.0% of their principal amount commencing April 1, 2030. In addition, K. Hovnanian may also redeem up to 40.0% of the aggregate principal amount of 2031 Notes prior to April 1, 2028 with the net cash proceeds from certain equity offerings at 108.0% of their principal amount.</w:t>
      </w:r>
      <w:r>
        <w:rPr/>
        <w:t xml:space="preserve"> </w:t>
      </w:r>
      <w:r>
        <w:rPr>
          <w:rFonts w:ascii="Times New Roman" w:hAnsi="Times New Roman"/>
          <w:sz w:val="20"/>
        </w:rPr>
        <w:t>The 2033 Notes are redeemable, in whole or in part, at K. Hovnanian’s option at any time prior to October 1, 2028 at 100.0% of their principal amount plus an applicable “make-whole” amount. K. Hovnanian may also redeem some or all of the 2033 Notes at 104.188% of their principal amount commencing on October 1, 2028, at 102.094% of their principal amount commencing on October 1, 2029 and at 100.0% of their principal amount commencing on October 1, 2030. In addition, K. Hovnanian may also redeem up to 40.0% of the aggregate principal amount of 2033 Notes prior to October 1, 2028 with the net cash proceeds from certain equity offerings at 108.375% of their principal amount.</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rFonts w:ascii="Times New Roman" w:hAnsi="Times New Roman"/>
          <w:sz w:val="20"/>
        </w:rPr>
        <w:t>The 5.0% Senior Notes due 2040 (the “2040 Notes”) bear interest at 5.0% per annum and mature on February 1, 2040. Interest on the</w:t>
      </w:r>
      <w:r>
        <w:rPr/>
        <w:t> </w:t>
      </w:r>
      <w:r>
        <w:rPr>
          <w:rFonts w:ascii="Times New Roman" w:hAnsi="Times New Roman"/>
          <w:sz w:val="20"/>
        </w:rPr>
        <w:t>2040 Notes is payable semi-annually on February 1 and August 1 of each year to holders of record at the close of business on January 15 or July 15, as the case may be, immediately preceding each such interest payment date. At any time and from time to time, K. Hovnanian may redeem some or all of the 2040 Notes at a redemption price equal to 100.0% of their principal amount.</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rFonts w:ascii="Times New Roman" w:hAnsi="Times New Roman"/>
          <w:i/>
          <w:sz w:val="20"/>
        </w:rPr>
      </w:pPr>
      <w:r>
        <w:rPr>
          <w:rFonts w:ascii="Times New Roman" w:hAnsi="Times New Roman"/>
          <w:i/>
          <w:sz w:val="20"/>
        </w:rPr>
        <w:t>Other</w:t>
      </w:r>
    </w:p>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rFonts w:ascii="Times New Roman" w:hAnsi="Times New Roman"/>
          <w:sz w:val="20"/>
        </w:rPr>
        <w:t>We have certain stand-alone cash collateralized letter of credit agreements and facilities under which there was a total of $5.6</w:t>
      </w:r>
      <w:r>
        <w:rPr/>
        <w:t xml:space="preserve"> </w:t>
      </w:r>
      <w:r>
        <w:rPr>
          <w:rFonts w:ascii="Times New Roman" w:hAnsi="Times New Roman"/>
          <w:sz w:val="20"/>
        </w:rPr>
        <w:t>million and $6.2</w:t>
      </w:r>
      <w:r>
        <w:rPr/>
        <w:t xml:space="preserve"> </w:t>
      </w:r>
      <w:r>
        <w:rPr>
          <w:rFonts w:ascii="Times New Roman" w:hAnsi="Times New Roman"/>
          <w:sz w:val="20"/>
        </w:rPr>
        <w:t>million letters of credit outstanding at July 31, 2026</w:t>
      </w:r>
      <w:r>
        <w:rPr/>
        <w:t xml:space="preserve"> </w:t>
      </w:r>
      <w:r>
        <w:rPr>
          <w:rFonts w:ascii="Times New Roman" w:hAnsi="Times New Roman"/>
          <w:sz w:val="20"/>
        </w:rPr>
        <w:t xml:space="preserve">and October 31, 2025, respectively. These agreements and facilities require us to maintain specified amounts of cash as collateral in segregated accounts to support the letters of credit issued thereunder, which is reflected in "Restricted cash and cash equivalents" on the Condensed Consolidated Balance Sheets.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r>
        <w:br w:type="page"/>
      </w:r>
    </w:p>
    <w:p>
      <w:pPr>
        <w:pStyle w:val="TextBody"/>
        <w:bidi w:val="0"/>
        <w:spacing w:before="0" w:after="0"/>
        <w:jc w:val="left"/>
        <w:rPr/>
      </w:pPr>
      <w:hyperlink w:anchor="TOC">
        <w:r>
          <w:rPr>
            <w:rStyle w:val="InternetLink"/>
            <w:strike w:val="false"/>
            <w:dstrike w:val="false"/>
            <w:sz w:val="20"/>
            <w:u w:val="single"/>
            <w:effect w:val="none"/>
          </w:rPr>
          <w:t>Table of Contents</w:t>
        </w:r>
      </w:hyperlink>
    </w:p>
    <w:p>
      <w:pPr>
        <w:pStyle w:val="TextBody"/>
        <w:bidi w:val="0"/>
        <w:spacing w:before="0" w:after="0"/>
        <w:jc w:val="left"/>
        <w:rPr/>
      </w:pPr>
      <w:r>
        <w:rPr/>
        <w:t> </w:t>
      </w:r>
    </w:p>
    <w:tbl>
      <w:tblPr>
        <w:tblW w:w="2290" w:type="dxa"/>
        <w:jc w:val="left"/>
        <w:tblInd w:w="0" w:type="dxa"/>
        <w:tblLayout w:type="fixed"/>
        <w:tblCellMar>
          <w:top w:w="0" w:type="dxa"/>
          <w:left w:w="0" w:type="dxa"/>
          <w:bottom w:w="0" w:type="dxa"/>
          <w:right w:w="0" w:type="dxa"/>
        </w:tblCellMar>
      </w:tblPr>
      <w:tblGrid>
        <w:gridCol w:w="335"/>
        <w:gridCol w:w="1955"/>
      </w:tblGrid>
      <w:tr>
        <w:trPr/>
        <w:tc>
          <w:tcPr>
            <w:tcW w:w="3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13. </w:t>
            </w:r>
          </w:p>
        </w:tc>
        <w:tc>
          <w:tcPr>
            <w:tcW w:w="19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Per Share Calculation </w:t>
            </w:r>
          </w:p>
        </w:tc>
      </w:tr>
    </w:tbl>
    <w:p>
      <w:pPr>
        <w:pStyle w:val="TextBody"/>
        <w:bidi w:val="0"/>
        <w:spacing w:lineRule="atLeast" w:line="240" w:before="200" w:after="0"/>
        <w:ind w:left="0" w:right="0" w:firstLine="900"/>
        <w:jc w:val="left"/>
        <w:rPr>
          <w:rFonts w:ascii="Times New Roman" w:hAnsi="Times New Roman"/>
          <w:sz w:val="20"/>
        </w:rPr>
      </w:pPr>
      <w:r>
        <w:rPr>
          <w:rFonts w:ascii="Times New Roman" w:hAnsi="Times New Roman"/>
          <w:sz w:val="20"/>
        </w:rPr>
        <w:t>Basic and diluted earnings per share for the periods presented below were calculated as follows:</w:t>
      </w:r>
    </w:p>
    <w:p>
      <w:pPr>
        <w:pStyle w:val="TextBody"/>
        <w:bidi w:val="0"/>
        <w:spacing w:lineRule="atLeast" w:line="240" w:before="0" w:after="0"/>
        <w:ind w:left="0" w:right="0" w:firstLine="720"/>
        <w:jc w:val="left"/>
        <w:rPr/>
      </w:pPr>
      <w:r>
        <w:rPr/>
        <w:t> </w:t>
      </w:r>
    </w:p>
    <w:tbl>
      <w:tblPr>
        <w:tblW w:w="10205" w:type="dxa"/>
        <w:jc w:val="left"/>
        <w:tblInd w:w="0" w:type="dxa"/>
        <w:tblLayout w:type="fixed"/>
        <w:tblCellMar>
          <w:top w:w="0" w:type="dxa"/>
          <w:left w:w="0" w:type="dxa"/>
          <w:bottom w:w="0" w:type="dxa"/>
          <w:right w:w="0" w:type="dxa"/>
        </w:tblCellMar>
      </w:tblPr>
      <w:tblGrid>
        <w:gridCol w:w="6675"/>
        <w:gridCol w:w="146"/>
        <w:gridCol w:w="711"/>
        <w:gridCol w:w="69"/>
        <w:gridCol w:w="146"/>
        <w:gridCol w:w="711"/>
        <w:gridCol w:w="60"/>
        <w:gridCol w:w="136"/>
        <w:gridCol w:w="663"/>
        <w:gridCol w:w="64"/>
        <w:gridCol w:w="136"/>
        <w:gridCol w:w="688"/>
      </w:tblGrid>
      <w:tr>
        <w:trPr/>
        <w:tc>
          <w:tcPr>
            <w:tcW w:w="6675" w:type="dxa"/>
            <w:tcBorders/>
            <w:vAlign w:val="center"/>
          </w:tcPr>
          <w:p>
            <w:pPr>
              <w:pStyle w:val="TableContents"/>
              <w:bidi w:val="0"/>
              <w:spacing w:before="0" w:after="0"/>
              <w:jc w:val="left"/>
              <w:rPr/>
            </w:pPr>
            <w:r>
              <w:rPr/>
              <w:t> </w:t>
            </w:r>
          </w:p>
        </w:tc>
        <w:tc>
          <w:tcPr>
            <w:tcW w:w="1783" w:type="dxa"/>
            <w:gridSpan w:val="5"/>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60" w:type="dxa"/>
            <w:tcBorders/>
            <w:vAlign w:val="center"/>
          </w:tcPr>
          <w:p>
            <w:pPr>
              <w:pStyle w:val="TableContents"/>
              <w:bidi w:val="0"/>
              <w:spacing w:before="0" w:after="0"/>
              <w:jc w:val="left"/>
              <w:rPr/>
            </w:pPr>
            <w:r>
              <w:rPr/>
              <w:t> </w:t>
            </w:r>
          </w:p>
        </w:tc>
        <w:tc>
          <w:tcPr>
            <w:tcW w:w="1687" w:type="dxa"/>
            <w:gridSpan w:val="5"/>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Nine Months Ended</w:t>
            </w:r>
          </w:p>
        </w:tc>
      </w:tr>
      <w:tr>
        <w:trPr/>
        <w:tc>
          <w:tcPr>
            <w:tcW w:w="6675" w:type="dxa"/>
            <w:tcBorders>
              <w:bottom w:val="single" w:sz="8" w:space="0" w:color="000000"/>
            </w:tcBorders>
            <w:tcMar>
              <w:bottom w:w="28" w:type="dxa"/>
            </w:tcMar>
            <w:vAlign w:val="center"/>
          </w:tcPr>
          <w:p>
            <w:pPr>
              <w:pStyle w:val="TableContents"/>
              <w:bidi w:val="0"/>
              <w:spacing w:before="0" w:after="0"/>
              <w:jc w:val="left"/>
              <w:rPr/>
            </w:pPr>
            <w:r>
              <w:rPr/>
              <w:t> </w:t>
            </w:r>
          </w:p>
        </w:tc>
        <w:tc>
          <w:tcPr>
            <w:tcW w:w="1783" w:type="dxa"/>
            <w:gridSpan w:val="5"/>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July 31,</w:t>
            </w:r>
          </w:p>
        </w:tc>
        <w:tc>
          <w:tcPr>
            <w:tcW w:w="60" w:type="dxa"/>
            <w:tcBorders>
              <w:bottom w:val="single" w:sz="8" w:space="0" w:color="000000"/>
            </w:tcBorders>
            <w:tcMar>
              <w:bottom w:w="28" w:type="dxa"/>
            </w:tcMar>
            <w:vAlign w:val="center"/>
          </w:tcPr>
          <w:p>
            <w:pPr>
              <w:pStyle w:val="TableContents"/>
              <w:bidi w:val="0"/>
              <w:spacing w:before="0" w:after="0"/>
              <w:jc w:val="left"/>
              <w:rPr/>
            </w:pPr>
            <w:r>
              <w:rPr/>
              <w:t> </w:t>
            </w:r>
          </w:p>
        </w:tc>
        <w:tc>
          <w:tcPr>
            <w:tcW w:w="1687" w:type="dxa"/>
            <w:gridSpan w:val="5"/>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July 31,</w:t>
            </w:r>
          </w:p>
        </w:tc>
      </w:tr>
      <w:tr>
        <w:trPr/>
        <w:tc>
          <w:tcPr>
            <w:tcW w:w="667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 thousands, except per share data)</w:t>
            </w:r>
          </w:p>
        </w:tc>
        <w:tc>
          <w:tcPr>
            <w:tcW w:w="857"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57"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99"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4"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24"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r>
      <w:tr>
        <w:trPr/>
        <w:tc>
          <w:tcPr>
            <w:tcW w:w="667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146"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711"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46"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711"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36"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63"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4"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36"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88"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r>
      <w:tr>
        <w:trPr/>
        <w:tc>
          <w:tcPr>
            <w:tcW w:w="667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income attributable to Hovnanian Enterprises, Inc.</w:t>
            </w:r>
          </w:p>
        </w:tc>
        <w:tc>
          <w:tcPr>
            <w:tcW w:w="14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(1,801)</w:t>
            </w:r>
          </w:p>
        </w:tc>
        <w:tc>
          <w:tcPr>
            <w:tcW w:w="69" w:type="dxa"/>
            <w:tcBorders/>
            <w:shd w:fill="FFFFFF" w:val="clear"/>
            <w:vAlign w:val="center"/>
          </w:tcPr>
          <w:p>
            <w:pPr>
              <w:pStyle w:val="TableContents"/>
              <w:bidi w:val="0"/>
              <w:spacing w:before="0" w:after="0"/>
              <w:jc w:val="left"/>
              <w:rPr/>
            </w:pPr>
            <w:r>
              <w:rPr/>
              <w:t> </w:t>
            </w:r>
          </w:p>
        </w:tc>
        <w:tc>
          <w:tcPr>
            <w:tcW w:w="14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16,615</w:t>
            </w:r>
          </w:p>
        </w:tc>
        <w:tc>
          <w:tcPr>
            <w:tcW w:w="60" w:type="dxa"/>
            <w:tcBorders/>
            <w:shd w:fill="FFFFFF" w:val="clear"/>
            <w:vAlign w:val="center"/>
          </w:tcPr>
          <w:p>
            <w:pPr>
              <w:pStyle w:val="TableContents"/>
              <w:bidi w:val="0"/>
              <w:spacing w:before="0" w:after="0"/>
              <w:jc w:val="left"/>
              <w:rPr/>
            </w:pPr>
            <w:r>
              <w:rPr/>
              <w:t> </w:t>
            </w:r>
          </w:p>
        </w:tc>
        <w:tc>
          <w:tcPr>
            <w:tcW w:w="13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18,774</w:t>
            </w:r>
          </w:p>
        </w:tc>
        <w:tc>
          <w:tcPr>
            <w:tcW w:w="64" w:type="dxa"/>
            <w:tcBorders/>
            <w:shd w:fill="FFFFFF" w:val="clear"/>
            <w:vAlign w:val="center"/>
          </w:tcPr>
          <w:p>
            <w:pPr>
              <w:pStyle w:val="TableContents"/>
              <w:bidi w:val="0"/>
              <w:spacing w:before="0" w:after="0"/>
              <w:jc w:val="left"/>
              <w:rPr/>
            </w:pPr>
            <w:r>
              <w:rPr/>
              <w:t> </w:t>
            </w:r>
          </w:p>
        </w:tc>
        <w:tc>
          <w:tcPr>
            <w:tcW w:w="13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64,532</w:t>
            </w:r>
          </w:p>
        </w:tc>
      </w:tr>
      <w:tr>
        <w:trPr/>
        <w:tc>
          <w:tcPr>
            <w:tcW w:w="6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preferred stock dividends</w:t>
            </w:r>
          </w:p>
        </w:tc>
        <w:tc>
          <w:tcPr>
            <w:tcW w:w="146" w:type="dxa"/>
            <w:tcBorders/>
            <w:shd w:fill="CCEEFF" w:val="clear"/>
            <w:vAlign w:val="center"/>
          </w:tcPr>
          <w:p>
            <w:pPr>
              <w:pStyle w:val="TableContents"/>
              <w:bidi w:val="0"/>
              <w:spacing w:before="0" w:after="0"/>
              <w:jc w:val="left"/>
              <w:rPr/>
            </w:pPr>
            <w:r>
              <w:rPr/>
              <w:t> </w:t>
            </w:r>
          </w:p>
        </w:tc>
        <w:tc>
          <w:tcPr>
            <w:tcW w:w="7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(2,669)</w:t>
            </w:r>
          </w:p>
        </w:tc>
        <w:tc>
          <w:tcPr>
            <w:tcW w:w="69"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7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(2,669)</w:t>
            </w:r>
          </w:p>
        </w:tc>
        <w:tc>
          <w:tcPr>
            <w:tcW w:w="60" w:type="dxa"/>
            <w:tcBorders/>
            <w:shd w:fill="CCEEFF" w:val="clear"/>
            <w:vAlign w:val="center"/>
          </w:tcPr>
          <w:p>
            <w:pPr>
              <w:pStyle w:val="TableContents"/>
              <w:bidi w:val="0"/>
              <w:spacing w:before="0" w:after="0"/>
              <w:jc w:val="left"/>
              <w:rPr/>
            </w:pPr>
            <w:r>
              <w:rPr/>
              <w:t> </w:t>
            </w:r>
          </w:p>
        </w:tc>
        <w:tc>
          <w:tcPr>
            <w:tcW w:w="136" w:type="dxa"/>
            <w:tcBorders/>
            <w:shd w:fill="CCEEFF" w:val="clear"/>
            <w:vAlign w:val="center"/>
          </w:tcPr>
          <w:p>
            <w:pPr>
              <w:pStyle w:val="TableContents"/>
              <w:bidi w:val="0"/>
              <w:spacing w:before="0" w:after="0"/>
              <w:jc w:val="left"/>
              <w:rPr/>
            </w:pPr>
            <w:r>
              <w:rPr/>
              <w:t> </w:t>
            </w:r>
          </w:p>
        </w:tc>
        <w:tc>
          <w:tcPr>
            <w:tcW w:w="66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(8,007)</w:t>
            </w:r>
          </w:p>
        </w:tc>
        <w:tc>
          <w:tcPr>
            <w:tcW w:w="64" w:type="dxa"/>
            <w:tcBorders/>
            <w:shd w:fill="CCEEFF" w:val="clear"/>
            <w:vAlign w:val="center"/>
          </w:tcPr>
          <w:p>
            <w:pPr>
              <w:pStyle w:val="TableContents"/>
              <w:bidi w:val="0"/>
              <w:spacing w:before="0" w:after="0"/>
              <w:jc w:val="left"/>
              <w:rPr/>
            </w:pPr>
            <w:r>
              <w:rPr/>
              <w:t> </w:t>
            </w:r>
          </w:p>
        </w:tc>
        <w:tc>
          <w:tcPr>
            <w:tcW w:w="136"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(8,007)</w:t>
            </w:r>
          </w:p>
        </w:tc>
      </w:tr>
      <w:tr>
        <w:trPr/>
        <w:tc>
          <w:tcPr>
            <w:tcW w:w="6675" w:type="dxa"/>
            <w:tcBorders>
              <w:bottom w:val="single" w:sz="8"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Less: undistributed earnings allocated to participating securities</w:t>
            </w:r>
          </w:p>
        </w:tc>
        <w:tc>
          <w:tcPr>
            <w:tcW w:w="146"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11"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9"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11"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(233)</w:t>
            </w:r>
          </w:p>
        </w:tc>
        <w:tc>
          <w:tcPr>
            <w:tcW w:w="60"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36"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63"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(160)</w:t>
            </w:r>
          </w:p>
        </w:tc>
        <w:tc>
          <w:tcPr>
            <w:tcW w:w="64"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36"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(1,428)</w:t>
            </w:r>
          </w:p>
        </w:tc>
      </w:tr>
      <w:tr>
        <w:trPr/>
        <w:tc>
          <w:tcPr>
            <w:tcW w:w="667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Numerator for basic (loss) earnings per share</w:t>
            </w:r>
          </w:p>
        </w:tc>
        <w:tc>
          <w:tcPr>
            <w:tcW w:w="14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(4,470)</w:t>
            </w:r>
          </w:p>
        </w:tc>
        <w:tc>
          <w:tcPr>
            <w:tcW w:w="6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4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13,713</w:t>
            </w:r>
          </w:p>
        </w:tc>
        <w:tc>
          <w:tcPr>
            <w:tcW w:w="6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3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10,607</w:t>
            </w:r>
          </w:p>
        </w:tc>
        <w:tc>
          <w:tcPr>
            <w:tcW w:w="6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3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55,097</w:t>
            </w:r>
          </w:p>
        </w:tc>
      </w:tr>
      <w:tr>
        <w:trPr/>
        <w:tc>
          <w:tcPr>
            <w:tcW w:w="6675"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Plus: undistributed earnings allocated to participating securities</w:t>
            </w:r>
          </w:p>
        </w:tc>
        <w:tc>
          <w:tcPr>
            <w:tcW w:w="146"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711"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9"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46"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711"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233</w:t>
            </w:r>
          </w:p>
        </w:tc>
        <w:tc>
          <w:tcPr>
            <w:tcW w:w="60"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36"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63"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161</w:t>
            </w:r>
          </w:p>
        </w:tc>
        <w:tc>
          <w:tcPr>
            <w:tcW w:w="64"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36"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88"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1,428</w:t>
            </w:r>
          </w:p>
        </w:tc>
      </w:tr>
      <w:tr>
        <w:trPr/>
        <w:tc>
          <w:tcPr>
            <w:tcW w:w="6675" w:type="dxa"/>
            <w:tcBorders>
              <w:bottom w:val="single" w:sz="8"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Less: undistributed earnings reallocated to participating securities</w:t>
            </w:r>
          </w:p>
        </w:tc>
        <w:tc>
          <w:tcPr>
            <w:tcW w:w="14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11"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9"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11"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(234)</w:t>
            </w:r>
          </w:p>
        </w:tc>
        <w:tc>
          <w:tcPr>
            <w:tcW w:w="6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6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(176)</w:t>
            </w:r>
          </w:p>
        </w:tc>
        <w:tc>
          <w:tcPr>
            <w:tcW w:w="64"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(1,435)</w:t>
            </w:r>
          </w:p>
        </w:tc>
      </w:tr>
      <w:tr>
        <w:trPr/>
        <w:tc>
          <w:tcPr>
            <w:tcW w:w="667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Numerator for diluted (loss) earnings per share</w:t>
            </w:r>
          </w:p>
        </w:tc>
        <w:tc>
          <w:tcPr>
            <w:tcW w:w="14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(4,470)</w:t>
            </w:r>
          </w:p>
        </w:tc>
        <w:tc>
          <w:tcPr>
            <w:tcW w:w="6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4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13,712</w:t>
            </w:r>
          </w:p>
        </w:tc>
        <w:tc>
          <w:tcPr>
            <w:tcW w:w="6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3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3"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10,592</w:t>
            </w:r>
          </w:p>
        </w:tc>
        <w:tc>
          <w:tcPr>
            <w:tcW w:w="64"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3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8"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55,090</w:t>
            </w:r>
          </w:p>
        </w:tc>
      </w:tr>
      <w:tr>
        <w:trPr/>
        <w:tc>
          <w:tcPr>
            <w:tcW w:w="667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146"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711"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6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46"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711"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6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36"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63"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64"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36"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88"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r>
      <w:tr>
        <w:trPr/>
        <w:tc>
          <w:tcPr>
            <w:tcW w:w="667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Denominator for basic earnings per share – weighted average shares outstanding</w:t>
            </w:r>
          </w:p>
        </w:tc>
        <w:tc>
          <w:tcPr>
            <w:tcW w:w="146" w:type="dxa"/>
            <w:tcBorders/>
            <w:shd w:fill="FFFFFF" w:val="clear"/>
            <w:vAlign w:val="center"/>
          </w:tcPr>
          <w:p>
            <w:pPr>
              <w:pStyle w:val="TableContents"/>
              <w:bidi w:val="0"/>
              <w:spacing w:before="0" w:after="0"/>
              <w:jc w:val="left"/>
              <w:rPr/>
            </w:pPr>
            <w:r>
              <w:rPr/>
              <w:t> </w:t>
            </w:r>
          </w:p>
        </w:tc>
        <w:tc>
          <w:tcPr>
            <w:tcW w:w="71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6,412</w:t>
            </w:r>
          </w:p>
        </w:tc>
        <w:tc>
          <w:tcPr>
            <w:tcW w:w="69" w:type="dxa"/>
            <w:tcBorders/>
            <w:shd w:fill="FFFFFF" w:val="clear"/>
            <w:vAlign w:val="center"/>
          </w:tcPr>
          <w:p>
            <w:pPr>
              <w:pStyle w:val="TableContents"/>
              <w:bidi w:val="0"/>
              <w:spacing w:before="0" w:after="0"/>
              <w:jc w:val="left"/>
              <w:rPr/>
            </w:pPr>
            <w:r>
              <w:rPr/>
              <w:t> </w:t>
            </w:r>
          </w:p>
        </w:tc>
        <w:tc>
          <w:tcPr>
            <w:tcW w:w="146" w:type="dxa"/>
            <w:tcBorders/>
            <w:shd w:fill="FFFFFF" w:val="clear"/>
            <w:vAlign w:val="center"/>
          </w:tcPr>
          <w:p>
            <w:pPr>
              <w:pStyle w:val="TableContents"/>
              <w:bidi w:val="0"/>
              <w:spacing w:before="0" w:after="0"/>
              <w:jc w:val="left"/>
              <w:rPr/>
            </w:pPr>
            <w:r>
              <w:rPr/>
              <w:t> </w:t>
            </w:r>
          </w:p>
        </w:tc>
        <w:tc>
          <w:tcPr>
            <w:tcW w:w="71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6,399</w:t>
            </w:r>
          </w:p>
        </w:tc>
        <w:tc>
          <w:tcPr>
            <w:tcW w:w="60" w:type="dxa"/>
            <w:tcBorders/>
            <w:shd w:fill="FFFFFF" w:val="clear"/>
            <w:vAlign w:val="center"/>
          </w:tcPr>
          <w:p>
            <w:pPr>
              <w:pStyle w:val="TableContents"/>
              <w:bidi w:val="0"/>
              <w:spacing w:before="0" w:after="0"/>
              <w:jc w:val="left"/>
              <w:rPr/>
            </w:pPr>
            <w:r>
              <w:rPr/>
              <w:t> </w:t>
            </w:r>
          </w:p>
        </w:tc>
        <w:tc>
          <w:tcPr>
            <w:tcW w:w="136" w:type="dxa"/>
            <w:tcBorders/>
            <w:shd w:fill="FFFFFF" w:val="clear"/>
            <w:vAlign w:val="center"/>
          </w:tcPr>
          <w:p>
            <w:pPr>
              <w:pStyle w:val="TableContents"/>
              <w:bidi w:val="0"/>
              <w:spacing w:before="0" w:after="0"/>
              <w:jc w:val="left"/>
              <w:rPr/>
            </w:pPr>
            <w:r>
              <w:rPr/>
              <w:t> </w:t>
            </w:r>
          </w:p>
        </w:tc>
        <w:tc>
          <w:tcPr>
            <w:tcW w:w="66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6,439</w:t>
            </w:r>
          </w:p>
        </w:tc>
        <w:tc>
          <w:tcPr>
            <w:tcW w:w="64" w:type="dxa"/>
            <w:tcBorders/>
            <w:shd w:fill="FFFFFF" w:val="clear"/>
            <w:vAlign w:val="center"/>
          </w:tcPr>
          <w:p>
            <w:pPr>
              <w:pStyle w:val="TableContents"/>
              <w:bidi w:val="0"/>
              <w:spacing w:before="0" w:after="0"/>
              <w:jc w:val="left"/>
              <w:rPr/>
            </w:pPr>
            <w:r>
              <w:rPr/>
              <w:t> </w:t>
            </w:r>
          </w:p>
        </w:tc>
        <w:tc>
          <w:tcPr>
            <w:tcW w:w="136" w:type="dxa"/>
            <w:tcBorders/>
            <w:shd w:fill="FFFFFF" w:val="clear"/>
            <w:vAlign w:val="center"/>
          </w:tcPr>
          <w:p>
            <w:pPr>
              <w:pStyle w:val="TableContents"/>
              <w:bidi w:val="0"/>
              <w:spacing w:before="0" w:after="0"/>
              <w:jc w:val="left"/>
              <w:rPr/>
            </w:pPr>
            <w:r>
              <w:rPr/>
              <w:t> </w:t>
            </w:r>
          </w:p>
        </w:tc>
        <w:tc>
          <w:tcPr>
            <w:tcW w:w="68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6,442</w:t>
            </w:r>
          </w:p>
        </w:tc>
      </w:tr>
      <w:tr>
        <w:trPr/>
        <w:tc>
          <w:tcPr>
            <w:tcW w:w="6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dilutive securities:</w:t>
            </w:r>
          </w:p>
        </w:tc>
        <w:tc>
          <w:tcPr>
            <w:tcW w:w="146" w:type="dxa"/>
            <w:tcBorders/>
            <w:shd w:fill="CCEEFF" w:val="clear"/>
            <w:vAlign w:val="center"/>
          </w:tcPr>
          <w:p>
            <w:pPr>
              <w:pStyle w:val="TableContents"/>
              <w:bidi w:val="0"/>
              <w:spacing w:before="0" w:after="0"/>
              <w:jc w:val="left"/>
              <w:rPr/>
            </w:pPr>
            <w:r>
              <w:rPr/>
              <w:t> </w:t>
            </w:r>
          </w:p>
        </w:tc>
        <w:tc>
          <w:tcPr>
            <w:tcW w:w="711" w:type="dxa"/>
            <w:tcBorders/>
            <w:shd w:fill="CCEEFF" w:val="clear"/>
            <w:vAlign w:val="center"/>
          </w:tcPr>
          <w:p>
            <w:pPr>
              <w:pStyle w:val="TableContents"/>
              <w:bidi w:val="0"/>
              <w:spacing w:before="0" w:after="0"/>
              <w:jc w:val="right"/>
              <w:rPr/>
            </w:pPr>
            <w:r>
              <w:rPr/>
              <w:t> </w:t>
            </w:r>
          </w:p>
        </w:tc>
        <w:tc>
          <w:tcPr>
            <w:tcW w:w="69"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711"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36" w:type="dxa"/>
            <w:tcBorders/>
            <w:shd w:fill="CCEEFF" w:val="clear"/>
            <w:vAlign w:val="center"/>
          </w:tcPr>
          <w:p>
            <w:pPr>
              <w:pStyle w:val="TableContents"/>
              <w:bidi w:val="0"/>
              <w:spacing w:before="0" w:after="0"/>
              <w:jc w:val="left"/>
              <w:rPr/>
            </w:pPr>
            <w:r>
              <w:rPr/>
              <w:t> </w:t>
            </w:r>
          </w:p>
        </w:tc>
        <w:tc>
          <w:tcPr>
            <w:tcW w:w="663" w:type="dxa"/>
            <w:tcBorders/>
            <w:shd w:fill="CCEEFF" w:val="clear"/>
            <w:vAlign w:val="center"/>
          </w:tcPr>
          <w:p>
            <w:pPr>
              <w:pStyle w:val="TableContents"/>
              <w:bidi w:val="0"/>
              <w:spacing w:before="0" w:after="0"/>
              <w:jc w:val="right"/>
              <w:rPr/>
            </w:pPr>
            <w:r>
              <w:rPr/>
              <w:t> </w:t>
            </w:r>
          </w:p>
        </w:tc>
        <w:tc>
          <w:tcPr>
            <w:tcW w:w="64" w:type="dxa"/>
            <w:tcBorders/>
            <w:shd w:fill="CCEEFF" w:val="clear"/>
            <w:vAlign w:val="center"/>
          </w:tcPr>
          <w:p>
            <w:pPr>
              <w:pStyle w:val="TableContents"/>
              <w:bidi w:val="0"/>
              <w:spacing w:before="0" w:after="0"/>
              <w:jc w:val="left"/>
              <w:rPr/>
            </w:pPr>
            <w:r>
              <w:rPr/>
              <w:t> </w:t>
            </w:r>
          </w:p>
        </w:tc>
        <w:tc>
          <w:tcPr>
            <w:tcW w:w="136" w:type="dxa"/>
            <w:tcBorders/>
            <w:shd w:fill="CCEEFF" w:val="clear"/>
            <w:vAlign w:val="center"/>
          </w:tcPr>
          <w:p>
            <w:pPr>
              <w:pStyle w:val="TableContents"/>
              <w:bidi w:val="0"/>
              <w:spacing w:before="0" w:after="0"/>
              <w:jc w:val="left"/>
              <w:rPr/>
            </w:pPr>
            <w:r>
              <w:rPr/>
              <w:t> </w:t>
            </w:r>
          </w:p>
        </w:tc>
        <w:tc>
          <w:tcPr>
            <w:tcW w:w="688" w:type="dxa"/>
            <w:tcBorders/>
            <w:shd w:fill="CCEEFF" w:val="clear"/>
            <w:vAlign w:val="center"/>
          </w:tcPr>
          <w:p>
            <w:pPr>
              <w:pStyle w:val="TableContents"/>
              <w:bidi w:val="0"/>
              <w:spacing w:before="0" w:after="0"/>
              <w:jc w:val="right"/>
              <w:rPr/>
            </w:pPr>
            <w:r>
              <w:rPr/>
              <w:t> </w:t>
            </w:r>
          </w:p>
        </w:tc>
      </w:tr>
      <w:tr>
        <w:trPr/>
        <w:tc>
          <w:tcPr>
            <w:tcW w:w="6675" w:type="dxa"/>
            <w:tcBorders>
              <w:bottom w:val="single" w:sz="8"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payments</w:t>
            </w:r>
          </w:p>
        </w:tc>
        <w:tc>
          <w:tcPr>
            <w:tcW w:w="146"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11"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9"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11"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488</w:t>
            </w:r>
          </w:p>
        </w:tc>
        <w:tc>
          <w:tcPr>
            <w:tcW w:w="60"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36"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63"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401</w:t>
            </w:r>
          </w:p>
        </w:tc>
        <w:tc>
          <w:tcPr>
            <w:tcW w:w="64"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36"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494</w:t>
            </w:r>
          </w:p>
        </w:tc>
      </w:tr>
      <w:tr>
        <w:trPr/>
        <w:tc>
          <w:tcPr>
            <w:tcW w:w="667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Denominator for diluted earnings per share – weighted-average shares outstanding</w:t>
            </w:r>
          </w:p>
        </w:tc>
        <w:tc>
          <w:tcPr>
            <w:tcW w:w="14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7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6,412</w:t>
            </w:r>
          </w:p>
        </w:tc>
        <w:tc>
          <w:tcPr>
            <w:tcW w:w="6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4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7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6,887</w:t>
            </w:r>
          </w:p>
        </w:tc>
        <w:tc>
          <w:tcPr>
            <w:tcW w:w="6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3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66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6,840</w:t>
            </w:r>
          </w:p>
        </w:tc>
        <w:tc>
          <w:tcPr>
            <w:tcW w:w="6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3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68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6,936</w:t>
            </w:r>
          </w:p>
        </w:tc>
      </w:tr>
      <w:tr>
        <w:trPr/>
        <w:tc>
          <w:tcPr>
            <w:tcW w:w="6675"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Basic (loss) earnings per share</w:t>
            </w:r>
          </w:p>
        </w:tc>
        <w:tc>
          <w:tcPr>
            <w:tcW w:w="146"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1"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(0.70)</w:t>
            </w:r>
          </w:p>
        </w:tc>
        <w:tc>
          <w:tcPr>
            <w:tcW w:w="69"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46"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1"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2.14</w:t>
            </w:r>
          </w:p>
        </w:tc>
        <w:tc>
          <w:tcPr>
            <w:tcW w:w="60"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36"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3"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1.65</w:t>
            </w:r>
          </w:p>
        </w:tc>
        <w:tc>
          <w:tcPr>
            <w:tcW w:w="64"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36"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8"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8.55</w:t>
            </w:r>
          </w:p>
        </w:tc>
      </w:tr>
      <w:tr>
        <w:trPr/>
        <w:tc>
          <w:tcPr>
            <w:tcW w:w="6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 (loss) earnings per share</w:t>
            </w:r>
          </w:p>
        </w:tc>
        <w:tc>
          <w:tcPr>
            <w:tcW w:w="14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(0.70)</w:t>
            </w:r>
          </w:p>
        </w:tc>
        <w:tc>
          <w:tcPr>
            <w:tcW w:w="69"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1.99</w:t>
            </w:r>
          </w:p>
        </w:tc>
        <w:tc>
          <w:tcPr>
            <w:tcW w:w="60" w:type="dxa"/>
            <w:tcBorders/>
            <w:shd w:fill="CCEEFF" w:val="clear"/>
            <w:vAlign w:val="center"/>
          </w:tcPr>
          <w:p>
            <w:pPr>
              <w:pStyle w:val="TableContents"/>
              <w:bidi w:val="0"/>
              <w:spacing w:before="0" w:after="0"/>
              <w:jc w:val="left"/>
              <w:rPr/>
            </w:pPr>
            <w:r>
              <w:rPr/>
              <w:t> </w:t>
            </w:r>
          </w:p>
        </w:tc>
        <w:tc>
          <w:tcPr>
            <w:tcW w:w="13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1.55</w:t>
            </w:r>
          </w:p>
        </w:tc>
        <w:tc>
          <w:tcPr>
            <w:tcW w:w="64" w:type="dxa"/>
            <w:tcBorders/>
            <w:shd w:fill="CCEEFF" w:val="clear"/>
            <w:vAlign w:val="center"/>
          </w:tcPr>
          <w:p>
            <w:pPr>
              <w:pStyle w:val="TableContents"/>
              <w:bidi w:val="0"/>
              <w:spacing w:before="0" w:after="0"/>
              <w:jc w:val="left"/>
              <w:rPr/>
            </w:pPr>
            <w:r>
              <w:rPr/>
              <w:t> </w:t>
            </w:r>
          </w:p>
        </w:tc>
        <w:tc>
          <w:tcPr>
            <w:tcW w:w="13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7.94</w:t>
            </w:r>
          </w:p>
        </w:tc>
      </w:tr>
    </w:tbl>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rFonts w:ascii="Times New Roman" w:hAnsi="Times New Roman"/>
          <w:sz w:val="20"/>
        </w:rPr>
        <w:t>For the three months ended July 31, 2026, there were 0.3</w:t>
      </w:r>
      <w:r>
        <w:rPr/>
        <w:t xml:space="preserve"> </w:t>
      </w:r>
      <w:r>
        <w:rPr>
          <w:rFonts w:ascii="Times New Roman" w:hAnsi="Times New Roman"/>
          <w:sz w:val="20"/>
        </w:rPr>
        <w:t>million incremental shares attributed to nonvested stock and outstanding options to purchase common stock. These shares were not included in the computation of diluted shares outstanding, because the effect would be anti-dilutive. There were no</w:t>
      </w:r>
      <w:r>
        <w:rPr/>
        <w:t xml:space="preserve"> </w:t>
      </w:r>
      <w:r>
        <w:rPr>
          <w:rFonts w:ascii="Times New Roman" w:hAnsi="Times New Roman"/>
          <w:sz w:val="20"/>
        </w:rPr>
        <w:t>anti-dilutive shares</w:t>
      </w:r>
      <w:r>
        <w:rPr/>
        <w:t> </w:t>
      </w:r>
      <w:r>
        <w:rPr>
          <w:rFonts w:ascii="Times New Roman" w:hAnsi="Times New Roman"/>
          <w:sz w:val="20"/>
        </w:rPr>
        <w:t>for the nine months ended July 31, 2026</w:t>
      </w:r>
      <w:r>
        <w:rPr/>
        <w:t xml:space="preserve"> </w:t>
      </w:r>
      <w:r>
        <w:rPr>
          <w:rFonts w:ascii="Times New Roman" w:hAnsi="Times New Roman"/>
          <w:sz w:val="20"/>
        </w:rPr>
        <w:t>and the three and nine months ended July 31, 2025.</w:t>
      </w:r>
    </w:p>
    <w:p>
      <w:pPr>
        <w:pStyle w:val="TextBody"/>
        <w:bidi w:val="0"/>
        <w:spacing w:lineRule="atLeast" w:line="240" w:before="0" w:after="0"/>
        <w:jc w:val="left"/>
        <w:rPr/>
      </w:pPr>
      <w:r>
        <w:rPr/>
        <w:t> </w:t>
      </w:r>
    </w:p>
    <w:tbl>
      <w:tblPr>
        <w:tblW w:w="1750" w:type="dxa"/>
        <w:jc w:val="left"/>
        <w:tblInd w:w="0" w:type="dxa"/>
        <w:tblLayout w:type="fixed"/>
        <w:tblCellMar>
          <w:top w:w="0" w:type="dxa"/>
          <w:left w:w="0" w:type="dxa"/>
          <w:bottom w:w="0" w:type="dxa"/>
          <w:right w:w="0" w:type="dxa"/>
        </w:tblCellMar>
      </w:tblPr>
      <w:tblGrid>
        <w:gridCol w:w="335"/>
        <w:gridCol w:w="1415"/>
      </w:tblGrid>
      <w:tr>
        <w:trPr/>
        <w:tc>
          <w:tcPr>
            <w:tcW w:w="335" w:type="dxa"/>
            <w:tcBorders/>
            <w:vAlign w:val="center"/>
          </w:tcPr>
          <w:p>
            <w:pPr>
              <w:pStyle w:val="TableContents"/>
              <w:bidi w:val="0"/>
              <w:spacing w:before="0" w:after="0"/>
              <w:jc w:val="left"/>
              <w:rPr>
                <w:sz w:val="20"/>
              </w:rPr>
            </w:pPr>
            <w:r>
              <w:rPr>
                <w:rFonts w:ascii="Times New Roman" w:hAnsi="Times New Roman"/>
                <w:b/>
                <w:sz w:val="20"/>
              </w:rPr>
              <w:t>14.</w:t>
            </w:r>
            <w:r>
              <w:rPr>
                <w:sz w:val="20"/>
              </w:rPr>
              <w:t xml:space="preserve"> </w:t>
            </w:r>
          </w:p>
        </w:tc>
        <w:tc>
          <w:tcPr>
            <w:tcW w:w="1415" w:type="dxa"/>
            <w:tcBorders/>
            <w:vAlign w:val="center"/>
          </w:tcPr>
          <w:p>
            <w:pPr>
              <w:pStyle w:val="TableContents"/>
              <w:bidi w:val="0"/>
              <w:spacing w:before="0" w:after="0"/>
              <w:jc w:val="left"/>
              <w:rPr>
                <w:sz w:val="20"/>
              </w:rPr>
            </w:pPr>
            <w:r>
              <w:rPr>
                <w:rFonts w:ascii="Times New Roman" w:hAnsi="Times New Roman"/>
                <w:b/>
                <w:sz w:val="20"/>
              </w:rPr>
              <w:t>Preferred Stock</w:t>
            </w:r>
            <w:r>
              <w:rPr>
                <w:sz w:val="20"/>
              </w:rPr>
              <w:t xml:space="preserve"> </w:t>
            </w:r>
          </w:p>
        </w:tc>
      </w:tr>
    </w:tbl>
    <w:p>
      <w:pPr>
        <w:pStyle w:val="TextBody"/>
        <w:bidi w:val="0"/>
        <w:spacing w:lineRule="atLeast" w:line="240" w:before="200" w:after="0"/>
        <w:ind w:left="0" w:right="0" w:firstLine="900"/>
        <w:jc w:val="left"/>
        <w:rPr/>
      </w:pPr>
      <w:r>
        <w:rPr>
          <w:rFonts w:ascii="Times New Roman" w:hAnsi="Times New Roman"/>
          <w:sz w:val="20"/>
        </w:rPr>
        <w:t>On July 12, 2005, we issued 5,600</w:t>
      </w:r>
      <w:r>
        <w:rPr/>
        <w:t xml:space="preserve"> </w:t>
      </w:r>
      <w:r>
        <w:rPr>
          <w:rFonts w:ascii="Times New Roman" w:hAnsi="Times New Roman"/>
          <w:sz w:val="20"/>
        </w:rPr>
        <w:t>shares of 7.625% Series A preferred stock, with a liquidation preference of $25,000</w:t>
      </w:r>
      <w:r>
        <w:rPr/>
        <w:t xml:space="preserve"> </w:t>
      </w:r>
      <w:r>
        <w:rPr>
          <w:rFonts w:ascii="Times New Roman" w:hAnsi="Times New Roman"/>
          <w:sz w:val="20"/>
        </w:rPr>
        <w:t>per share. Dividends on Series A preferred stock are not cumulative and are payable at an annual rate of 7.625%. The Series A preferred stock is not convertible into the Company’s common stock and is redeemable in whole or in part at our option at the liquidation preference of the shares. The Series A preferred stock is traded as depositary shares, with each depositary share representing 1/1000th</w:t>
      </w:r>
      <w:r>
        <w:rPr/>
        <w:t xml:space="preserve"> </w:t>
      </w:r>
      <w:r>
        <w:rPr>
          <w:rFonts w:ascii="Times New Roman" w:hAnsi="Times New Roman"/>
          <w:sz w:val="20"/>
        </w:rPr>
        <w:t>of a share of Series A preferred stock. We paid dividends of $2.7</w:t>
      </w:r>
      <w:r>
        <w:rPr/>
        <w:t> </w:t>
      </w:r>
      <w:r>
        <w:rPr>
          <w:rFonts w:ascii="Times New Roman" w:hAnsi="Times New Roman"/>
          <w:sz w:val="20"/>
        </w:rPr>
        <w:t>million</w:t>
      </w:r>
      <w:r>
        <w:rPr/>
        <w:t> </w:t>
      </w:r>
      <w:r>
        <w:rPr>
          <w:rFonts w:ascii="Times New Roman" w:hAnsi="Times New Roman"/>
          <w:sz w:val="20"/>
        </w:rPr>
        <w:t>and $8.0</w:t>
      </w:r>
      <w:r>
        <w:rPr/>
        <w:t> </w:t>
      </w:r>
      <w:r>
        <w:rPr>
          <w:rFonts w:ascii="Times New Roman" w:hAnsi="Times New Roman"/>
          <w:sz w:val="20"/>
        </w:rPr>
        <w:t>million</w:t>
      </w:r>
      <w:r>
        <w:rPr/>
        <w:t> </w:t>
      </w:r>
      <w:r>
        <w:rPr>
          <w:rFonts w:ascii="Times New Roman" w:hAnsi="Times New Roman"/>
          <w:sz w:val="20"/>
        </w:rPr>
        <w:t>on the Series A preferred stock for the</w:t>
      </w:r>
      <w:r>
        <w:rPr/>
        <w:t> </w:t>
      </w:r>
      <w:r>
        <w:rPr>
          <w:rFonts w:ascii="Times New Roman" w:hAnsi="Times New Roman"/>
          <w:sz w:val="20"/>
        </w:rPr>
        <w:t>three and nine</w:t>
      </w:r>
      <w:r>
        <w:rPr/>
        <w:t xml:space="preserve"> </w:t>
      </w:r>
      <w:r>
        <w:rPr>
          <w:rFonts w:ascii="Times New Roman" w:hAnsi="Times New Roman"/>
          <w:sz w:val="20"/>
        </w:rPr>
        <w:t>months ended July 31, 2026</w:t>
      </w:r>
      <w:r>
        <w:rPr/>
        <w:t> </w:t>
      </w:r>
      <w:r>
        <w:rPr>
          <w:rFonts w:ascii="Times New Roman" w:hAnsi="Times New Roman"/>
          <w:sz w:val="20"/>
        </w:rPr>
        <w:t>and</w:t>
      </w:r>
      <w:r>
        <w:rPr/>
        <w:t> </w:t>
      </w:r>
      <w:r>
        <w:rPr>
          <w:rFonts w:ascii="Times New Roman" w:hAnsi="Times New Roman"/>
          <w:sz w:val="20"/>
        </w:rPr>
        <w:t>2025, respectively.</w:t>
      </w:r>
    </w:p>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pPr>
      <w:hyperlink w:anchor="TOC">
        <w:r>
          <w:rPr>
            <w:rStyle w:val="InternetLink"/>
            <w:strike w:val="false"/>
            <w:dstrike w:val="false"/>
            <w:sz w:val="20"/>
            <w:u w:val="single"/>
            <w:effect w:val="none"/>
          </w:rPr>
          <w:t>Table of Contents</w:t>
        </w:r>
      </w:hyperlink>
    </w:p>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290"/>
        <w:gridCol w:w="1325"/>
      </w:tblGrid>
      <w:tr>
        <w:trPr/>
        <w:tc>
          <w:tcPr>
            <w:tcW w:w="2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15.</w:t>
            </w:r>
          </w:p>
        </w:tc>
        <w:tc>
          <w:tcPr>
            <w:tcW w:w="13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Common Stock</w:t>
            </w:r>
          </w:p>
        </w:tc>
      </w:tr>
    </w:tbl>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rFonts w:ascii="Times New Roman" w:hAnsi="Times New Roman"/>
          <w:sz w:val="20"/>
        </w:rPr>
        <w:t>Each share of Class</w:t>
      </w:r>
      <w:r>
        <w:rPr/>
        <w:t> </w:t>
      </w:r>
      <w:r>
        <w:rPr>
          <w:rFonts w:ascii="Times New Roman" w:hAnsi="Times New Roman"/>
          <w:sz w:val="20"/>
        </w:rPr>
        <w:t>A common stock entitles its holder to one</w:t>
      </w:r>
      <w:r>
        <w:rPr/>
        <w:t xml:space="preserve"> </w:t>
      </w:r>
      <w:r>
        <w:rPr>
          <w:rFonts w:ascii="Times New Roman" w:hAnsi="Times New Roman"/>
          <w:sz w:val="20"/>
        </w:rPr>
        <w:t>vote per share, and each share of Class</w:t>
      </w:r>
      <w:r>
        <w:rPr/>
        <w:t> </w:t>
      </w:r>
      <w:r>
        <w:rPr>
          <w:rFonts w:ascii="Times New Roman" w:hAnsi="Times New Roman"/>
          <w:sz w:val="20"/>
        </w:rPr>
        <w:t>B common stock generally entitles its holder to ten</w:t>
      </w:r>
      <w:r>
        <w:rPr/>
        <w:t xml:space="preserve"> </w:t>
      </w:r>
      <w:r>
        <w:rPr>
          <w:rFonts w:ascii="Times New Roman" w:hAnsi="Times New Roman"/>
          <w:sz w:val="20"/>
        </w:rPr>
        <w:t>votes per share. The amount of any regular cash dividend payable on a share of Class</w:t>
      </w:r>
      <w:r>
        <w:rPr/>
        <w:t> </w:t>
      </w:r>
      <w:r>
        <w:rPr>
          <w:rFonts w:ascii="Times New Roman" w:hAnsi="Times New Roman"/>
          <w:sz w:val="20"/>
        </w:rPr>
        <w:t>A common stock will be an amount equal to 110% of the corresponding regular cash dividend payable on a share of Class</w:t>
      </w:r>
      <w:r>
        <w:rPr/>
        <w:t> </w:t>
      </w:r>
      <w:r>
        <w:rPr>
          <w:rFonts w:ascii="Times New Roman" w:hAnsi="Times New Roman"/>
          <w:sz w:val="20"/>
        </w:rPr>
        <w:t>B common stock. If a shareholder desires to sell shares of Class</w:t>
      </w:r>
      <w:r>
        <w:rPr/>
        <w:t> </w:t>
      </w:r>
      <w:r>
        <w:rPr>
          <w:rFonts w:ascii="Times New Roman" w:hAnsi="Times New Roman"/>
          <w:sz w:val="20"/>
        </w:rPr>
        <w:t>B common stock, such stock must be converted into shares of Class</w:t>
      </w:r>
      <w:r>
        <w:rPr/>
        <w:t> </w:t>
      </w:r>
      <w:r>
        <w:rPr>
          <w:rFonts w:ascii="Times New Roman" w:hAnsi="Times New Roman"/>
          <w:sz w:val="20"/>
        </w:rPr>
        <w:t>A common stock at a one-to-one conversion rate.</w:t>
      </w:r>
    </w:p>
    <w:p>
      <w:pPr>
        <w:pStyle w:val="TextBody"/>
        <w:bidi w:val="0"/>
        <w:spacing w:before="0" w:after="0"/>
        <w:jc w:val="left"/>
        <w:rPr/>
      </w:pPr>
      <w:r>
        <w:rPr/>
        <w:t> </w:t>
      </w:r>
    </w:p>
    <w:p>
      <w:pPr>
        <w:pStyle w:val="TextBody"/>
        <w:bidi w:val="0"/>
        <w:spacing w:lineRule="atLeast" w:line="240" w:before="0" w:after="0"/>
        <w:ind w:left="0" w:right="0" w:firstLine="900"/>
        <w:jc w:val="left"/>
        <w:rPr/>
      </w:pPr>
      <w:r>
        <w:rPr>
          <w:rFonts w:ascii="Times New Roman" w:hAnsi="Times New Roman"/>
          <w:sz w:val="20"/>
        </w:rPr>
        <w:t>On August</w:t>
      </w:r>
      <w:r>
        <w:rPr/>
        <w:t> </w:t>
      </w:r>
      <w:r>
        <w:rPr>
          <w:rFonts w:ascii="Times New Roman" w:hAnsi="Times New Roman"/>
          <w:sz w:val="20"/>
        </w:rPr>
        <w:t>4, 2008,</w:t>
      </w:r>
      <w:r>
        <w:rPr/>
        <w:t> </w:t>
      </w:r>
      <w:r>
        <w:rPr>
          <w:rFonts w:ascii="Times New Roman" w:hAnsi="Times New Roman"/>
          <w:sz w:val="20"/>
        </w:rPr>
        <w:t>the Board adopted a shareholder rights plan (the “Rights Plan”), which was amended on January 11, 2018,</w:t>
      </w:r>
      <w:r>
        <w:rPr/>
        <w:t> </w:t>
      </w:r>
      <w:r>
        <w:rPr>
          <w:rFonts w:ascii="Times New Roman" w:hAnsi="Times New Roman"/>
          <w:sz w:val="20"/>
        </w:rPr>
        <w:t>January 18, 2021, and January 11, 2024, and which is</w:t>
      </w:r>
      <w:r>
        <w:rPr/>
        <w:t> </w:t>
      </w:r>
      <w:r>
        <w:rPr>
          <w:rFonts w:ascii="Times New Roman" w:hAnsi="Times New Roman"/>
          <w:sz w:val="20"/>
        </w:rPr>
        <w:t>designed to preserve shareholder value and the value of certain tax assets primarily associated with net operating loss (“NOL”) carryforwards and built-in losses under Section</w:t>
      </w:r>
      <w:r>
        <w:rPr/>
        <w:t> </w:t>
      </w:r>
      <w:r>
        <w:rPr>
          <w:rFonts w:ascii="Times New Roman" w:hAnsi="Times New Roman"/>
          <w:sz w:val="20"/>
        </w:rPr>
        <w:t>382 of the Internal Revenue Code. Our ability to use NOLs and built-in losses would be limited if there was an “ownership change” under Section</w:t>
      </w:r>
      <w:r>
        <w:rPr/>
        <w:t> </w:t>
      </w:r>
      <w:r>
        <w:rPr>
          <w:rFonts w:ascii="Times New Roman" w:hAnsi="Times New Roman"/>
          <w:sz w:val="20"/>
        </w:rPr>
        <w:t>382. This would occur if shareholders owning (or deemed under Section</w:t>
      </w:r>
      <w:r>
        <w:rPr/>
        <w:t> </w:t>
      </w:r>
      <w:r>
        <w:rPr>
          <w:rFonts w:ascii="Times New Roman" w:hAnsi="Times New Roman"/>
          <w:sz w:val="20"/>
        </w:rPr>
        <w:t>382 to own) 5% or more of our stock increase their collective ownership of the aggregate amount of our outstanding shares by more than 50</w:t>
      </w:r>
      <w:r>
        <w:rPr/>
        <w:t> </w:t>
      </w:r>
      <w:r>
        <w:rPr>
          <w:rFonts w:ascii="Times New Roman" w:hAnsi="Times New Roman"/>
          <w:sz w:val="20"/>
        </w:rPr>
        <w:t>percentage points over a defined period of time. The Rights Plan was adopted to reduce the likelihood of an “ownership change” occurring as defined by Section</w:t>
      </w:r>
      <w:r>
        <w:rPr/>
        <w:t> </w:t>
      </w:r>
      <w:r>
        <w:rPr>
          <w:rFonts w:ascii="Times New Roman" w:hAnsi="Times New Roman"/>
          <w:sz w:val="20"/>
        </w:rPr>
        <w:t>382. Under the Rights Plan, one</w:t>
      </w:r>
      <w:r>
        <w:rPr/>
        <w:t xml:space="preserve"> </w:t>
      </w:r>
      <w:r>
        <w:rPr>
          <w:rFonts w:ascii="Times New Roman" w:hAnsi="Times New Roman"/>
          <w:sz w:val="20"/>
        </w:rPr>
        <w:t>right was distributed for each share of Class</w:t>
      </w:r>
      <w:r>
        <w:rPr/>
        <w:t> </w:t>
      </w:r>
      <w:r>
        <w:rPr>
          <w:rFonts w:ascii="Times New Roman" w:hAnsi="Times New Roman"/>
          <w:sz w:val="20"/>
        </w:rPr>
        <w:t>A common Stock and Class</w:t>
      </w:r>
      <w:r>
        <w:rPr/>
        <w:t> </w:t>
      </w:r>
      <w:r>
        <w:rPr>
          <w:rFonts w:ascii="Times New Roman" w:hAnsi="Times New Roman"/>
          <w:sz w:val="20"/>
        </w:rPr>
        <w:t>B common Stock outstanding as of the close of business on August</w:t>
      </w:r>
      <w:r>
        <w:rPr/>
        <w:t> </w:t>
      </w:r>
      <w:r>
        <w:rPr>
          <w:rFonts w:ascii="Times New Roman" w:hAnsi="Times New Roman"/>
          <w:sz w:val="20"/>
        </w:rPr>
        <w:t>15, 2008. Effective August</w:t>
      </w:r>
      <w:r>
        <w:rPr/>
        <w:t> </w:t>
      </w:r>
      <w:r>
        <w:rPr>
          <w:rFonts w:ascii="Times New Roman" w:hAnsi="Times New Roman"/>
          <w:sz w:val="20"/>
        </w:rPr>
        <w:t>15, 2008, if any person or group acquires 4.9% or more of the outstanding shares of Class</w:t>
      </w:r>
      <w:r>
        <w:rPr/>
        <w:t> </w:t>
      </w:r>
      <w:r>
        <w:rPr>
          <w:rFonts w:ascii="Times New Roman" w:hAnsi="Times New Roman"/>
          <w:sz w:val="20"/>
        </w:rPr>
        <w:t>A common stock without the approval of the Board, there would be a triggering event causing significant dilution in the voting power of such person or group. However, existing shareholders who owned, at the time of the Rights Plan’s initial adoption on August 4, 2008, 4.9% or more of the outstanding shares of Class</w:t>
      </w:r>
      <w:r>
        <w:rPr/>
        <w:t> </w:t>
      </w:r>
      <w:r>
        <w:rPr>
          <w:rFonts w:ascii="Times New Roman" w:hAnsi="Times New Roman"/>
          <w:sz w:val="20"/>
        </w:rPr>
        <w:t>A common stock will trigger a dilutive event only if they acquire additional shares. The approval of the Board’s decision to adopt the Rights Plan may be terminated by the Board at any time prior to the Rights being triggered. The Rights Plan will continue in effect until August</w:t>
      </w:r>
      <w:r>
        <w:rPr/>
        <w:t> </w:t>
      </w:r>
      <w:r>
        <w:rPr>
          <w:rFonts w:ascii="Times New Roman" w:hAnsi="Times New Roman"/>
          <w:sz w:val="20"/>
        </w:rPr>
        <w:t>14, 2027, unless it expires earlier in accordance with its terms. The approval of the Board’s decision to initially adopt the Rights Plan and Amendments Nos. 1, 2 and 3 thereto were</w:t>
      </w:r>
      <w:r>
        <w:rPr/>
        <w:t> </w:t>
      </w:r>
      <w:r>
        <w:rPr>
          <w:rFonts w:ascii="Times New Roman" w:hAnsi="Times New Roman"/>
          <w:sz w:val="20"/>
        </w:rPr>
        <w:t>approved by shareholders. Our shareholders also approved an amendment to our Certificate of Incorporation to restrict certain transfers of Class A common stock in order to preserve the tax treatment of our NOLs and built-in losses under Section</w:t>
      </w:r>
      <w:r>
        <w:rPr/>
        <w:t> </w:t>
      </w:r>
      <w:r>
        <w:rPr>
          <w:rFonts w:ascii="Times New Roman" w:hAnsi="Times New Roman"/>
          <w:sz w:val="20"/>
        </w:rPr>
        <w:t>382 of the Internal Revenue Code. Subject to certain exceptions pertaining to pre-existing 5% shareholders and holders of Class B common stock, the transfer restrictions in our Restated Certificate of Incorporation generally restrict any direct or indirect transfer (such as transfers of our stock that result from the transfer of interests in other entities that own our stock) if the effect would be to (i) increase the direct or indirect ownership of our stock by any person (or public group) from less than 5% to 5% or more of our common stock; (ii) increase the percentage of our common stock owned directly or indirectly by a person (or public group) owning or deemed to own 5% or more of our common stock; or (iii) create a new “public group” (as defined in the applicable U.S. Treasury regulations). Transfers included under the transfer restrictions include sales to persons (or public groups) whose resulting percentage ownership (direct or indirect) of common stock would exceed the 5% thresholds discussed above, or to persons whose direct or indirect ownership of common stock would by attribution cause another person (or public group) to exceed such threshold.</w:t>
      </w:r>
      <w:r>
        <w:rPr/>
        <w:t> </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rFonts w:ascii="Times New Roman" w:hAnsi="Times New Roman"/>
          <w:sz w:val="20"/>
        </w:rPr>
        <w:t>On December 18, 2024, the Board authorized an incremental increase to our repurchase program and on April 11, 2025, the Board authorized another increase to our repurchase program,</w:t>
      </w:r>
      <w:r>
        <w:rPr/>
        <w:t> </w:t>
      </w:r>
      <w:r>
        <w:rPr>
          <w:rFonts w:ascii="Times New Roman" w:hAnsi="Times New Roman"/>
          <w:sz w:val="20"/>
        </w:rPr>
        <w:t>such that, inclusive of any amounts remaining under the existing repurchase authorization, as of April 11, 2025, we were authorized to repurchase up to $30.6</w:t>
      </w:r>
      <w:r>
        <w:rPr/>
        <w:t xml:space="preserve"> </w:t>
      </w:r>
      <w:r>
        <w:rPr>
          <w:rFonts w:ascii="Times New Roman" w:hAnsi="Times New Roman"/>
          <w:sz w:val="20"/>
        </w:rPr>
        <w:t>million of our Class A common stock.</w:t>
      </w:r>
      <w:r>
        <w:rPr/>
        <w:t> </w:t>
      </w:r>
      <w:r>
        <w:rPr>
          <w:rFonts w:ascii="Times New Roman" w:hAnsi="Times New Roman"/>
          <w:sz w:val="20"/>
        </w:rPr>
        <w:t>On February 27, 2026,</w:t>
      </w:r>
      <w:r>
        <w:rPr/>
        <w:t> </w:t>
      </w:r>
      <w:r>
        <w:rPr>
          <w:rFonts w:ascii="Times New Roman" w:hAnsi="Times New Roman"/>
          <w:sz w:val="20"/>
        </w:rPr>
        <w:t>the Board further authorized an incremental increase of $50.0</w:t>
      </w:r>
      <w:r>
        <w:rPr/>
        <w:t xml:space="preserve"> </w:t>
      </w:r>
      <w:r>
        <w:rPr>
          <w:rFonts w:ascii="Times New Roman" w:hAnsi="Times New Roman"/>
          <w:sz w:val="20"/>
        </w:rPr>
        <w:t>million to our repurchase program,</w:t>
      </w:r>
      <w:r>
        <w:rPr/>
        <w:t> </w:t>
      </w:r>
      <w:r>
        <w:rPr>
          <w:rFonts w:ascii="Times New Roman" w:hAnsi="Times New Roman"/>
          <w:sz w:val="20"/>
        </w:rPr>
        <w:t>such that, inclusive of any amounts remaining under the existing repurchase authorization, as of February 27, 2026, we were authorized to repurchase up to $67.4</w:t>
      </w:r>
      <w:r>
        <w:rPr/>
        <w:t xml:space="preserve"> </w:t>
      </w:r>
      <w:r>
        <w:rPr>
          <w:rFonts w:ascii="Times New Roman" w:hAnsi="Times New Roman"/>
          <w:sz w:val="20"/>
        </w:rPr>
        <w:t>million of our Class A common stock.</w:t>
      </w:r>
      <w:r>
        <w:rPr/>
        <w:t> </w:t>
      </w:r>
      <w:r>
        <w:rPr>
          <w:rFonts w:ascii="Times New Roman" w:hAnsi="Times New Roman"/>
          <w:sz w:val="20"/>
        </w:rPr>
        <w:t>Under the program, repurchases may be made from time to time in open market transactions, in privately negotiated transactions or otherwise. The timing and the actual dollar amount repurchased will depend on a variety of factors, including legal requirements, price, future tax implications and economic and market conditions. The repurchase program may be changed, suspended or discontinued at any time and does not have a specified expiration date.</w:t>
      </w:r>
    </w:p>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rFonts w:ascii="Times New Roman" w:hAnsi="Times New Roman"/>
          <w:sz w:val="20"/>
        </w:rPr>
        <w:t>During</w:t>
      </w:r>
      <w:r>
        <w:rPr/>
        <w:t> </w:t>
      </w:r>
      <w:r>
        <w:rPr>
          <w:rFonts w:ascii="Times New Roman" w:hAnsi="Times New Roman"/>
          <w:sz w:val="20"/>
        </w:rPr>
        <w:t>the nine months ended July 31, 2026, we repurchased 175,905</w:t>
      </w:r>
      <w:r>
        <w:rPr/>
        <w:t> </w:t>
      </w:r>
      <w:r>
        <w:rPr>
          <w:rFonts w:ascii="Times New Roman" w:hAnsi="Times New Roman"/>
          <w:sz w:val="20"/>
        </w:rPr>
        <w:t>shares under the stock repurchase program, with a market value of $18.5</w:t>
      </w:r>
      <w:r>
        <w:rPr/>
        <w:t xml:space="preserve"> </w:t>
      </w:r>
      <w:r>
        <w:rPr>
          <w:rFonts w:ascii="Times New Roman" w:hAnsi="Times New Roman"/>
          <w:sz w:val="20"/>
        </w:rPr>
        <w:t>million, or $104.98</w:t>
      </w:r>
      <w:r>
        <w:rPr/>
        <w:t xml:space="preserve"> </w:t>
      </w:r>
      <w:r>
        <w:rPr>
          <w:rFonts w:ascii="Times New Roman" w:hAnsi="Times New Roman"/>
          <w:sz w:val="20"/>
        </w:rPr>
        <w:t>per share. During</w:t>
      </w:r>
      <w:r>
        <w:rPr/>
        <w:t> </w:t>
      </w:r>
      <w:r>
        <w:rPr>
          <w:rFonts w:ascii="Times New Roman" w:hAnsi="Times New Roman"/>
          <w:sz w:val="20"/>
        </w:rPr>
        <w:t>the</w:t>
      </w:r>
      <w:r>
        <w:rPr/>
        <w:t> </w:t>
      </w:r>
      <w:r>
        <w:rPr>
          <w:rFonts w:ascii="Times New Roman" w:hAnsi="Times New Roman"/>
          <w:sz w:val="20"/>
        </w:rPr>
        <w:t>nine months ended July 31, 2025, we repurchased</w:t>
      </w:r>
      <w:r>
        <w:rPr/>
        <w:t> </w:t>
      </w:r>
      <w:r>
        <w:rPr>
          <w:rFonts w:ascii="Times New Roman" w:hAnsi="Times New Roman"/>
          <w:sz w:val="20"/>
        </w:rPr>
        <w:t>257,908</w:t>
      </w:r>
      <w:r>
        <w:rPr/>
        <w:t> </w:t>
      </w:r>
      <w:r>
        <w:rPr>
          <w:rFonts w:ascii="Times New Roman" w:hAnsi="Times New Roman"/>
          <w:sz w:val="20"/>
        </w:rPr>
        <w:t>shares under the stock repurchase program, with a market value of $30.1</w:t>
      </w:r>
      <w:r>
        <w:rPr/>
        <w:t> </w:t>
      </w:r>
      <w:r>
        <w:rPr>
          <w:rFonts w:ascii="Times New Roman" w:hAnsi="Times New Roman"/>
          <w:sz w:val="20"/>
        </w:rPr>
        <w:t>million, or $116.70</w:t>
      </w:r>
      <w:r>
        <w:rPr/>
        <w:t> </w:t>
      </w:r>
      <w:r>
        <w:rPr>
          <w:rFonts w:ascii="Times New Roman" w:hAnsi="Times New Roman"/>
          <w:sz w:val="20"/>
        </w:rPr>
        <w:t>per share.</w:t>
      </w:r>
      <w:r>
        <w:rPr/>
        <w:t> </w:t>
      </w:r>
      <w:r>
        <w:rPr>
          <w:rFonts w:ascii="Times New Roman" w:hAnsi="Times New Roman"/>
          <w:sz w:val="20"/>
        </w:rPr>
        <w:t>The repurchased shares</w:t>
      </w:r>
      <w:r>
        <w:rPr/>
        <w:t> </w:t>
      </w:r>
      <w:r>
        <w:rPr>
          <w:rFonts w:ascii="Times New Roman" w:hAnsi="Times New Roman"/>
          <w:sz w:val="20"/>
        </w:rPr>
        <w:t>were added to "Treasury stock" on the Condensed Consolidated Balance Sheets.</w:t>
      </w:r>
      <w:r>
        <w:rPr/>
        <w:t> </w:t>
      </w:r>
      <w:r>
        <w:rPr>
          <w:rFonts w:ascii="Times New Roman" w:hAnsi="Times New Roman"/>
          <w:sz w:val="20"/>
        </w:rPr>
        <w:t>As of July 31, 2026, $57.9</w:t>
      </w:r>
      <w:r>
        <w:rPr/>
        <w:t> </w:t>
      </w:r>
      <w:r>
        <w:rPr>
          <w:rFonts w:ascii="Times New Roman" w:hAnsi="Times New Roman"/>
          <w:sz w:val="20"/>
        </w:rPr>
        <w:t>million of our Class A common stock was available to be purchased under the stock repurchase program.</w:t>
      </w:r>
    </w:p>
    <w:p>
      <w:pPr>
        <w:pStyle w:val="TextBody"/>
        <w:bidi w:val="0"/>
        <w:spacing w:lineRule="atLeast" w:line="240" w:before="0" w:after="0"/>
        <w:ind w:left="0" w:right="0" w:firstLine="90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r>
        <w:br w:type="page"/>
      </w:r>
    </w:p>
    <w:p>
      <w:pPr>
        <w:pStyle w:val="TextBody"/>
        <w:bidi w:val="0"/>
        <w:spacing w:before="0" w:after="0"/>
        <w:jc w:val="left"/>
        <w:rPr/>
      </w:pPr>
      <w:hyperlink w:anchor="TOC">
        <w:r>
          <w:rPr>
            <w:rStyle w:val="InternetLink"/>
            <w:strike w:val="false"/>
            <w:dstrike w:val="false"/>
            <w:sz w:val="20"/>
            <w:u w:val="single"/>
            <w:effect w:val="none"/>
          </w:rPr>
          <w:t>Table of Contents</w:t>
        </w:r>
      </w:hyperlink>
    </w:p>
    <w:p>
      <w:pPr>
        <w:pStyle w:val="TextBody"/>
        <w:bidi w:val="0"/>
        <w:spacing w:lineRule="atLeast" w:line="240" w:before="0" w:after="0"/>
        <w:jc w:val="left"/>
        <w:rPr/>
      </w:pPr>
      <w:r>
        <w:rPr/>
        <w:t> </w:t>
      </w:r>
    </w:p>
    <w:tbl>
      <w:tblPr>
        <w:tblW w:w="1705" w:type="dxa"/>
        <w:jc w:val="left"/>
        <w:tblInd w:w="0" w:type="dxa"/>
        <w:tblLayout w:type="fixed"/>
        <w:tblCellMar>
          <w:top w:w="0" w:type="dxa"/>
          <w:left w:w="0" w:type="dxa"/>
          <w:bottom w:w="0" w:type="dxa"/>
          <w:right w:w="0" w:type="dxa"/>
        </w:tblCellMar>
      </w:tblPr>
      <w:tblGrid>
        <w:gridCol w:w="335"/>
        <w:gridCol w:w="1370"/>
      </w:tblGrid>
      <w:tr>
        <w:trPr/>
        <w:tc>
          <w:tcPr>
            <w:tcW w:w="335" w:type="dxa"/>
            <w:tcBorders/>
            <w:vAlign w:val="center"/>
          </w:tcPr>
          <w:p>
            <w:pPr>
              <w:pStyle w:val="TableContents"/>
              <w:bidi w:val="0"/>
              <w:spacing w:before="0" w:after="0"/>
              <w:jc w:val="left"/>
              <w:rPr>
                <w:sz w:val="20"/>
              </w:rPr>
            </w:pPr>
            <w:r>
              <w:rPr>
                <w:rFonts w:ascii="Times New Roman" w:hAnsi="Times New Roman"/>
                <w:b/>
                <w:sz w:val="20"/>
              </w:rPr>
              <w:t>16.</w:t>
            </w:r>
            <w:r>
              <w:rPr>
                <w:sz w:val="20"/>
              </w:rPr>
              <w:t xml:space="preserve"> </w:t>
            </w:r>
          </w:p>
        </w:tc>
        <w:tc>
          <w:tcPr>
            <w:tcW w:w="1370" w:type="dxa"/>
            <w:tcBorders/>
            <w:vAlign w:val="center"/>
          </w:tcPr>
          <w:p>
            <w:pPr>
              <w:pStyle w:val="TableContents"/>
              <w:bidi w:val="0"/>
              <w:spacing w:before="0" w:after="0"/>
              <w:jc w:val="left"/>
              <w:rPr/>
            </w:pPr>
            <w:r>
              <w:rPr/>
              <w:t> </w:t>
            </w:r>
            <w:r>
              <w:rPr>
                <w:rFonts w:ascii="Times New Roman" w:hAnsi="Times New Roman"/>
                <w:b/>
                <w:sz w:val="20"/>
              </w:rPr>
              <w:t>Income Taxes</w:t>
            </w:r>
            <w:r>
              <w:rPr>
                <w:sz w:val="20"/>
              </w:rPr>
              <w:t xml:space="preserve">  </w:t>
            </w:r>
          </w:p>
        </w:tc>
      </w:tr>
    </w:tbl>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rFonts w:ascii="Times New Roman" w:hAnsi="Times New Roman"/>
          <w:sz w:val="20"/>
        </w:rPr>
        <w:t>For the three and nine</w:t>
      </w:r>
      <w:r>
        <w:rPr/>
        <w:t xml:space="preserve"> </w:t>
      </w:r>
      <w:r>
        <w:rPr>
          <w:rFonts w:ascii="Times New Roman" w:hAnsi="Times New Roman"/>
          <w:sz w:val="20"/>
        </w:rPr>
        <w:t>months ended July 31, 2026, we recorded income tax (benefit) expense of $(0.6) million and $8.2</w:t>
      </w:r>
      <w:r>
        <w:rPr/>
        <w:t xml:space="preserve"> </w:t>
      </w:r>
      <w:r>
        <w:rPr>
          <w:rFonts w:ascii="Times New Roman" w:hAnsi="Times New Roman"/>
          <w:sz w:val="20"/>
        </w:rPr>
        <w:t>million, respectively, and $7.2</w:t>
      </w:r>
      <w:r>
        <w:rPr/>
        <w:t xml:space="preserve"> </w:t>
      </w:r>
      <w:r>
        <w:rPr>
          <w:rFonts w:ascii="Times New Roman" w:hAnsi="Times New Roman"/>
          <w:sz w:val="20"/>
        </w:rPr>
        <w:t>million and $25.7</w:t>
      </w:r>
      <w:r>
        <w:rPr/>
        <w:t xml:space="preserve"> </w:t>
      </w:r>
      <w:r>
        <w:rPr>
          <w:rFonts w:ascii="Times New Roman" w:hAnsi="Times New Roman"/>
          <w:sz w:val="20"/>
        </w:rPr>
        <w:t>million for the same periods in the prior year. The income tax expense or benefit in each period was primarily attributable to federal and state taxes on income or loss before income taxes and permanent differences, partially offset by home energy credits. Federal tax expense is not paid in cash as it is offset by the use of our existing NOL carryforwards.</w:t>
      </w:r>
      <w:r>
        <w:rPr/>
        <w:t> </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rFonts w:ascii="Times New Roman" w:hAnsi="Times New Roman"/>
          <w:sz w:val="20"/>
        </w:rPr>
      </w:pPr>
      <w:r>
        <w:rPr>
          <w:rFonts w:ascii="Times New Roman" w:hAnsi="Times New Roman"/>
          <w:sz w:val="20"/>
        </w:rPr>
        <w:t>The Company recognizes deferred income taxes for deferred tax benefits arising from NOL carryforwards and temporary differences between book and tax income which will be recognized in future years as an offset against future taxable income. As part of our analysis, we considered both positive and negative factors that impact profitability and whether those factors would lead to a change in estimate of our deferred tax assets (“DTAs”) that may be realized in the future. At July 31, 2026, the Company has determined that it is more likely than not that sufficient taxable income will be generated in the future to realize its DTAs, net of any state valuation allowances.</w:t>
      </w:r>
    </w:p>
    <w:p>
      <w:pPr>
        <w:pStyle w:val="TextBody"/>
        <w:bidi w:val="0"/>
        <w:spacing w:before="0" w:after="0"/>
        <w:jc w:val="left"/>
        <w:rPr/>
      </w:pPr>
      <w:r>
        <w:rPr/>
        <w:t> </w:t>
      </w:r>
    </w:p>
    <w:tbl>
      <w:tblPr>
        <w:tblW w:w="3385" w:type="dxa"/>
        <w:jc w:val="left"/>
        <w:tblInd w:w="0" w:type="dxa"/>
        <w:tblLayout w:type="fixed"/>
        <w:tblCellMar>
          <w:top w:w="0" w:type="dxa"/>
          <w:left w:w="0" w:type="dxa"/>
          <w:bottom w:w="0" w:type="dxa"/>
          <w:right w:w="0" w:type="dxa"/>
        </w:tblCellMar>
      </w:tblPr>
      <w:tblGrid>
        <w:gridCol w:w="335"/>
        <w:gridCol w:w="3050"/>
      </w:tblGrid>
      <w:tr>
        <w:trPr/>
        <w:tc>
          <w:tcPr>
            <w:tcW w:w="3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17. </w:t>
            </w:r>
          </w:p>
        </w:tc>
        <w:tc>
          <w:tcPr>
            <w:tcW w:w="30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Operating and Reporting Segments </w:t>
            </w:r>
          </w:p>
        </w:tc>
      </w:tr>
    </w:tbl>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rFonts w:ascii="Times New Roman" w:hAnsi="Times New Roman"/>
          <w:sz w:val="20"/>
        </w:rPr>
      </w:pPr>
      <w:r>
        <w:rPr>
          <w:rFonts w:ascii="Times New Roman" w:hAnsi="Times New Roman"/>
          <w:sz w:val="20"/>
        </w:rPr>
        <w:t xml:space="preserve">HEI’s operating segments are components of the Company’s business for which discrete financial information is available and reviewed regularly by the chief operating decision maker, our Chief Executive Officer, to evaluate performance, make resource allocations and guide strategic decisions. The Chief Executive Officer uses income (loss) before income taxes as the key operating metric used to measure segment profit or loss. Actual income (loss) before income taxes is reviewed monthly against budgeted amounts from the semi-annual financial plans. </w:t>
      </w:r>
    </w:p>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rFonts w:ascii="Times New Roman" w:hAnsi="Times New Roman"/>
          <w:sz w:val="20"/>
        </w:rPr>
        <w:t>We currently have homebuilding operations in 13</w:t>
      </w:r>
      <w:r>
        <w:rPr/>
        <w:t xml:space="preserve"> </w:t>
      </w:r>
      <w:r>
        <w:rPr>
          <w:rFonts w:ascii="Times New Roman" w:hAnsi="Times New Roman"/>
          <w:sz w:val="20"/>
        </w:rPr>
        <w:t>states that are aggregated into reportable segments based primarily upon geographic proximity.</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rFonts w:ascii="Times New Roman" w:hAnsi="Times New Roman"/>
          <w:sz w:val="20"/>
        </w:rPr>
        <w:t>HEI’s reportable segments consist of the following three</w:t>
      </w:r>
      <w:r>
        <w:rPr/>
        <w:t xml:space="preserve"> </w:t>
      </w:r>
      <w:r>
        <w:rPr>
          <w:rFonts w:ascii="Times New Roman" w:hAnsi="Times New Roman"/>
          <w:sz w:val="20"/>
        </w:rPr>
        <w:t>homebuilding segments and a financial services segment.</w:t>
      </w:r>
    </w:p>
    <w:p>
      <w:pPr>
        <w:pStyle w:val="TextBody"/>
        <w:bidi w:val="0"/>
        <w:spacing w:lineRule="atLeast" w:line="240" w:before="0" w:after="0"/>
        <w:jc w:val="left"/>
        <w:rPr/>
      </w:pPr>
      <w:r>
        <w:rPr/>
        <w:t> </w:t>
      </w:r>
    </w:p>
    <w:p>
      <w:pPr>
        <w:pStyle w:val="TextBody"/>
        <w:bidi w:val="0"/>
        <w:spacing w:lineRule="atLeast" w:line="240" w:before="0" w:after="0"/>
        <w:ind w:left="0" w:right="0" w:firstLine="360"/>
        <w:jc w:val="left"/>
        <w:rPr>
          <w:rFonts w:ascii="Times New Roman" w:hAnsi="Times New Roman"/>
          <w:sz w:val="20"/>
        </w:rPr>
      </w:pPr>
      <w:r>
        <w:rPr>
          <w:rFonts w:ascii="Times New Roman" w:hAnsi="Times New Roman"/>
          <w:sz w:val="20"/>
        </w:rPr>
        <w:t>Homebuilding:</w:t>
      </w:r>
    </w:p>
    <w:p>
      <w:pPr>
        <w:pStyle w:val="TextBody"/>
        <w:bidi w:val="0"/>
        <w:spacing w:lineRule="atLeast" w:line="240" w:before="0" w:after="0"/>
        <w:jc w:val="left"/>
        <w:rPr/>
      </w:pPr>
      <w:r>
        <w:rPr/>
        <w:t> </w:t>
      </w:r>
    </w:p>
    <w:tbl>
      <w:tblPr>
        <w:tblW w:w="7930" w:type="dxa"/>
        <w:jc w:val="left"/>
        <w:tblInd w:w="0" w:type="dxa"/>
        <w:tblLayout w:type="fixed"/>
        <w:tblCellMar>
          <w:top w:w="0" w:type="dxa"/>
          <w:left w:w="0" w:type="dxa"/>
          <w:bottom w:w="0" w:type="dxa"/>
          <w:right w:w="0" w:type="dxa"/>
        </w:tblCellMar>
      </w:tblPr>
      <w:tblGrid>
        <w:gridCol w:w="75"/>
        <w:gridCol w:w="290"/>
        <w:gridCol w:w="7565"/>
      </w:tblGrid>
      <w:tr>
        <w:trPr/>
        <w:tc>
          <w:tcPr>
            <w:tcW w:w="75"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 </w:t>
            </w:r>
          </w:p>
        </w:tc>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Northeast (Delaware, Maryland, New Jersey, Ohio, Pennsylvania, Virginia and West Virginia)</w:t>
            </w:r>
          </w:p>
        </w:tc>
      </w:tr>
      <w:tr>
        <w:trPr/>
        <w:tc>
          <w:tcPr>
            <w:tcW w:w="75"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w:t>
            </w:r>
          </w:p>
        </w:tc>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Southeast (Florida, Georgia and South Carolina)</w:t>
            </w:r>
          </w:p>
        </w:tc>
      </w:tr>
      <w:tr>
        <w:trPr/>
        <w:tc>
          <w:tcPr>
            <w:tcW w:w="75"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w:t>
            </w:r>
          </w:p>
        </w:tc>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West (Arizona, California and Texas) </w:t>
            </w:r>
          </w:p>
        </w:tc>
      </w:tr>
    </w:tbl>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rFonts w:ascii="Times New Roman" w:hAnsi="Times New Roman"/>
          <w:sz w:val="20"/>
        </w:rPr>
      </w:pPr>
      <w:r>
        <w:rPr>
          <w:rFonts w:ascii="Times New Roman" w:hAnsi="Times New Roman"/>
          <w:sz w:val="20"/>
        </w:rPr>
        <w:t>Operations of the homebuilding segments primarily include the sale and construction of single-family attached and detached homes, attached townhomes and condominiums, urban infill and active lifestyle homes in planned residential developments. In addition, from time to time, operations of the homebuilding segments include sales of land. Operations of the financial services segment include mortgage banking and title services provided to the homebuilding operations’ customers. Our financial services subsidiaries do not typically retain or service mortgages that we originate but sell the mortgages and related servicing rights to investors.</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rFonts w:ascii="Times New Roman" w:hAnsi="Times New Roman"/>
          <w:sz w:val="20"/>
        </w:rPr>
      </w:pPr>
      <w:r>
        <w:rPr>
          <w:rFonts w:ascii="Times New Roman" w:hAnsi="Times New Roman"/>
          <w:sz w:val="20"/>
        </w:rPr>
        <w:t>Financial information relating to our reportable segments was as follows:</w:t>
      </w:r>
    </w:p>
    <w:p>
      <w:pPr>
        <w:pStyle w:val="TextBody"/>
        <w:bidi w:val="0"/>
        <w:spacing w:lineRule="atLeast" w:line="240" w:before="0" w:after="0"/>
        <w:ind w:left="0" w:right="0" w:firstLine="900"/>
        <w:jc w:val="left"/>
        <w:rPr/>
      </w:pPr>
      <w:r>
        <w:rPr/>
        <w:t> </w:t>
      </w:r>
    </w:p>
    <w:tbl>
      <w:tblPr>
        <w:tblW w:w="9040" w:type="dxa"/>
        <w:jc w:val="left"/>
        <w:tblInd w:w="0" w:type="dxa"/>
        <w:tblLayout w:type="fixed"/>
        <w:tblCellMar>
          <w:top w:w="0" w:type="dxa"/>
          <w:left w:w="0" w:type="dxa"/>
          <w:bottom w:w="28" w:type="dxa"/>
          <w:right w:w="0" w:type="dxa"/>
        </w:tblCellMar>
      </w:tblPr>
      <w:tblGrid>
        <w:gridCol w:w="2960"/>
        <w:gridCol w:w="125"/>
        <w:gridCol w:w="1100"/>
        <w:gridCol w:w="60"/>
        <w:gridCol w:w="125"/>
        <w:gridCol w:w="1085"/>
        <w:gridCol w:w="60"/>
        <w:gridCol w:w="125"/>
        <w:gridCol w:w="695"/>
        <w:gridCol w:w="60"/>
        <w:gridCol w:w="125"/>
        <w:gridCol w:w="1625"/>
        <w:gridCol w:w="60"/>
        <w:gridCol w:w="125"/>
        <w:gridCol w:w="710"/>
      </w:tblGrid>
      <w:tr>
        <w:trPr/>
        <w:tc>
          <w:tcPr>
            <w:tcW w:w="2960" w:type="dxa"/>
            <w:tcBorders>
              <w:bottom w:val="single" w:sz="8" w:space="0" w:color="000000"/>
            </w:tcBorders>
            <w:vAlign w:val="center"/>
          </w:tcPr>
          <w:p>
            <w:pPr>
              <w:pStyle w:val="TableContents"/>
              <w:bidi w:val="0"/>
              <w:spacing w:before="0" w:after="0"/>
              <w:jc w:val="left"/>
              <w:rPr/>
            </w:pPr>
            <w:r>
              <w:rPr/>
              <w:t> </w:t>
            </w:r>
          </w:p>
        </w:tc>
        <w:tc>
          <w:tcPr>
            <w:tcW w:w="6080" w:type="dxa"/>
            <w:gridSpan w:val="14"/>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Three Months Ended July 31, 2026</w:t>
            </w:r>
          </w:p>
        </w:tc>
      </w:tr>
      <w:tr>
        <w:trPr/>
        <w:tc>
          <w:tcPr>
            <w:tcW w:w="2960" w:type="dxa"/>
            <w:tcBorders>
              <w:top w:val="single" w:sz="8" w:space="0" w:color="000000"/>
              <w:bottom w:val="single" w:sz="8" w:space="0" w:color="000000"/>
            </w:tcBorders>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 thousands)</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100"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r>
              <w:rPr>
                <w:rFonts w:ascii="Times New Roman" w:hAnsi="Times New Roman"/>
                <w:b/>
                <w:sz w:val="20"/>
              </w:rPr>
              <w:t>Northeast</w:t>
            </w:r>
            <w:r>
              <w:rPr>
                <w:sz w:val="20"/>
              </w:rPr>
              <w:t>   </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1085"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r>
              <w:rPr>
                <w:rFonts w:ascii="Times New Roman" w:hAnsi="Times New Roman"/>
                <w:b/>
                <w:sz w:val="20"/>
              </w:rPr>
              <w:t>Southeast</w:t>
            </w:r>
            <w:r>
              <w:rPr>
                <w:sz w:val="20"/>
              </w:rPr>
              <w:t>   </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695"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r>
              <w:rPr>
                <w:rFonts w:ascii="Times New Roman" w:hAnsi="Times New Roman"/>
                <w:b/>
                <w:sz w:val="20"/>
              </w:rPr>
              <w:t>West</w:t>
            </w:r>
            <w:r>
              <w:rPr>
                <w:sz w:val="20"/>
              </w:rPr>
              <w:t>   </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1625" w:type="dxa"/>
            <w:tcBorders>
              <w:top w:val="single" w:sz="8" w:space="0" w:color="000000"/>
              <w:bottom w:val="single" w:sz="8" w:space="0" w:color="000000"/>
            </w:tcBorders>
            <w:tcMar>
              <w:top w:w="28" w:type="dxa"/>
            </w:tcMar>
            <w:vAlign w:val="center"/>
          </w:tcPr>
          <w:p>
            <w:pPr>
              <w:pStyle w:val="TableContents"/>
              <w:bidi w:val="0"/>
              <w:spacing w:before="0" w:after="0"/>
              <w:jc w:val="center"/>
              <w:rPr>
                <w:sz w:val="20"/>
              </w:rPr>
            </w:pPr>
            <w:r>
              <w:rPr>
                <w:rFonts w:ascii="Times New Roman" w:hAnsi="Times New Roman"/>
                <w:b/>
                <w:sz w:val="20"/>
              </w:rPr>
              <w:t>Financial Services</w:t>
            </w:r>
            <w:r>
              <w:rPr>
                <w:sz w:val="20"/>
              </w:rPr>
              <w:t> </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710" w:type="dxa"/>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Total</w:t>
            </w:r>
          </w:p>
        </w:tc>
      </w:tr>
      <w:tr>
        <w:trPr/>
        <w:tc>
          <w:tcPr>
            <w:tcW w:w="2960" w:type="dxa"/>
            <w:tcBorders>
              <w:top w:val="single" w:sz="8" w:space="0" w:color="000000"/>
            </w:tcBorders>
            <w:shd w:fill="CCEEFF" w:val="clear"/>
            <w:tcMar>
              <w:top w:w="28" w:type="dxa"/>
              <w:bottom w:w="0" w:type="dxa"/>
            </w:tcMar>
            <w:vAlign w:val="center"/>
          </w:tcPr>
          <w:p>
            <w:pPr>
              <w:pStyle w:val="TableContents"/>
              <w:bidi w:val="0"/>
              <w:spacing w:before="0" w:after="0"/>
              <w:jc w:val="left"/>
              <w:rPr>
                <w:sz w:val="20"/>
              </w:rPr>
            </w:pPr>
            <w:r>
              <w:rPr>
                <w:rFonts w:ascii="Times New Roman" w:hAnsi="Times New Roman"/>
                <w:sz w:val="20"/>
              </w:rPr>
              <w:t>Homebuilding revenues</w:t>
            </w:r>
            <w:r>
              <w:rPr>
                <w:sz w:val="20"/>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0"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232,278</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5"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93,093</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353,671</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25"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679,042</w:t>
            </w:r>
          </w:p>
        </w:tc>
      </w:tr>
      <w:tr>
        <w:trPr/>
        <w:tc>
          <w:tcPr>
            <w:tcW w:w="2960" w:type="dxa"/>
            <w:tcBorders/>
            <w:shd w:fill="FFFFFF" w:val="clear"/>
            <w:tcMar>
              <w:bottom w:w="0" w:type="dxa"/>
            </w:tcMar>
            <w:vAlign w:val="center"/>
          </w:tcPr>
          <w:p>
            <w:pPr>
              <w:pStyle w:val="TableContents"/>
              <w:bidi w:val="0"/>
              <w:spacing w:before="0" w:after="0"/>
              <w:jc w:val="left"/>
              <w:rPr>
                <w:sz w:val="20"/>
              </w:rPr>
            </w:pPr>
            <w:r>
              <w:rPr>
                <w:rFonts w:ascii="Times New Roman" w:hAnsi="Times New Roman"/>
                <w:sz w:val="20"/>
              </w:rPr>
              <w:t>Financial services revenues</w:t>
            </w:r>
            <w:r>
              <w:rPr>
                <w:sz w:val="20"/>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110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108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69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162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23,672</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71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23,672</w:t>
            </w:r>
          </w:p>
        </w:tc>
      </w:tr>
      <w:tr>
        <w:trPr/>
        <w:tc>
          <w:tcPr>
            <w:tcW w:w="2960" w:type="dxa"/>
            <w:tcBorders>
              <w:bottom w:val="single" w:sz="8" w:space="0" w:color="000000"/>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other revenues (1)</w:t>
            </w:r>
          </w:p>
        </w:tc>
        <w:tc>
          <w:tcPr>
            <w:tcW w:w="125" w:type="dxa"/>
            <w:tcBorders>
              <w:bottom w:val="single" w:sz="8" w:space="0" w:color="000000"/>
            </w:tcBorders>
            <w:shd w:fill="CCEEFF" w:val="clear"/>
            <w:vAlign w:val="center"/>
          </w:tcPr>
          <w:p>
            <w:pPr>
              <w:pStyle w:val="TableContents"/>
              <w:bidi w:val="0"/>
              <w:spacing w:before="0" w:after="0"/>
              <w:jc w:val="left"/>
              <w:rPr/>
            </w:pPr>
            <w:r>
              <w:rPr/>
              <w:t> </w:t>
            </w:r>
          </w:p>
        </w:tc>
        <w:tc>
          <w:tcPr>
            <w:tcW w:w="1100"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281</w:t>
            </w:r>
          </w:p>
        </w:tc>
        <w:tc>
          <w:tcPr>
            <w:tcW w:w="60" w:type="dxa"/>
            <w:tcBorders>
              <w:bottom w:val="single" w:sz="8" w:space="0" w:color="000000"/>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vAlign w:val="center"/>
          </w:tcPr>
          <w:p>
            <w:pPr>
              <w:pStyle w:val="TableContents"/>
              <w:bidi w:val="0"/>
              <w:spacing w:before="0" w:after="0"/>
              <w:jc w:val="left"/>
              <w:rPr/>
            </w:pPr>
            <w:r>
              <w:rPr/>
              <w:t> </w:t>
            </w:r>
          </w:p>
        </w:tc>
        <w:tc>
          <w:tcPr>
            <w:tcW w:w="1085"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252</w:t>
            </w:r>
          </w:p>
        </w:tc>
        <w:tc>
          <w:tcPr>
            <w:tcW w:w="60" w:type="dxa"/>
            <w:tcBorders>
              <w:bottom w:val="single" w:sz="8" w:space="0" w:color="000000"/>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vAlign w:val="center"/>
          </w:tcPr>
          <w:p>
            <w:pPr>
              <w:pStyle w:val="TableContents"/>
              <w:bidi w:val="0"/>
              <w:spacing w:before="0" w:after="0"/>
              <w:jc w:val="left"/>
              <w:rPr/>
            </w:pPr>
            <w:r>
              <w:rPr/>
              <w:t> </w:t>
            </w:r>
          </w:p>
        </w:tc>
        <w:tc>
          <w:tcPr>
            <w:tcW w:w="695"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304</w:t>
            </w:r>
          </w:p>
        </w:tc>
        <w:tc>
          <w:tcPr>
            <w:tcW w:w="60" w:type="dxa"/>
            <w:tcBorders>
              <w:bottom w:val="single" w:sz="8" w:space="0" w:color="000000"/>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vAlign w:val="center"/>
          </w:tcPr>
          <w:p>
            <w:pPr>
              <w:pStyle w:val="TableContents"/>
              <w:bidi w:val="0"/>
              <w:spacing w:before="0" w:after="0"/>
              <w:jc w:val="left"/>
              <w:rPr/>
            </w:pPr>
            <w:r>
              <w:rPr/>
              <w:t> </w:t>
            </w:r>
          </w:p>
        </w:tc>
        <w:tc>
          <w:tcPr>
            <w:tcW w:w="1625"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bottom w:val="single" w:sz="8" w:space="0" w:color="000000"/>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vAlign w:val="center"/>
          </w:tcPr>
          <w:p>
            <w:pPr>
              <w:pStyle w:val="TableContents"/>
              <w:bidi w:val="0"/>
              <w:spacing w:before="0" w:after="0"/>
              <w:jc w:val="left"/>
              <w:rPr/>
            </w:pPr>
            <w:r>
              <w:rPr/>
              <w:t> </w:t>
            </w:r>
          </w:p>
        </w:tc>
        <w:tc>
          <w:tcPr>
            <w:tcW w:w="710"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837</w:t>
            </w:r>
          </w:p>
        </w:tc>
      </w:tr>
      <w:tr>
        <w:trPr/>
        <w:tc>
          <w:tcPr>
            <w:tcW w:w="2960" w:type="dxa"/>
            <w:tcBorders>
              <w:top w:val="single" w:sz="8" w:space="0" w:color="000000"/>
              <w:bottom w:val="single" w:sz="8" w:space="0" w:color="000000"/>
            </w:tcBorders>
            <w:shd w:fill="FFFFFF" w:val="clear"/>
            <w:tcMar>
              <w:top w:w="28" w:type="dxa"/>
            </w:tcMar>
            <w:vAlign w:val="center"/>
          </w:tcPr>
          <w:p>
            <w:pPr>
              <w:pStyle w:val="TableContents"/>
              <w:bidi w:val="0"/>
              <w:spacing w:before="0" w:after="0"/>
              <w:ind w:left="144" w:right="0" w:hanging="0"/>
              <w:jc w:val="left"/>
              <w:rPr>
                <w:sz w:val="20"/>
              </w:rPr>
            </w:pPr>
            <w:r>
              <w:rPr>
                <w:rFonts w:ascii="Times New Roman" w:hAnsi="Times New Roman"/>
                <w:sz w:val="20"/>
              </w:rPr>
              <w:t>Total revenues</w:t>
            </w:r>
            <w:r>
              <w:rPr>
                <w:sz w:val="20"/>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10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232,559</w:t>
            </w:r>
          </w:p>
        </w:tc>
        <w:tc>
          <w:tcPr>
            <w:tcW w:w="6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08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93,345</w:t>
            </w:r>
          </w:p>
        </w:tc>
        <w:tc>
          <w:tcPr>
            <w:tcW w:w="6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69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353,975</w:t>
            </w:r>
          </w:p>
        </w:tc>
        <w:tc>
          <w:tcPr>
            <w:tcW w:w="6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6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23,672</w:t>
            </w:r>
          </w:p>
        </w:tc>
        <w:tc>
          <w:tcPr>
            <w:tcW w:w="6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71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703,551</w:t>
            </w:r>
          </w:p>
        </w:tc>
      </w:tr>
      <w:tr>
        <w:trPr/>
        <w:tc>
          <w:tcPr>
            <w:tcW w:w="2960"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(2)</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100"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193,200</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085"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81,911</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695"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323,911</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625"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710"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599,022</w:t>
            </w:r>
          </w:p>
        </w:tc>
      </w:tr>
      <w:tr>
        <w:trPr/>
        <w:tc>
          <w:tcPr>
            <w:tcW w:w="2960" w:type="dxa"/>
            <w:tcBorders/>
            <w:shd w:fill="FFFFFF" w:val="clear"/>
            <w:tcMar>
              <w:bottom w:w="0" w:type="dxa"/>
            </w:tcMar>
            <w:vAlign w:val="center"/>
          </w:tcPr>
          <w:p>
            <w:pPr>
              <w:pStyle w:val="TableContents"/>
              <w:bidi w:val="0"/>
              <w:spacing w:before="0" w:after="0"/>
              <w:jc w:val="left"/>
              <w:rPr>
                <w:sz w:val="20"/>
              </w:rPr>
            </w:pPr>
            <w:r>
              <w:rPr>
                <w:rFonts w:ascii="Times New Roman" w:hAnsi="Times New Roman"/>
                <w:sz w:val="20"/>
              </w:rPr>
              <w:t>Selling, general and administrative</w:t>
            </w:r>
            <w:r>
              <w:rPr>
                <w:sz w:val="20"/>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110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15,095</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108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9,247</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69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22,681</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162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71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47,023</w:t>
            </w:r>
          </w:p>
        </w:tc>
      </w:tr>
      <w:tr>
        <w:trPr/>
        <w:tc>
          <w:tcPr>
            <w:tcW w:w="2960" w:type="dxa"/>
            <w:tcBorders/>
            <w:shd w:fill="CCEEFF" w:val="clear"/>
            <w:tcMar>
              <w:bottom w:w="0" w:type="dxa"/>
            </w:tcMar>
            <w:vAlign w:val="center"/>
          </w:tcPr>
          <w:p>
            <w:pPr>
              <w:pStyle w:val="TableContents"/>
              <w:bidi w:val="0"/>
              <w:spacing w:before="0" w:after="0"/>
              <w:jc w:val="left"/>
              <w:rPr>
                <w:sz w:val="20"/>
              </w:rPr>
            </w:pPr>
            <w:r>
              <w:rPr>
                <w:rFonts w:ascii="Times New Roman" w:hAnsi="Times New Roman"/>
                <w:sz w:val="20"/>
              </w:rPr>
              <w:t>Financial services expenses</w:t>
            </w:r>
            <w:r>
              <w:rPr>
                <w:sz w:val="20"/>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110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108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69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162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13,980</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71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13,980</w:t>
            </w:r>
          </w:p>
        </w:tc>
      </w:tr>
      <w:tr>
        <w:trPr/>
        <w:tc>
          <w:tcPr>
            <w:tcW w:w="2960" w:type="dxa"/>
            <w:tcBorders>
              <w:bottom w:val="single" w:sz="8" w:space="0" w:color="000000"/>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segment items (3)</w:t>
            </w:r>
          </w:p>
        </w:tc>
        <w:tc>
          <w:tcPr>
            <w:tcW w:w="125" w:type="dxa"/>
            <w:tcBorders>
              <w:bottom w:val="single" w:sz="8" w:space="0" w:color="000000"/>
            </w:tcBorders>
            <w:shd w:fill="FFFFFF" w:val="clear"/>
            <w:vAlign w:val="center"/>
          </w:tcPr>
          <w:p>
            <w:pPr>
              <w:pStyle w:val="TableContents"/>
              <w:bidi w:val="0"/>
              <w:spacing w:before="0" w:after="0"/>
              <w:jc w:val="left"/>
              <w:rPr/>
            </w:pPr>
            <w:r>
              <w:rPr/>
              <w:t> </w:t>
            </w:r>
          </w:p>
        </w:tc>
        <w:tc>
          <w:tcPr>
            <w:tcW w:w="1100"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(6,477)</w:t>
            </w:r>
          </w:p>
        </w:tc>
        <w:tc>
          <w:tcPr>
            <w:tcW w:w="60" w:type="dxa"/>
            <w:tcBorders>
              <w:bottom w:val="single" w:sz="8" w:space="0" w:color="000000"/>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vAlign w:val="center"/>
          </w:tcPr>
          <w:p>
            <w:pPr>
              <w:pStyle w:val="TableContents"/>
              <w:bidi w:val="0"/>
              <w:spacing w:before="0" w:after="0"/>
              <w:jc w:val="left"/>
              <w:rPr/>
            </w:pPr>
            <w:r>
              <w:rPr/>
              <w:t> </w:t>
            </w:r>
          </w:p>
        </w:tc>
        <w:tc>
          <w:tcPr>
            <w:tcW w:w="1085"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1,974</w:t>
            </w:r>
          </w:p>
        </w:tc>
        <w:tc>
          <w:tcPr>
            <w:tcW w:w="60" w:type="dxa"/>
            <w:tcBorders>
              <w:bottom w:val="single" w:sz="8" w:space="0" w:color="000000"/>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vAlign w:val="center"/>
          </w:tcPr>
          <w:p>
            <w:pPr>
              <w:pStyle w:val="TableContents"/>
              <w:bidi w:val="0"/>
              <w:spacing w:before="0" w:after="0"/>
              <w:jc w:val="left"/>
              <w:rPr/>
            </w:pPr>
            <w:r>
              <w:rPr/>
              <w:t> </w:t>
            </w:r>
          </w:p>
        </w:tc>
        <w:tc>
          <w:tcPr>
            <w:tcW w:w="695"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12,687</w:t>
            </w:r>
          </w:p>
        </w:tc>
        <w:tc>
          <w:tcPr>
            <w:tcW w:w="60" w:type="dxa"/>
            <w:tcBorders>
              <w:bottom w:val="single" w:sz="8" w:space="0" w:color="000000"/>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vAlign w:val="center"/>
          </w:tcPr>
          <w:p>
            <w:pPr>
              <w:pStyle w:val="TableContents"/>
              <w:bidi w:val="0"/>
              <w:spacing w:before="0" w:after="0"/>
              <w:jc w:val="left"/>
              <w:rPr/>
            </w:pPr>
            <w:r>
              <w:rPr/>
              <w:t> </w:t>
            </w:r>
          </w:p>
        </w:tc>
        <w:tc>
          <w:tcPr>
            <w:tcW w:w="1625"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bottom w:val="single" w:sz="8" w:space="0" w:color="000000"/>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vAlign w:val="center"/>
          </w:tcPr>
          <w:p>
            <w:pPr>
              <w:pStyle w:val="TableContents"/>
              <w:bidi w:val="0"/>
              <w:spacing w:before="0" w:after="0"/>
              <w:jc w:val="left"/>
              <w:rPr/>
            </w:pPr>
            <w:r>
              <w:rPr/>
              <w:t> </w:t>
            </w:r>
          </w:p>
        </w:tc>
        <w:tc>
          <w:tcPr>
            <w:tcW w:w="710"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8,184</w:t>
            </w:r>
          </w:p>
        </w:tc>
      </w:tr>
      <w:tr>
        <w:trPr/>
        <w:tc>
          <w:tcPr>
            <w:tcW w:w="2960" w:type="dxa"/>
            <w:tcBorders>
              <w:top w:val="single" w:sz="8" w:space="0" w:color="000000"/>
              <w:bottom w:val="double" w:sz="6" w:space="0" w:color="000000"/>
            </w:tcBorders>
            <w:shd w:fill="CCEEFF" w:val="clear"/>
            <w:tcMar>
              <w:top w:w="28"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Total segment profit (loss)</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30,741</w:t>
            </w:r>
          </w:p>
        </w:tc>
        <w:tc>
          <w:tcPr>
            <w:tcW w:w="6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213</w:t>
            </w:r>
          </w:p>
        </w:tc>
        <w:tc>
          <w:tcPr>
            <w:tcW w:w="6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(5,304)</w:t>
            </w:r>
          </w:p>
        </w:tc>
        <w:tc>
          <w:tcPr>
            <w:tcW w:w="6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9,692</w:t>
            </w:r>
          </w:p>
        </w:tc>
        <w:tc>
          <w:tcPr>
            <w:tcW w:w="6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35,342</w:t>
            </w:r>
          </w:p>
        </w:tc>
      </w:tr>
      <w:tr>
        <w:trPr/>
        <w:tc>
          <w:tcPr>
            <w:tcW w:w="296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Corporate and unallocated (4)</w:t>
            </w:r>
          </w:p>
        </w:tc>
        <w:tc>
          <w:tcPr>
            <w:tcW w:w="125"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10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25"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085"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25"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695"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25"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625"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25"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center"/>
              <w:rPr/>
            </w:pPr>
            <w:r>
              <w:rPr/>
              <w:t> </w:t>
            </w:r>
          </w:p>
        </w:tc>
        <w:tc>
          <w:tcPr>
            <w:tcW w:w="71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38,117</w:t>
            </w:r>
          </w:p>
        </w:tc>
      </w:tr>
      <w:tr>
        <w:trPr/>
        <w:tc>
          <w:tcPr>
            <w:tcW w:w="2960" w:type="dxa"/>
            <w:tcBorders>
              <w:top w:val="single" w:sz="8" w:space="0" w:color="000000"/>
              <w:bottom w:val="single" w:sz="8" w:space="0" w:color="000000"/>
            </w:tcBorders>
            <w:shd w:fill="CCEEFF" w:val="clear"/>
            <w:tcMar>
              <w:top w:w="28"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Loss before income taxes</w:t>
            </w:r>
          </w:p>
        </w:tc>
        <w:tc>
          <w:tcPr>
            <w:tcW w:w="1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110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pPr>
            <w:r>
              <w:rPr/>
              <w:t> </w:t>
            </w:r>
          </w:p>
        </w:tc>
        <w:tc>
          <w:tcPr>
            <w:tcW w:w="6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108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pPr>
            <w:r>
              <w:rPr/>
              <w:t> </w:t>
            </w:r>
          </w:p>
        </w:tc>
        <w:tc>
          <w:tcPr>
            <w:tcW w:w="6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69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16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(2,775)</w:t>
            </w:r>
          </w:p>
        </w:tc>
      </w:tr>
    </w:tbl>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TableofContent">
        <w:r>
          <w:rPr>
            <w:rStyle w:val="InternetLink"/>
            <w:rFonts w:ascii="Times New Roman" w:hAnsi="Times New Roman"/>
            <w:strike w:val="false"/>
            <w:dstrike w:val="false"/>
            <w:color w:val="0000FF"/>
            <w:sz w:val="20"/>
            <w:u w:val="single"/>
            <w:effect w:val="none"/>
          </w:rPr>
          <w:t>Table of Contents</w:t>
        </w:r>
      </w:hyperlink>
    </w:p>
    <w:p>
      <w:pPr>
        <w:pStyle w:val="TextBody"/>
        <w:bidi w:val="0"/>
        <w:spacing w:lineRule="atLeast" w:line="240" w:before="0" w:after="0"/>
        <w:jc w:val="both"/>
        <w:rPr/>
      </w:pPr>
      <w:r>
        <w:rPr/>
        <w:t> </w:t>
      </w:r>
    </w:p>
    <w:tbl>
      <w:tblPr>
        <w:tblW w:w="8995" w:type="dxa"/>
        <w:jc w:val="left"/>
        <w:tblInd w:w="0" w:type="dxa"/>
        <w:tblLayout w:type="fixed"/>
        <w:tblCellMar>
          <w:top w:w="0" w:type="dxa"/>
          <w:left w:w="0" w:type="dxa"/>
          <w:bottom w:w="28" w:type="dxa"/>
          <w:right w:w="0" w:type="dxa"/>
        </w:tblCellMar>
      </w:tblPr>
      <w:tblGrid>
        <w:gridCol w:w="2960"/>
        <w:gridCol w:w="125"/>
        <w:gridCol w:w="1100"/>
        <w:gridCol w:w="60"/>
        <w:gridCol w:w="125"/>
        <w:gridCol w:w="1085"/>
        <w:gridCol w:w="60"/>
        <w:gridCol w:w="125"/>
        <w:gridCol w:w="695"/>
        <w:gridCol w:w="60"/>
        <w:gridCol w:w="125"/>
        <w:gridCol w:w="1580"/>
        <w:gridCol w:w="60"/>
        <w:gridCol w:w="125"/>
        <w:gridCol w:w="710"/>
      </w:tblGrid>
      <w:tr>
        <w:trPr/>
        <w:tc>
          <w:tcPr>
            <w:tcW w:w="2960" w:type="dxa"/>
            <w:tcBorders>
              <w:bottom w:val="single" w:sz="8" w:space="0" w:color="000000"/>
            </w:tcBorders>
            <w:vAlign w:val="center"/>
          </w:tcPr>
          <w:p>
            <w:pPr>
              <w:pStyle w:val="TableContents"/>
              <w:bidi w:val="0"/>
              <w:spacing w:before="0" w:after="0"/>
              <w:jc w:val="left"/>
              <w:rPr/>
            </w:pPr>
            <w:r>
              <w:rPr/>
              <w:t> </w:t>
            </w:r>
          </w:p>
        </w:tc>
        <w:tc>
          <w:tcPr>
            <w:tcW w:w="6035" w:type="dxa"/>
            <w:gridSpan w:val="14"/>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Three Months Ended July 31, 2025</w:t>
            </w:r>
          </w:p>
        </w:tc>
      </w:tr>
      <w:tr>
        <w:trPr/>
        <w:tc>
          <w:tcPr>
            <w:tcW w:w="2960" w:type="dxa"/>
            <w:tcBorders>
              <w:top w:val="single" w:sz="8" w:space="0" w:color="000000"/>
              <w:bottom w:val="single" w:sz="8" w:space="0" w:color="000000"/>
            </w:tcBorders>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 thousands)</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100"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r>
              <w:rPr>
                <w:rFonts w:ascii="Times New Roman" w:hAnsi="Times New Roman"/>
                <w:b/>
                <w:sz w:val="20"/>
              </w:rPr>
              <w:t>Northeast</w:t>
            </w:r>
            <w:r>
              <w:rPr>
                <w:sz w:val="20"/>
              </w:rPr>
              <w:t>   </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1085"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r>
              <w:rPr>
                <w:rFonts w:ascii="Times New Roman" w:hAnsi="Times New Roman"/>
                <w:b/>
                <w:sz w:val="20"/>
              </w:rPr>
              <w:t>Southeast</w:t>
            </w:r>
            <w:r>
              <w:rPr>
                <w:sz w:val="20"/>
              </w:rPr>
              <w:t>   </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695"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r>
              <w:rPr>
                <w:rFonts w:ascii="Times New Roman" w:hAnsi="Times New Roman"/>
                <w:b/>
                <w:sz w:val="20"/>
              </w:rPr>
              <w:t>West</w:t>
            </w:r>
            <w:r>
              <w:rPr>
                <w:sz w:val="20"/>
              </w:rPr>
              <w:t>   </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1580" w:type="dxa"/>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Financial Services</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710" w:type="dxa"/>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Total</w:t>
            </w:r>
          </w:p>
        </w:tc>
      </w:tr>
      <w:tr>
        <w:trPr/>
        <w:tc>
          <w:tcPr>
            <w:tcW w:w="2960" w:type="dxa"/>
            <w:tcBorders>
              <w:top w:val="single" w:sz="8" w:space="0" w:color="000000"/>
            </w:tcBorders>
            <w:shd w:fill="CCEEFF" w:val="clear"/>
            <w:tcMar>
              <w:top w:w="28" w:type="dxa"/>
              <w:bottom w:w="0" w:type="dxa"/>
            </w:tcMar>
            <w:vAlign w:val="center"/>
          </w:tcPr>
          <w:p>
            <w:pPr>
              <w:pStyle w:val="TableContents"/>
              <w:bidi w:val="0"/>
              <w:spacing w:before="0" w:after="0"/>
              <w:jc w:val="left"/>
              <w:rPr>
                <w:sz w:val="20"/>
              </w:rPr>
            </w:pPr>
            <w:r>
              <w:rPr>
                <w:rFonts w:ascii="Times New Roman" w:hAnsi="Times New Roman"/>
                <w:sz w:val="20"/>
              </w:rPr>
              <w:t>Homebuilding revenues</w:t>
            </w:r>
            <w:r>
              <w:rPr>
                <w:sz w:val="20"/>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0"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288,008</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5"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104,494</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376,548</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80" w:type="dxa"/>
            <w:tcBorders>
              <w:top w:val="single" w:sz="8" w:space="0" w:color="000000"/>
            </w:tcBorders>
            <w:shd w:fill="CCEEFF" w:val="clear"/>
            <w:tcMar>
              <w:top w:w="28" w:type="dxa"/>
              <w:bottom w:w="0" w:type="dxa"/>
            </w:tcMar>
            <w:vAlign w:val="center"/>
          </w:tcPr>
          <w:p>
            <w:pPr>
              <w:pStyle w:val="TableContents"/>
              <w:bidi w:val="0"/>
              <w:spacing w:before="0" w:after="0"/>
              <w:jc w:val="righ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769,050</w:t>
            </w:r>
          </w:p>
        </w:tc>
      </w:tr>
      <w:tr>
        <w:trPr/>
        <w:tc>
          <w:tcPr>
            <w:tcW w:w="2960" w:type="dxa"/>
            <w:tcBorders/>
            <w:shd w:fill="FFFFFF" w:val="clear"/>
            <w:tcMar>
              <w:bottom w:w="0" w:type="dxa"/>
            </w:tcMar>
            <w:vAlign w:val="center"/>
          </w:tcPr>
          <w:p>
            <w:pPr>
              <w:pStyle w:val="TableContents"/>
              <w:bidi w:val="0"/>
              <w:spacing w:before="0" w:after="0"/>
              <w:jc w:val="left"/>
              <w:rPr>
                <w:sz w:val="20"/>
              </w:rPr>
            </w:pPr>
            <w:r>
              <w:rPr>
                <w:rFonts w:ascii="Times New Roman" w:hAnsi="Times New Roman"/>
                <w:sz w:val="20"/>
              </w:rPr>
              <w:t>Financial services revenues</w:t>
            </w:r>
            <w:r>
              <w:rPr>
                <w:sz w:val="20"/>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110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108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69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158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28,566</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71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28,566</w:t>
            </w:r>
          </w:p>
        </w:tc>
      </w:tr>
      <w:tr>
        <w:trPr/>
        <w:tc>
          <w:tcPr>
            <w:tcW w:w="2960" w:type="dxa"/>
            <w:tcBorders>
              <w:bottom w:val="single" w:sz="8" w:space="0" w:color="000000"/>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other revenues (1)</w:t>
            </w:r>
          </w:p>
        </w:tc>
        <w:tc>
          <w:tcPr>
            <w:tcW w:w="125" w:type="dxa"/>
            <w:tcBorders>
              <w:bottom w:val="single" w:sz="8" w:space="0" w:color="000000"/>
            </w:tcBorders>
            <w:shd w:fill="CCEEFF" w:val="clear"/>
            <w:vAlign w:val="center"/>
          </w:tcPr>
          <w:p>
            <w:pPr>
              <w:pStyle w:val="TableContents"/>
              <w:bidi w:val="0"/>
              <w:spacing w:before="0" w:after="0"/>
              <w:jc w:val="left"/>
              <w:rPr/>
            </w:pPr>
            <w:r>
              <w:rPr/>
              <w:t> </w:t>
            </w:r>
          </w:p>
        </w:tc>
        <w:tc>
          <w:tcPr>
            <w:tcW w:w="1100"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1,172</w:t>
            </w:r>
          </w:p>
        </w:tc>
        <w:tc>
          <w:tcPr>
            <w:tcW w:w="60" w:type="dxa"/>
            <w:tcBorders>
              <w:bottom w:val="single" w:sz="8" w:space="0" w:color="000000"/>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vAlign w:val="center"/>
          </w:tcPr>
          <w:p>
            <w:pPr>
              <w:pStyle w:val="TableContents"/>
              <w:bidi w:val="0"/>
              <w:spacing w:before="0" w:after="0"/>
              <w:jc w:val="left"/>
              <w:rPr/>
            </w:pPr>
            <w:r>
              <w:rPr/>
              <w:t> </w:t>
            </w:r>
          </w:p>
        </w:tc>
        <w:tc>
          <w:tcPr>
            <w:tcW w:w="1085"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253</w:t>
            </w:r>
          </w:p>
        </w:tc>
        <w:tc>
          <w:tcPr>
            <w:tcW w:w="60" w:type="dxa"/>
            <w:tcBorders>
              <w:bottom w:val="single" w:sz="8" w:space="0" w:color="000000"/>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vAlign w:val="center"/>
          </w:tcPr>
          <w:p>
            <w:pPr>
              <w:pStyle w:val="TableContents"/>
              <w:bidi w:val="0"/>
              <w:spacing w:before="0" w:after="0"/>
              <w:jc w:val="left"/>
              <w:rPr/>
            </w:pPr>
            <w:r>
              <w:rPr/>
              <w:t> </w:t>
            </w:r>
          </w:p>
        </w:tc>
        <w:tc>
          <w:tcPr>
            <w:tcW w:w="695"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637</w:t>
            </w:r>
          </w:p>
        </w:tc>
        <w:tc>
          <w:tcPr>
            <w:tcW w:w="60" w:type="dxa"/>
            <w:tcBorders>
              <w:bottom w:val="single" w:sz="8" w:space="0" w:color="000000"/>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vAlign w:val="center"/>
          </w:tcPr>
          <w:p>
            <w:pPr>
              <w:pStyle w:val="TableContents"/>
              <w:bidi w:val="0"/>
              <w:spacing w:before="0" w:after="0"/>
              <w:jc w:val="left"/>
              <w:rPr/>
            </w:pPr>
            <w:r>
              <w:rPr/>
              <w:t> </w:t>
            </w:r>
          </w:p>
        </w:tc>
        <w:tc>
          <w:tcPr>
            <w:tcW w:w="1580"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bottom w:val="single" w:sz="8" w:space="0" w:color="000000"/>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vAlign w:val="center"/>
          </w:tcPr>
          <w:p>
            <w:pPr>
              <w:pStyle w:val="TableContents"/>
              <w:bidi w:val="0"/>
              <w:spacing w:before="0" w:after="0"/>
              <w:jc w:val="left"/>
              <w:rPr/>
            </w:pPr>
            <w:r>
              <w:rPr/>
              <w:t> </w:t>
            </w:r>
          </w:p>
        </w:tc>
        <w:tc>
          <w:tcPr>
            <w:tcW w:w="710"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2,062</w:t>
            </w:r>
          </w:p>
        </w:tc>
      </w:tr>
      <w:tr>
        <w:trPr/>
        <w:tc>
          <w:tcPr>
            <w:tcW w:w="2960" w:type="dxa"/>
            <w:tcBorders>
              <w:top w:val="single" w:sz="8" w:space="0" w:color="000000"/>
              <w:bottom w:val="single" w:sz="8" w:space="0" w:color="000000"/>
            </w:tcBorders>
            <w:shd w:fill="FFFFFF" w:val="clear"/>
            <w:tcMar>
              <w:top w:w="28" w:type="dxa"/>
            </w:tcMar>
            <w:vAlign w:val="center"/>
          </w:tcPr>
          <w:p>
            <w:pPr>
              <w:pStyle w:val="TableContents"/>
              <w:bidi w:val="0"/>
              <w:spacing w:before="0" w:after="0"/>
              <w:ind w:left="144" w:right="0" w:hanging="0"/>
              <w:jc w:val="left"/>
              <w:rPr>
                <w:sz w:val="20"/>
              </w:rPr>
            </w:pPr>
            <w:r>
              <w:rPr>
                <w:rFonts w:ascii="Times New Roman" w:hAnsi="Times New Roman"/>
                <w:sz w:val="20"/>
              </w:rPr>
              <w:t>Total revenues</w:t>
            </w:r>
            <w:r>
              <w:rPr>
                <w:sz w:val="20"/>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10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289,180</w:t>
            </w:r>
          </w:p>
        </w:tc>
        <w:tc>
          <w:tcPr>
            <w:tcW w:w="6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08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104,747</w:t>
            </w:r>
          </w:p>
        </w:tc>
        <w:tc>
          <w:tcPr>
            <w:tcW w:w="6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69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377,185</w:t>
            </w:r>
          </w:p>
        </w:tc>
        <w:tc>
          <w:tcPr>
            <w:tcW w:w="6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58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28,566</w:t>
            </w:r>
          </w:p>
        </w:tc>
        <w:tc>
          <w:tcPr>
            <w:tcW w:w="6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71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799,678</w:t>
            </w:r>
          </w:p>
        </w:tc>
      </w:tr>
      <w:tr>
        <w:trPr/>
        <w:tc>
          <w:tcPr>
            <w:tcW w:w="2960"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(2)</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100"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236,238</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085"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90,167</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695"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351,444</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580" w:type="dxa"/>
            <w:tcBorders>
              <w:top w:val="single" w:sz="8" w:space="0" w:color="000000"/>
            </w:tcBorders>
            <w:shd w:fill="CCEEFF" w:val="clear"/>
            <w:tcMar>
              <w:top w:w="28" w:type="dxa"/>
              <w:bottom w:w="0" w:type="dxa"/>
            </w:tcMar>
            <w:vAlign w:val="center"/>
          </w:tcPr>
          <w:p>
            <w:pPr>
              <w:pStyle w:val="TableContents"/>
              <w:bidi w:val="0"/>
              <w:spacing w:before="0" w:after="0"/>
              <w:jc w:val="righ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710"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677,849</w:t>
            </w:r>
          </w:p>
        </w:tc>
      </w:tr>
      <w:tr>
        <w:trPr/>
        <w:tc>
          <w:tcPr>
            <w:tcW w:w="2960" w:type="dxa"/>
            <w:tcBorders/>
            <w:shd w:fill="FFFFFF" w:val="clear"/>
            <w:tcMar>
              <w:bottom w:w="0" w:type="dxa"/>
            </w:tcMar>
            <w:vAlign w:val="center"/>
          </w:tcPr>
          <w:p>
            <w:pPr>
              <w:pStyle w:val="TableContents"/>
              <w:bidi w:val="0"/>
              <w:spacing w:before="0" w:after="0"/>
              <w:jc w:val="left"/>
              <w:rPr>
                <w:sz w:val="20"/>
              </w:rPr>
            </w:pPr>
            <w:r>
              <w:rPr>
                <w:rFonts w:ascii="Times New Roman" w:hAnsi="Times New Roman"/>
                <w:sz w:val="20"/>
              </w:rPr>
              <w:t>Selling, general and administrative</w:t>
            </w:r>
            <w:r>
              <w:rPr>
                <w:sz w:val="20"/>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110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16,030</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108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8,864</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69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24,572</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1580"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71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49,466</w:t>
            </w:r>
          </w:p>
        </w:tc>
      </w:tr>
      <w:tr>
        <w:trPr/>
        <w:tc>
          <w:tcPr>
            <w:tcW w:w="2960" w:type="dxa"/>
            <w:tcBorders/>
            <w:shd w:fill="CCEEFF" w:val="clear"/>
            <w:tcMar>
              <w:bottom w:w="0" w:type="dxa"/>
            </w:tcMar>
            <w:vAlign w:val="center"/>
          </w:tcPr>
          <w:p>
            <w:pPr>
              <w:pStyle w:val="TableContents"/>
              <w:bidi w:val="0"/>
              <w:spacing w:before="0" w:after="0"/>
              <w:jc w:val="left"/>
              <w:rPr>
                <w:sz w:val="20"/>
              </w:rPr>
            </w:pPr>
            <w:r>
              <w:rPr>
                <w:rFonts w:ascii="Times New Roman" w:hAnsi="Times New Roman"/>
                <w:sz w:val="20"/>
              </w:rPr>
              <w:t>Financial services expenses</w:t>
            </w:r>
            <w:r>
              <w:rPr>
                <w:sz w:val="20"/>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110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108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69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158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14,715</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71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14,715</w:t>
            </w:r>
          </w:p>
        </w:tc>
      </w:tr>
      <w:tr>
        <w:trPr/>
        <w:tc>
          <w:tcPr>
            <w:tcW w:w="2960" w:type="dxa"/>
            <w:tcBorders>
              <w:bottom w:val="single" w:sz="8" w:space="0" w:color="000000"/>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segment items (3)</w:t>
            </w:r>
          </w:p>
        </w:tc>
        <w:tc>
          <w:tcPr>
            <w:tcW w:w="125" w:type="dxa"/>
            <w:tcBorders>
              <w:bottom w:val="single" w:sz="8" w:space="0" w:color="000000"/>
            </w:tcBorders>
            <w:shd w:fill="FFFFFF" w:val="clear"/>
            <w:vAlign w:val="center"/>
          </w:tcPr>
          <w:p>
            <w:pPr>
              <w:pStyle w:val="TableContents"/>
              <w:bidi w:val="0"/>
              <w:spacing w:before="0" w:after="0"/>
              <w:jc w:val="left"/>
              <w:rPr/>
            </w:pPr>
            <w:r>
              <w:rPr/>
              <w:t> </w:t>
            </w:r>
          </w:p>
        </w:tc>
        <w:tc>
          <w:tcPr>
            <w:tcW w:w="1100"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(10,410)</w:t>
            </w:r>
          </w:p>
        </w:tc>
        <w:tc>
          <w:tcPr>
            <w:tcW w:w="60" w:type="dxa"/>
            <w:tcBorders>
              <w:bottom w:val="single" w:sz="8" w:space="0" w:color="000000"/>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vAlign w:val="center"/>
          </w:tcPr>
          <w:p>
            <w:pPr>
              <w:pStyle w:val="TableContents"/>
              <w:bidi w:val="0"/>
              <w:spacing w:before="0" w:after="0"/>
              <w:jc w:val="left"/>
              <w:rPr/>
            </w:pPr>
            <w:r>
              <w:rPr/>
              <w:t> </w:t>
            </w:r>
          </w:p>
        </w:tc>
        <w:tc>
          <w:tcPr>
            <w:tcW w:w="1085"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(2,029)</w:t>
            </w:r>
          </w:p>
        </w:tc>
        <w:tc>
          <w:tcPr>
            <w:tcW w:w="60" w:type="dxa"/>
            <w:tcBorders>
              <w:bottom w:val="single" w:sz="8" w:space="0" w:color="000000"/>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vAlign w:val="center"/>
          </w:tcPr>
          <w:p>
            <w:pPr>
              <w:pStyle w:val="TableContents"/>
              <w:bidi w:val="0"/>
              <w:spacing w:before="0" w:after="0"/>
              <w:jc w:val="left"/>
              <w:rPr/>
            </w:pPr>
            <w:r>
              <w:rPr/>
              <w:t> </w:t>
            </w:r>
          </w:p>
        </w:tc>
        <w:tc>
          <w:tcPr>
            <w:tcW w:w="695"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4,348</w:t>
            </w:r>
          </w:p>
        </w:tc>
        <w:tc>
          <w:tcPr>
            <w:tcW w:w="60" w:type="dxa"/>
            <w:tcBorders>
              <w:bottom w:val="single" w:sz="8" w:space="0" w:color="000000"/>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vAlign w:val="center"/>
          </w:tcPr>
          <w:p>
            <w:pPr>
              <w:pStyle w:val="TableContents"/>
              <w:bidi w:val="0"/>
              <w:spacing w:before="0" w:after="0"/>
              <w:jc w:val="left"/>
              <w:rPr/>
            </w:pPr>
            <w:r>
              <w:rPr/>
              <w:t> </w:t>
            </w:r>
          </w:p>
        </w:tc>
        <w:tc>
          <w:tcPr>
            <w:tcW w:w="1580" w:type="dxa"/>
            <w:tcBorders>
              <w:bottom w:val="single" w:sz="8" w:space="0" w:color="000000"/>
            </w:tcBorders>
            <w:shd w:fill="FFFFFF" w:val="clear"/>
            <w:vAlign w:val="center"/>
          </w:tcPr>
          <w:p>
            <w:pPr>
              <w:pStyle w:val="TableContents"/>
              <w:bidi w:val="0"/>
              <w:spacing w:before="0" w:after="0"/>
              <w:jc w:val="right"/>
              <w:rPr/>
            </w:pPr>
            <w:r>
              <w:rPr/>
              <w:t> </w:t>
            </w:r>
          </w:p>
        </w:tc>
        <w:tc>
          <w:tcPr>
            <w:tcW w:w="60" w:type="dxa"/>
            <w:tcBorders>
              <w:bottom w:val="single" w:sz="8" w:space="0" w:color="000000"/>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vAlign w:val="center"/>
          </w:tcPr>
          <w:p>
            <w:pPr>
              <w:pStyle w:val="TableContents"/>
              <w:bidi w:val="0"/>
              <w:spacing w:before="0" w:after="0"/>
              <w:jc w:val="left"/>
              <w:rPr/>
            </w:pPr>
            <w:r>
              <w:rPr/>
              <w:t> </w:t>
            </w:r>
          </w:p>
        </w:tc>
        <w:tc>
          <w:tcPr>
            <w:tcW w:w="710"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(8,091)</w:t>
            </w:r>
          </w:p>
        </w:tc>
      </w:tr>
      <w:tr>
        <w:trPr/>
        <w:tc>
          <w:tcPr>
            <w:tcW w:w="2960" w:type="dxa"/>
            <w:tcBorders>
              <w:top w:val="single" w:sz="8" w:space="0" w:color="000000"/>
              <w:bottom w:val="double" w:sz="6" w:space="0" w:color="000000"/>
            </w:tcBorders>
            <w:shd w:fill="CCEEFF" w:val="clear"/>
            <w:tcMar>
              <w:top w:w="28"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Total segment profit</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47,322</w:t>
            </w:r>
          </w:p>
        </w:tc>
        <w:tc>
          <w:tcPr>
            <w:tcW w:w="6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7,745</w:t>
            </w:r>
          </w:p>
        </w:tc>
        <w:tc>
          <w:tcPr>
            <w:tcW w:w="6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(3,179)</w:t>
            </w:r>
          </w:p>
        </w:tc>
        <w:tc>
          <w:tcPr>
            <w:tcW w:w="6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8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13,851</w:t>
            </w:r>
          </w:p>
        </w:tc>
        <w:tc>
          <w:tcPr>
            <w:tcW w:w="6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65,739</w:t>
            </w:r>
          </w:p>
        </w:tc>
      </w:tr>
      <w:tr>
        <w:trPr/>
        <w:tc>
          <w:tcPr>
            <w:tcW w:w="296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Corporate and unallocated (4)</w:t>
            </w:r>
          </w:p>
        </w:tc>
        <w:tc>
          <w:tcPr>
            <w:tcW w:w="125"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10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25"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085"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25"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695"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25"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58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25"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71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41,937</w:t>
            </w:r>
          </w:p>
        </w:tc>
      </w:tr>
      <w:tr>
        <w:trPr/>
        <w:tc>
          <w:tcPr>
            <w:tcW w:w="2960" w:type="dxa"/>
            <w:tcBorders>
              <w:top w:val="single" w:sz="8" w:space="0" w:color="000000"/>
              <w:bottom w:val="single" w:sz="8" w:space="0" w:color="000000"/>
            </w:tcBorders>
            <w:shd w:fill="CCEEFF" w:val="clear"/>
            <w:tcMar>
              <w:top w:w="28"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Income before income taxes</w:t>
            </w:r>
          </w:p>
        </w:tc>
        <w:tc>
          <w:tcPr>
            <w:tcW w:w="1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110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108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69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158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23,802</w:t>
            </w:r>
          </w:p>
        </w:tc>
      </w:tr>
    </w:tbl>
    <w:p>
      <w:pPr>
        <w:pStyle w:val="TextBody"/>
        <w:bidi w:val="0"/>
        <w:spacing w:lineRule="atLeast" w:line="240" w:before="0" w:after="0"/>
        <w:ind w:left="0" w:right="0" w:firstLine="900"/>
        <w:jc w:val="left"/>
        <w:rPr/>
      </w:pPr>
      <w:r>
        <w:rPr/>
        <w:t> </w:t>
      </w:r>
    </w:p>
    <w:tbl>
      <w:tblPr>
        <w:tblW w:w="9160" w:type="dxa"/>
        <w:jc w:val="left"/>
        <w:tblInd w:w="0" w:type="dxa"/>
        <w:tblLayout w:type="fixed"/>
        <w:tblCellMar>
          <w:top w:w="0" w:type="dxa"/>
          <w:left w:w="0" w:type="dxa"/>
          <w:bottom w:w="28" w:type="dxa"/>
          <w:right w:w="0" w:type="dxa"/>
        </w:tblCellMar>
      </w:tblPr>
      <w:tblGrid>
        <w:gridCol w:w="2960"/>
        <w:gridCol w:w="125"/>
        <w:gridCol w:w="1100"/>
        <w:gridCol w:w="60"/>
        <w:gridCol w:w="125"/>
        <w:gridCol w:w="1085"/>
        <w:gridCol w:w="60"/>
        <w:gridCol w:w="125"/>
        <w:gridCol w:w="710"/>
        <w:gridCol w:w="60"/>
        <w:gridCol w:w="125"/>
        <w:gridCol w:w="1580"/>
        <w:gridCol w:w="60"/>
        <w:gridCol w:w="125"/>
        <w:gridCol w:w="860"/>
      </w:tblGrid>
      <w:tr>
        <w:trPr/>
        <w:tc>
          <w:tcPr>
            <w:tcW w:w="2960" w:type="dxa"/>
            <w:tcBorders>
              <w:bottom w:val="single" w:sz="8" w:space="0" w:color="000000"/>
            </w:tcBorders>
            <w:vAlign w:val="center"/>
          </w:tcPr>
          <w:p>
            <w:pPr>
              <w:pStyle w:val="TableContents"/>
              <w:bidi w:val="0"/>
              <w:spacing w:before="0" w:after="0"/>
              <w:jc w:val="left"/>
              <w:rPr/>
            </w:pPr>
            <w:r>
              <w:rPr/>
              <w:t> </w:t>
            </w:r>
          </w:p>
        </w:tc>
        <w:tc>
          <w:tcPr>
            <w:tcW w:w="6200" w:type="dxa"/>
            <w:gridSpan w:val="14"/>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Nine Months Ended July 31, 2026</w:t>
            </w:r>
          </w:p>
        </w:tc>
      </w:tr>
      <w:tr>
        <w:trPr/>
        <w:tc>
          <w:tcPr>
            <w:tcW w:w="2960" w:type="dxa"/>
            <w:tcBorders>
              <w:top w:val="single" w:sz="8" w:space="0" w:color="000000"/>
              <w:bottom w:val="single" w:sz="8" w:space="0" w:color="000000"/>
            </w:tcBorders>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 thousands)</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100"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r>
              <w:rPr>
                <w:rFonts w:ascii="Times New Roman" w:hAnsi="Times New Roman"/>
                <w:b/>
                <w:sz w:val="20"/>
              </w:rPr>
              <w:t>Northeast</w:t>
            </w:r>
            <w:r>
              <w:rPr>
                <w:sz w:val="20"/>
              </w:rPr>
              <w:t>   </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1085"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r>
              <w:rPr>
                <w:rFonts w:ascii="Times New Roman" w:hAnsi="Times New Roman"/>
                <w:b/>
                <w:sz w:val="20"/>
              </w:rPr>
              <w:t>Southeast</w:t>
            </w:r>
            <w:r>
              <w:rPr>
                <w:sz w:val="20"/>
              </w:rPr>
              <w:t>   </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710"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r>
              <w:rPr>
                <w:rFonts w:ascii="Times New Roman" w:hAnsi="Times New Roman"/>
                <w:b/>
                <w:sz w:val="20"/>
              </w:rPr>
              <w:t>West</w:t>
            </w:r>
            <w:r>
              <w:rPr>
                <w:sz w:val="20"/>
              </w:rPr>
              <w:t>   </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1580" w:type="dxa"/>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Financial Services</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860" w:type="dxa"/>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Total</w:t>
            </w:r>
          </w:p>
        </w:tc>
      </w:tr>
      <w:tr>
        <w:trPr/>
        <w:tc>
          <w:tcPr>
            <w:tcW w:w="2960" w:type="dxa"/>
            <w:tcBorders>
              <w:top w:val="single" w:sz="8" w:space="0" w:color="000000"/>
            </w:tcBorders>
            <w:shd w:fill="CCEEFF" w:val="clear"/>
            <w:tcMar>
              <w:top w:w="28" w:type="dxa"/>
              <w:bottom w:w="0" w:type="dxa"/>
            </w:tcMar>
            <w:vAlign w:val="center"/>
          </w:tcPr>
          <w:p>
            <w:pPr>
              <w:pStyle w:val="TableContents"/>
              <w:bidi w:val="0"/>
              <w:spacing w:before="0" w:after="0"/>
              <w:jc w:val="left"/>
              <w:rPr>
                <w:sz w:val="20"/>
              </w:rPr>
            </w:pPr>
            <w:r>
              <w:rPr>
                <w:rFonts w:ascii="Times New Roman" w:hAnsi="Times New Roman"/>
                <w:sz w:val="20"/>
              </w:rPr>
              <w:t>Homebuilding revenues</w:t>
            </w:r>
            <w:r>
              <w:rPr>
                <w:sz w:val="20"/>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0"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688,794</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5"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240,517</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929,678</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80"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0"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1,858,989</w:t>
            </w:r>
          </w:p>
        </w:tc>
      </w:tr>
      <w:tr>
        <w:trPr/>
        <w:tc>
          <w:tcPr>
            <w:tcW w:w="2960" w:type="dxa"/>
            <w:tcBorders/>
            <w:shd w:fill="FFFFFF" w:val="clear"/>
            <w:tcMar>
              <w:bottom w:w="0" w:type="dxa"/>
            </w:tcMar>
            <w:vAlign w:val="center"/>
          </w:tcPr>
          <w:p>
            <w:pPr>
              <w:pStyle w:val="TableContents"/>
              <w:bidi w:val="0"/>
              <w:spacing w:before="0" w:after="0"/>
              <w:jc w:val="left"/>
              <w:rPr>
                <w:sz w:val="20"/>
              </w:rPr>
            </w:pPr>
            <w:r>
              <w:rPr>
                <w:rFonts w:ascii="Times New Roman" w:hAnsi="Times New Roman"/>
                <w:sz w:val="20"/>
              </w:rPr>
              <w:t>Financial services revenues</w:t>
            </w:r>
            <w:r>
              <w:rPr>
                <w:sz w:val="20"/>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110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108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71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158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66,078</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86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66,078</w:t>
            </w:r>
          </w:p>
        </w:tc>
      </w:tr>
      <w:tr>
        <w:trPr/>
        <w:tc>
          <w:tcPr>
            <w:tcW w:w="2960" w:type="dxa"/>
            <w:tcBorders>
              <w:bottom w:val="single" w:sz="8" w:space="0" w:color="000000"/>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other revenues (1)</w:t>
            </w:r>
          </w:p>
        </w:tc>
        <w:tc>
          <w:tcPr>
            <w:tcW w:w="125" w:type="dxa"/>
            <w:tcBorders>
              <w:bottom w:val="single" w:sz="8" w:space="0" w:color="000000"/>
            </w:tcBorders>
            <w:shd w:fill="CCEEFF" w:val="clear"/>
            <w:vAlign w:val="center"/>
          </w:tcPr>
          <w:p>
            <w:pPr>
              <w:pStyle w:val="TableContents"/>
              <w:bidi w:val="0"/>
              <w:spacing w:before="0" w:after="0"/>
              <w:jc w:val="left"/>
              <w:rPr/>
            </w:pPr>
            <w:r>
              <w:rPr/>
              <w:t> </w:t>
            </w:r>
          </w:p>
        </w:tc>
        <w:tc>
          <w:tcPr>
            <w:tcW w:w="1100"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70,445</w:t>
            </w:r>
          </w:p>
        </w:tc>
        <w:tc>
          <w:tcPr>
            <w:tcW w:w="60" w:type="dxa"/>
            <w:tcBorders>
              <w:bottom w:val="single" w:sz="8" w:space="0" w:color="000000"/>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vAlign w:val="center"/>
          </w:tcPr>
          <w:p>
            <w:pPr>
              <w:pStyle w:val="TableContents"/>
              <w:bidi w:val="0"/>
              <w:spacing w:before="0" w:after="0"/>
              <w:jc w:val="left"/>
              <w:rPr/>
            </w:pPr>
            <w:r>
              <w:rPr/>
              <w:t> </w:t>
            </w:r>
          </w:p>
        </w:tc>
        <w:tc>
          <w:tcPr>
            <w:tcW w:w="1085"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346</w:t>
            </w:r>
          </w:p>
        </w:tc>
        <w:tc>
          <w:tcPr>
            <w:tcW w:w="60" w:type="dxa"/>
            <w:tcBorders>
              <w:bottom w:val="single" w:sz="8" w:space="0" w:color="000000"/>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vAlign w:val="center"/>
          </w:tcPr>
          <w:p>
            <w:pPr>
              <w:pStyle w:val="TableContents"/>
              <w:bidi w:val="0"/>
              <w:spacing w:before="0" w:after="0"/>
              <w:jc w:val="left"/>
              <w:rPr/>
            </w:pPr>
            <w:r>
              <w:rPr/>
              <w:t> </w:t>
            </w:r>
          </w:p>
        </w:tc>
        <w:tc>
          <w:tcPr>
            <w:tcW w:w="710"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3,046</w:t>
            </w:r>
          </w:p>
        </w:tc>
        <w:tc>
          <w:tcPr>
            <w:tcW w:w="60" w:type="dxa"/>
            <w:tcBorders>
              <w:bottom w:val="single" w:sz="8" w:space="0" w:color="000000"/>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vAlign w:val="center"/>
          </w:tcPr>
          <w:p>
            <w:pPr>
              <w:pStyle w:val="TableContents"/>
              <w:bidi w:val="0"/>
              <w:spacing w:before="0" w:after="0"/>
              <w:jc w:val="left"/>
              <w:rPr/>
            </w:pPr>
            <w:r>
              <w:rPr/>
              <w:t> </w:t>
            </w:r>
          </w:p>
        </w:tc>
        <w:tc>
          <w:tcPr>
            <w:tcW w:w="1580"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bottom w:val="single" w:sz="8" w:space="0" w:color="000000"/>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vAlign w:val="center"/>
          </w:tcPr>
          <w:p>
            <w:pPr>
              <w:pStyle w:val="TableContents"/>
              <w:bidi w:val="0"/>
              <w:spacing w:before="0" w:after="0"/>
              <w:jc w:val="left"/>
              <w:rPr/>
            </w:pPr>
            <w:r>
              <w:rPr/>
              <w:t> </w:t>
            </w:r>
          </w:p>
        </w:tc>
        <w:tc>
          <w:tcPr>
            <w:tcW w:w="860"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73,837</w:t>
            </w:r>
          </w:p>
        </w:tc>
      </w:tr>
      <w:tr>
        <w:trPr/>
        <w:tc>
          <w:tcPr>
            <w:tcW w:w="2960" w:type="dxa"/>
            <w:tcBorders>
              <w:top w:val="single" w:sz="8" w:space="0" w:color="000000"/>
              <w:bottom w:val="single" w:sz="8" w:space="0" w:color="000000"/>
            </w:tcBorders>
            <w:shd w:fill="FFFFFF" w:val="clear"/>
            <w:tcMar>
              <w:top w:w="28" w:type="dxa"/>
            </w:tcMar>
            <w:vAlign w:val="center"/>
          </w:tcPr>
          <w:p>
            <w:pPr>
              <w:pStyle w:val="TableContents"/>
              <w:bidi w:val="0"/>
              <w:spacing w:before="0" w:after="0"/>
              <w:ind w:left="144" w:right="0" w:hanging="0"/>
              <w:jc w:val="left"/>
              <w:rPr>
                <w:sz w:val="20"/>
              </w:rPr>
            </w:pPr>
            <w:r>
              <w:rPr>
                <w:rFonts w:ascii="Times New Roman" w:hAnsi="Times New Roman"/>
                <w:sz w:val="20"/>
              </w:rPr>
              <w:t>Total revenues</w:t>
            </w:r>
            <w:r>
              <w:rPr>
                <w:sz w:val="20"/>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10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759,239</w:t>
            </w:r>
          </w:p>
        </w:tc>
        <w:tc>
          <w:tcPr>
            <w:tcW w:w="6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08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240,863</w:t>
            </w:r>
          </w:p>
        </w:tc>
        <w:tc>
          <w:tcPr>
            <w:tcW w:w="6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71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932,724</w:t>
            </w:r>
          </w:p>
        </w:tc>
        <w:tc>
          <w:tcPr>
            <w:tcW w:w="6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58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66,078</w:t>
            </w:r>
          </w:p>
        </w:tc>
        <w:tc>
          <w:tcPr>
            <w:tcW w:w="6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86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1,998,904</w:t>
            </w:r>
          </w:p>
        </w:tc>
      </w:tr>
      <w:tr>
        <w:trPr/>
        <w:tc>
          <w:tcPr>
            <w:tcW w:w="2960"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(2)</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100"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599,911</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085"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218,114</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710"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864,308</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580"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860"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1,682,333</w:t>
            </w:r>
          </w:p>
        </w:tc>
      </w:tr>
      <w:tr>
        <w:trPr/>
        <w:tc>
          <w:tcPr>
            <w:tcW w:w="2960" w:type="dxa"/>
            <w:tcBorders/>
            <w:shd w:fill="FFFFFF" w:val="clear"/>
            <w:tcMar>
              <w:bottom w:w="0" w:type="dxa"/>
            </w:tcMar>
            <w:vAlign w:val="center"/>
          </w:tcPr>
          <w:p>
            <w:pPr>
              <w:pStyle w:val="TableContents"/>
              <w:bidi w:val="0"/>
              <w:spacing w:before="0" w:after="0"/>
              <w:jc w:val="left"/>
              <w:rPr>
                <w:sz w:val="20"/>
              </w:rPr>
            </w:pPr>
            <w:r>
              <w:rPr>
                <w:rFonts w:ascii="Times New Roman" w:hAnsi="Times New Roman"/>
                <w:sz w:val="20"/>
              </w:rPr>
              <w:t>Selling, general and administrative</w:t>
            </w:r>
            <w:r>
              <w:rPr>
                <w:sz w:val="20"/>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110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48,638</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108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27,361</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71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64,789</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158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86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140,788</w:t>
            </w:r>
          </w:p>
        </w:tc>
      </w:tr>
      <w:tr>
        <w:trPr/>
        <w:tc>
          <w:tcPr>
            <w:tcW w:w="2960" w:type="dxa"/>
            <w:tcBorders/>
            <w:shd w:fill="CCEEFF" w:val="clear"/>
            <w:tcMar>
              <w:bottom w:w="0" w:type="dxa"/>
            </w:tcMar>
            <w:vAlign w:val="center"/>
          </w:tcPr>
          <w:p>
            <w:pPr>
              <w:pStyle w:val="TableContents"/>
              <w:bidi w:val="0"/>
              <w:spacing w:before="0" w:after="0"/>
              <w:jc w:val="left"/>
              <w:rPr>
                <w:sz w:val="20"/>
              </w:rPr>
            </w:pPr>
            <w:r>
              <w:rPr>
                <w:rFonts w:ascii="Times New Roman" w:hAnsi="Times New Roman"/>
                <w:sz w:val="20"/>
              </w:rPr>
              <w:t>Financial services expenses</w:t>
            </w:r>
            <w:r>
              <w:rPr>
                <w:sz w:val="20"/>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110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108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71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158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40,576</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86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40,576</w:t>
            </w:r>
          </w:p>
        </w:tc>
      </w:tr>
      <w:tr>
        <w:trPr/>
        <w:tc>
          <w:tcPr>
            <w:tcW w:w="2960" w:type="dxa"/>
            <w:tcBorders>
              <w:bottom w:val="single" w:sz="8" w:space="0" w:color="000000"/>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segment items (3)</w:t>
            </w:r>
          </w:p>
        </w:tc>
        <w:tc>
          <w:tcPr>
            <w:tcW w:w="125" w:type="dxa"/>
            <w:tcBorders>
              <w:bottom w:val="single" w:sz="8" w:space="0" w:color="000000"/>
            </w:tcBorders>
            <w:shd w:fill="FFFFFF" w:val="clear"/>
            <w:vAlign w:val="center"/>
          </w:tcPr>
          <w:p>
            <w:pPr>
              <w:pStyle w:val="TableContents"/>
              <w:bidi w:val="0"/>
              <w:spacing w:before="0" w:after="0"/>
              <w:jc w:val="left"/>
              <w:rPr/>
            </w:pPr>
            <w:r>
              <w:rPr/>
              <w:t> </w:t>
            </w:r>
          </w:p>
        </w:tc>
        <w:tc>
          <w:tcPr>
            <w:tcW w:w="1100"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(18,824)</w:t>
            </w:r>
          </w:p>
        </w:tc>
        <w:tc>
          <w:tcPr>
            <w:tcW w:w="60" w:type="dxa"/>
            <w:tcBorders>
              <w:bottom w:val="single" w:sz="8" w:space="0" w:color="000000"/>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vAlign w:val="center"/>
          </w:tcPr>
          <w:p>
            <w:pPr>
              <w:pStyle w:val="TableContents"/>
              <w:bidi w:val="0"/>
              <w:spacing w:before="0" w:after="0"/>
              <w:jc w:val="left"/>
              <w:rPr/>
            </w:pPr>
            <w:r>
              <w:rPr/>
              <w:t> </w:t>
            </w:r>
          </w:p>
        </w:tc>
        <w:tc>
          <w:tcPr>
            <w:tcW w:w="1085"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3,771</w:t>
            </w:r>
          </w:p>
        </w:tc>
        <w:tc>
          <w:tcPr>
            <w:tcW w:w="60" w:type="dxa"/>
            <w:tcBorders>
              <w:bottom w:val="single" w:sz="8" w:space="0" w:color="000000"/>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vAlign w:val="center"/>
          </w:tcPr>
          <w:p>
            <w:pPr>
              <w:pStyle w:val="TableContents"/>
              <w:bidi w:val="0"/>
              <w:spacing w:before="0" w:after="0"/>
              <w:jc w:val="left"/>
              <w:rPr/>
            </w:pPr>
            <w:r>
              <w:rPr/>
              <w:t> </w:t>
            </w:r>
          </w:p>
        </w:tc>
        <w:tc>
          <w:tcPr>
            <w:tcW w:w="710"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31,649</w:t>
            </w:r>
          </w:p>
        </w:tc>
        <w:tc>
          <w:tcPr>
            <w:tcW w:w="60" w:type="dxa"/>
            <w:tcBorders>
              <w:bottom w:val="single" w:sz="8" w:space="0" w:color="000000"/>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vAlign w:val="center"/>
          </w:tcPr>
          <w:p>
            <w:pPr>
              <w:pStyle w:val="TableContents"/>
              <w:bidi w:val="0"/>
              <w:spacing w:before="0" w:after="0"/>
              <w:jc w:val="left"/>
              <w:rPr/>
            </w:pPr>
            <w:r>
              <w:rPr/>
              <w:t> </w:t>
            </w:r>
          </w:p>
        </w:tc>
        <w:tc>
          <w:tcPr>
            <w:tcW w:w="1580"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bottom w:val="single" w:sz="8" w:space="0" w:color="000000"/>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vAlign w:val="center"/>
          </w:tcPr>
          <w:p>
            <w:pPr>
              <w:pStyle w:val="TableContents"/>
              <w:bidi w:val="0"/>
              <w:spacing w:before="0" w:after="0"/>
              <w:jc w:val="left"/>
              <w:rPr/>
            </w:pPr>
            <w:r>
              <w:rPr/>
              <w:t> </w:t>
            </w:r>
          </w:p>
        </w:tc>
        <w:tc>
          <w:tcPr>
            <w:tcW w:w="860"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16,596</w:t>
            </w:r>
          </w:p>
        </w:tc>
      </w:tr>
      <w:tr>
        <w:trPr/>
        <w:tc>
          <w:tcPr>
            <w:tcW w:w="2960" w:type="dxa"/>
            <w:tcBorders>
              <w:top w:val="single" w:sz="8" w:space="0" w:color="000000"/>
              <w:bottom w:val="double" w:sz="6" w:space="0" w:color="000000"/>
            </w:tcBorders>
            <w:shd w:fill="CCEEFF" w:val="clear"/>
            <w:tcMar>
              <w:top w:w="28"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Total segment profit (loss)</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129,514</w:t>
            </w:r>
          </w:p>
        </w:tc>
        <w:tc>
          <w:tcPr>
            <w:tcW w:w="6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(8,383)</w:t>
            </w:r>
          </w:p>
        </w:tc>
        <w:tc>
          <w:tcPr>
            <w:tcW w:w="6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(28,022)</w:t>
            </w:r>
          </w:p>
        </w:tc>
        <w:tc>
          <w:tcPr>
            <w:tcW w:w="6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8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25,502</w:t>
            </w:r>
          </w:p>
        </w:tc>
        <w:tc>
          <w:tcPr>
            <w:tcW w:w="6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118,611</w:t>
            </w:r>
          </w:p>
        </w:tc>
      </w:tr>
      <w:tr>
        <w:trPr/>
        <w:tc>
          <w:tcPr>
            <w:tcW w:w="296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Corporate and unallocated (4)</w:t>
            </w:r>
          </w:p>
        </w:tc>
        <w:tc>
          <w:tcPr>
            <w:tcW w:w="125"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10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25"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085"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25"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71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25"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58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25"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86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92,345</w:t>
            </w:r>
          </w:p>
        </w:tc>
      </w:tr>
      <w:tr>
        <w:trPr/>
        <w:tc>
          <w:tcPr>
            <w:tcW w:w="2960" w:type="dxa"/>
            <w:tcBorders>
              <w:top w:val="single" w:sz="8" w:space="0" w:color="000000"/>
              <w:bottom w:val="single" w:sz="8" w:space="0" w:color="000000"/>
            </w:tcBorders>
            <w:shd w:fill="CCEEFF" w:val="clear"/>
            <w:tcMar>
              <w:top w:w="28"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Income before income taxes</w:t>
            </w:r>
          </w:p>
        </w:tc>
        <w:tc>
          <w:tcPr>
            <w:tcW w:w="1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110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108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71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158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26,266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TableofContent">
        <w:r>
          <w:rPr>
            <w:rStyle w:val="InternetLink"/>
            <w:rFonts w:ascii="Times New Roman" w:hAnsi="Times New Roman"/>
            <w:strike w:val="false"/>
            <w:dstrike w:val="false"/>
            <w:color w:val="0000FF"/>
            <w:sz w:val="20"/>
            <w:u w:val="single"/>
            <w:effect w:val="none"/>
          </w:rPr>
          <w:t>Table of Contents</w:t>
        </w:r>
      </w:hyperlink>
    </w:p>
    <w:p>
      <w:pPr>
        <w:pStyle w:val="TextBody"/>
        <w:bidi w:val="0"/>
        <w:spacing w:before="0" w:after="0"/>
        <w:jc w:val="left"/>
        <w:rPr/>
      </w:pPr>
      <w:r>
        <w:rPr/>
        <w:t> </w:t>
      </w:r>
    </w:p>
    <w:tbl>
      <w:tblPr>
        <w:tblW w:w="9355" w:type="dxa"/>
        <w:jc w:val="left"/>
        <w:tblInd w:w="0" w:type="dxa"/>
        <w:tblLayout w:type="fixed"/>
        <w:tblCellMar>
          <w:top w:w="0" w:type="dxa"/>
          <w:left w:w="0" w:type="dxa"/>
          <w:bottom w:w="28" w:type="dxa"/>
          <w:right w:w="0" w:type="dxa"/>
        </w:tblCellMar>
      </w:tblPr>
      <w:tblGrid>
        <w:gridCol w:w="2960"/>
        <w:gridCol w:w="125"/>
        <w:gridCol w:w="1100"/>
        <w:gridCol w:w="60"/>
        <w:gridCol w:w="125"/>
        <w:gridCol w:w="1085"/>
        <w:gridCol w:w="60"/>
        <w:gridCol w:w="125"/>
        <w:gridCol w:w="845"/>
        <w:gridCol w:w="60"/>
        <w:gridCol w:w="125"/>
        <w:gridCol w:w="1640"/>
        <w:gridCol w:w="60"/>
        <w:gridCol w:w="125"/>
        <w:gridCol w:w="860"/>
      </w:tblGrid>
      <w:tr>
        <w:trPr/>
        <w:tc>
          <w:tcPr>
            <w:tcW w:w="2960" w:type="dxa"/>
            <w:tcBorders>
              <w:bottom w:val="single" w:sz="8" w:space="0" w:color="000000"/>
            </w:tcBorders>
            <w:vAlign w:val="center"/>
          </w:tcPr>
          <w:p>
            <w:pPr>
              <w:pStyle w:val="TableContents"/>
              <w:bidi w:val="0"/>
              <w:spacing w:before="0" w:after="0"/>
              <w:jc w:val="left"/>
              <w:rPr/>
            </w:pPr>
            <w:r>
              <w:rPr/>
              <w:t> </w:t>
            </w:r>
          </w:p>
        </w:tc>
        <w:tc>
          <w:tcPr>
            <w:tcW w:w="6395" w:type="dxa"/>
            <w:gridSpan w:val="14"/>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Nine Months Ended July 31, 2025</w:t>
            </w:r>
          </w:p>
        </w:tc>
      </w:tr>
      <w:tr>
        <w:trPr/>
        <w:tc>
          <w:tcPr>
            <w:tcW w:w="2960" w:type="dxa"/>
            <w:tcBorders>
              <w:top w:val="single" w:sz="8" w:space="0" w:color="000000"/>
              <w:bottom w:val="single" w:sz="8" w:space="0" w:color="000000"/>
            </w:tcBorders>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 thousands)</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100"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r>
              <w:rPr>
                <w:rFonts w:ascii="Times New Roman" w:hAnsi="Times New Roman"/>
                <w:b/>
                <w:sz w:val="20"/>
              </w:rPr>
              <w:t>Northeast</w:t>
            </w:r>
            <w:r>
              <w:rPr>
                <w:sz w:val="20"/>
              </w:rPr>
              <w:t>   </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1085"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r>
              <w:rPr>
                <w:rFonts w:ascii="Times New Roman" w:hAnsi="Times New Roman"/>
                <w:b/>
                <w:sz w:val="20"/>
              </w:rPr>
              <w:t>Southeast</w:t>
            </w:r>
            <w:r>
              <w:rPr>
                <w:sz w:val="20"/>
              </w:rPr>
              <w:t>   </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845"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r>
              <w:rPr>
                <w:rFonts w:ascii="Times New Roman" w:hAnsi="Times New Roman"/>
                <w:b/>
                <w:sz w:val="20"/>
              </w:rPr>
              <w:t>West</w:t>
            </w:r>
            <w:r>
              <w:rPr>
                <w:sz w:val="20"/>
              </w:rPr>
              <w:t>   </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1640"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r>
              <w:rPr>
                <w:rFonts w:ascii="Times New Roman" w:hAnsi="Times New Roman"/>
                <w:b/>
                <w:sz w:val="20"/>
              </w:rPr>
              <w:t>Financial Services</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center"/>
              <w:rPr/>
            </w:pPr>
            <w:r>
              <w:rPr/>
              <w:t> </w:t>
            </w:r>
          </w:p>
        </w:tc>
        <w:tc>
          <w:tcPr>
            <w:tcW w:w="860" w:type="dxa"/>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Total</w:t>
            </w:r>
          </w:p>
        </w:tc>
      </w:tr>
      <w:tr>
        <w:trPr/>
        <w:tc>
          <w:tcPr>
            <w:tcW w:w="2960" w:type="dxa"/>
            <w:tcBorders>
              <w:top w:val="single" w:sz="8" w:space="0" w:color="000000"/>
            </w:tcBorders>
            <w:shd w:fill="CCEEFF" w:val="clear"/>
            <w:tcMar>
              <w:top w:w="28" w:type="dxa"/>
              <w:bottom w:w="0" w:type="dxa"/>
            </w:tcMar>
            <w:vAlign w:val="center"/>
          </w:tcPr>
          <w:p>
            <w:pPr>
              <w:pStyle w:val="TableContents"/>
              <w:bidi w:val="0"/>
              <w:spacing w:before="0" w:after="0"/>
              <w:jc w:val="left"/>
              <w:rPr>
                <w:sz w:val="20"/>
              </w:rPr>
            </w:pPr>
            <w:r>
              <w:rPr>
                <w:rFonts w:ascii="Times New Roman" w:hAnsi="Times New Roman"/>
                <w:sz w:val="20"/>
              </w:rPr>
              <w:t>Homebuilding revenues</w:t>
            </w:r>
            <w:r>
              <w:rPr>
                <w:sz w:val="20"/>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0"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826,071</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5"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230,533</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1,009,674</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40"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0"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2,066,278</w:t>
            </w:r>
          </w:p>
        </w:tc>
      </w:tr>
      <w:tr>
        <w:trPr/>
        <w:tc>
          <w:tcPr>
            <w:tcW w:w="2960" w:type="dxa"/>
            <w:tcBorders/>
            <w:shd w:fill="FFFFFF" w:val="clear"/>
            <w:tcMar>
              <w:bottom w:w="0" w:type="dxa"/>
            </w:tcMar>
            <w:vAlign w:val="center"/>
          </w:tcPr>
          <w:p>
            <w:pPr>
              <w:pStyle w:val="TableContents"/>
              <w:bidi w:val="0"/>
              <w:spacing w:before="0" w:after="0"/>
              <w:jc w:val="left"/>
              <w:rPr>
                <w:sz w:val="20"/>
              </w:rPr>
            </w:pPr>
            <w:r>
              <w:rPr>
                <w:rFonts w:ascii="Times New Roman" w:hAnsi="Times New Roman"/>
                <w:sz w:val="20"/>
              </w:rPr>
              <w:t>Financial services revenues</w:t>
            </w:r>
            <w:r>
              <w:rPr>
                <w:sz w:val="20"/>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110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108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84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164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66,826</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86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66,826</w:t>
            </w:r>
          </w:p>
        </w:tc>
      </w:tr>
      <w:tr>
        <w:trPr/>
        <w:tc>
          <w:tcPr>
            <w:tcW w:w="2960" w:type="dxa"/>
            <w:tcBorders>
              <w:bottom w:val="single" w:sz="8" w:space="0" w:color="000000"/>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other revenues (1)</w:t>
            </w:r>
          </w:p>
        </w:tc>
        <w:tc>
          <w:tcPr>
            <w:tcW w:w="125" w:type="dxa"/>
            <w:tcBorders>
              <w:bottom w:val="single" w:sz="8" w:space="0" w:color="000000"/>
            </w:tcBorders>
            <w:shd w:fill="CCEEFF" w:val="clear"/>
            <w:vAlign w:val="center"/>
          </w:tcPr>
          <w:p>
            <w:pPr>
              <w:pStyle w:val="TableContents"/>
              <w:bidi w:val="0"/>
              <w:spacing w:before="0" w:after="0"/>
              <w:jc w:val="left"/>
              <w:rPr/>
            </w:pPr>
            <w:r>
              <w:rPr/>
              <w:t> </w:t>
            </w:r>
          </w:p>
        </w:tc>
        <w:tc>
          <w:tcPr>
            <w:tcW w:w="1100"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4,138</w:t>
            </w:r>
          </w:p>
        </w:tc>
        <w:tc>
          <w:tcPr>
            <w:tcW w:w="60" w:type="dxa"/>
            <w:tcBorders>
              <w:bottom w:val="single" w:sz="8" w:space="0" w:color="000000"/>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vAlign w:val="center"/>
          </w:tcPr>
          <w:p>
            <w:pPr>
              <w:pStyle w:val="TableContents"/>
              <w:bidi w:val="0"/>
              <w:spacing w:before="0" w:after="0"/>
              <w:jc w:val="left"/>
              <w:rPr/>
            </w:pPr>
            <w:r>
              <w:rPr/>
              <w:t> </w:t>
            </w:r>
          </w:p>
        </w:tc>
        <w:tc>
          <w:tcPr>
            <w:tcW w:w="1085"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492</w:t>
            </w:r>
          </w:p>
        </w:tc>
        <w:tc>
          <w:tcPr>
            <w:tcW w:w="60" w:type="dxa"/>
            <w:tcBorders>
              <w:bottom w:val="single" w:sz="8" w:space="0" w:color="000000"/>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vAlign w:val="center"/>
          </w:tcPr>
          <w:p>
            <w:pPr>
              <w:pStyle w:val="TableContents"/>
              <w:bidi w:val="0"/>
              <w:spacing w:before="0" w:after="0"/>
              <w:jc w:val="left"/>
              <w:rPr/>
            </w:pPr>
            <w:r>
              <w:rPr/>
              <w:t> </w:t>
            </w:r>
          </w:p>
        </w:tc>
        <w:tc>
          <w:tcPr>
            <w:tcW w:w="845"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19,850</w:t>
            </w:r>
          </w:p>
        </w:tc>
        <w:tc>
          <w:tcPr>
            <w:tcW w:w="60" w:type="dxa"/>
            <w:tcBorders>
              <w:bottom w:val="single" w:sz="8" w:space="0" w:color="000000"/>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vAlign w:val="center"/>
          </w:tcPr>
          <w:p>
            <w:pPr>
              <w:pStyle w:val="TableContents"/>
              <w:bidi w:val="0"/>
              <w:spacing w:before="0" w:after="0"/>
              <w:jc w:val="left"/>
              <w:rPr/>
            </w:pPr>
            <w:r>
              <w:rPr/>
              <w:t> </w:t>
            </w:r>
          </w:p>
        </w:tc>
        <w:tc>
          <w:tcPr>
            <w:tcW w:w="1640"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bottom w:val="single" w:sz="8" w:space="0" w:color="000000"/>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vAlign w:val="center"/>
          </w:tcPr>
          <w:p>
            <w:pPr>
              <w:pStyle w:val="TableContents"/>
              <w:bidi w:val="0"/>
              <w:spacing w:before="0" w:after="0"/>
              <w:jc w:val="left"/>
              <w:rPr/>
            </w:pPr>
            <w:r>
              <w:rPr/>
              <w:t> </w:t>
            </w:r>
          </w:p>
        </w:tc>
        <w:tc>
          <w:tcPr>
            <w:tcW w:w="860"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24,480</w:t>
            </w:r>
          </w:p>
        </w:tc>
      </w:tr>
      <w:tr>
        <w:trPr/>
        <w:tc>
          <w:tcPr>
            <w:tcW w:w="2960" w:type="dxa"/>
            <w:tcBorders>
              <w:top w:val="single" w:sz="8" w:space="0" w:color="000000"/>
              <w:bottom w:val="single" w:sz="8" w:space="0" w:color="000000"/>
            </w:tcBorders>
            <w:shd w:fill="FFFFFF" w:val="clear"/>
            <w:tcMar>
              <w:top w:w="28" w:type="dxa"/>
            </w:tcMar>
            <w:vAlign w:val="center"/>
          </w:tcPr>
          <w:p>
            <w:pPr>
              <w:pStyle w:val="TableContents"/>
              <w:bidi w:val="0"/>
              <w:spacing w:before="0" w:after="0"/>
              <w:ind w:left="144" w:right="0" w:hanging="0"/>
              <w:jc w:val="left"/>
              <w:rPr>
                <w:sz w:val="20"/>
              </w:rPr>
            </w:pPr>
            <w:r>
              <w:rPr>
                <w:rFonts w:ascii="Times New Roman" w:hAnsi="Times New Roman"/>
                <w:sz w:val="20"/>
              </w:rPr>
              <w:t>Total revenues</w:t>
            </w:r>
            <w:r>
              <w:rPr>
                <w:sz w:val="20"/>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10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830,209</w:t>
            </w:r>
          </w:p>
        </w:tc>
        <w:tc>
          <w:tcPr>
            <w:tcW w:w="6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08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231,025</w:t>
            </w:r>
          </w:p>
        </w:tc>
        <w:tc>
          <w:tcPr>
            <w:tcW w:w="6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84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1,029,524</w:t>
            </w:r>
          </w:p>
        </w:tc>
        <w:tc>
          <w:tcPr>
            <w:tcW w:w="6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64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66,826</w:t>
            </w:r>
          </w:p>
        </w:tc>
        <w:tc>
          <w:tcPr>
            <w:tcW w:w="6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86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2,157,584</w:t>
            </w:r>
          </w:p>
        </w:tc>
      </w:tr>
      <w:tr>
        <w:trPr/>
        <w:tc>
          <w:tcPr>
            <w:tcW w:w="2960"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(2)</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100"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670,091</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085"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203,224</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845"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922,894</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640"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860"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1,796,209</w:t>
            </w:r>
          </w:p>
        </w:tc>
      </w:tr>
      <w:tr>
        <w:trPr/>
        <w:tc>
          <w:tcPr>
            <w:tcW w:w="2960" w:type="dxa"/>
            <w:tcBorders/>
            <w:shd w:fill="FFFFFF" w:val="clear"/>
            <w:tcMar>
              <w:bottom w:w="0" w:type="dxa"/>
            </w:tcMar>
            <w:vAlign w:val="center"/>
          </w:tcPr>
          <w:p>
            <w:pPr>
              <w:pStyle w:val="TableContents"/>
              <w:bidi w:val="0"/>
              <w:spacing w:before="0" w:after="0"/>
              <w:jc w:val="left"/>
              <w:rPr>
                <w:sz w:val="20"/>
              </w:rPr>
            </w:pPr>
            <w:r>
              <w:rPr>
                <w:rFonts w:ascii="Times New Roman" w:hAnsi="Times New Roman"/>
                <w:sz w:val="20"/>
              </w:rPr>
              <w:t>Selling, general and administrative</w:t>
            </w:r>
            <w:r>
              <w:rPr>
                <w:sz w:val="20"/>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110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48,232</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108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25,996</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84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72,853</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164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86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147,081</w:t>
            </w:r>
          </w:p>
        </w:tc>
      </w:tr>
      <w:tr>
        <w:trPr/>
        <w:tc>
          <w:tcPr>
            <w:tcW w:w="2960" w:type="dxa"/>
            <w:tcBorders/>
            <w:shd w:fill="CCEEFF" w:val="clear"/>
            <w:tcMar>
              <w:bottom w:w="0" w:type="dxa"/>
            </w:tcMar>
            <w:vAlign w:val="center"/>
          </w:tcPr>
          <w:p>
            <w:pPr>
              <w:pStyle w:val="TableContents"/>
              <w:bidi w:val="0"/>
              <w:spacing w:before="0" w:after="0"/>
              <w:jc w:val="left"/>
              <w:rPr>
                <w:sz w:val="20"/>
              </w:rPr>
            </w:pPr>
            <w:r>
              <w:rPr>
                <w:rFonts w:ascii="Times New Roman" w:hAnsi="Times New Roman"/>
                <w:sz w:val="20"/>
              </w:rPr>
              <w:t>Financial services expenses</w:t>
            </w:r>
            <w:r>
              <w:rPr>
                <w:sz w:val="20"/>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110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108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84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164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41,043</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86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41,043</w:t>
            </w:r>
          </w:p>
        </w:tc>
      </w:tr>
      <w:tr>
        <w:trPr/>
        <w:tc>
          <w:tcPr>
            <w:tcW w:w="2960" w:type="dxa"/>
            <w:tcBorders>
              <w:bottom w:val="single" w:sz="8" w:space="0" w:color="000000"/>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segment items (3)</w:t>
            </w:r>
          </w:p>
        </w:tc>
        <w:tc>
          <w:tcPr>
            <w:tcW w:w="125" w:type="dxa"/>
            <w:tcBorders>
              <w:bottom w:val="single" w:sz="8" w:space="0" w:color="000000"/>
            </w:tcBorders>
            <w:shd w:fill="FFFFFF" w:val="clear"/>
            <w:vAlign w:val="center"/>
          </w:tcPr>
          <w:p>
            <w:pPr>
              <w:pStyle w:val="TableContents"/>
              <w:bidi w:val="0"/>
              <w:spacing w:before="0" w:after="0"/>
              <w:jc w:val="left"/>
              <w:rPr/>
            </w:pPr>
            <w:r>
              <w:rPr/>
              <w:t> </w:t>
            </w:r>
          </w:p>
        </w:tc>
        <w:tc>
          <w:tcPr>
            <w:tcW w:w="1100"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(15,229)</w:t>
            </w:r>
          </w:p>
        </w:tc>
        <w:tc>
          <w:tcPr>
            <w:tcW w:w="60" w:type="dxa"/>
            <w:tcBorders>
              <w:bottom w:val="single" w:sz="8" w:space="0" w:color="000000"/>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vAlign w:val="center"/>
          </w:tcPr>
          <w:p>
            <w:pPr>
              <w:pStyle w:val="TableContents"/>
              <w:bidi w:val="0"/>
              <w:spacing w:before="0" w:after="0"/>
              <w:jc w:val="left"/>
              <w:rPr/>
            </w:pPr>
            <w:r>
              <w:rPr/>
              <w:t> </w:t>
            </w:r>
          </w:p>
        </w:tc>
        <w:tc>
          <w:tcPr>
            <w:tcW w:w="1085"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(6,546)</w:t>
            </w:r>
          </w:p>
        </w:tc>
        <w:tc>
          <w:tcPr>
            <w:tcW w:w="60" w:type="dxa"/>
            <w:tcBorders>
              <w:bottom w:val="single" w:sz="8" w:space="0" w:color="000000"/>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vAlign w:val="center"/>
          </w:tcPr>
          <w:p>
            <w:pPr>
              <w:pStyle w:val="TableContents"/>
              <w:bidi w:val="0"/>
              <w:spacing w:before="0" w:after="0"/>
              <w:jc w:val="left"/>
              <w:rPr/>
            </w:pPr>
            <w:r>
              <w:rPr/>
              <w:t> </w:t>
            </w:r>
          </w:p>
        </w:tc>
        <w:tc>
          <w:tcPr>
            <w:tcW w:w="845"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14,543</w:t>
            </w:r>
          </w:p>
        </w:tc>
        <w:tc>
          <w:tcPr>
            <w:tcW w:w="60" w:type="dxa"/>
            <w:tcBorders>
              <w:bottom w:val="single" w:sz="8" w:space="0" w:color="000000"/>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vAlign w:val="center"/>
          </w:tcPr>
          <w:p>
            <w:pPr>
              <w:pStyle w:val="TableContents"/>
              <w:bidi w:val="0"/>
              <w:spacing w:before="0" w:after="0"/>
              <w:jc w:val="left"/>
              <w:rPr/>
            </w:pPr>
            <w:r>
              <w:rPr/>
              <w:t> </w:t>
            </w:r>
          </w:p>
        </w:tc>
        <w:tc>
          <w:tcPr>
            <w:tcW w:w="1640"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bottom w:val="single" w:sz="8" w:space="0" w:color="000000"/>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vAlign w:val="center"/>
          </w:tcPr>
          <w:p>
            <w:pPr>
              <w:pStyle w:val="TableContents"/>
              <w:bidi w:val="0"/>
              <w:spacing w:before="0" w:after="0"/>
              <w:jc w:val="left"/>
              <w:rPr/>
            </w:pPr>
            <w:r>
              <w:rPr/>
              <w:t> </w:t>
            </w:r>
          </w:p>
        </w:tc>
        <w:tc>
          <w:tcPr>
            <w:tcW w:w="860"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(7,232)</w:t>
            </w:r>
          </w:p>
        </w:tc>
      </w:tr>
      <w:tr>
        <w:trPr/>
        <w:tc>
          <w:tcPr>
            <w:tcW w:w="2960" w:type="dxa"/>
            <w:tcBorders>
              <w:top w:val="single" w:sz="8" w:space="0" w:color="000000"/>
              <w:bottom w:val="double" w:sz="6" w:space="0" w:color="000000"/>
            </w:tcBorders>
            <w:shd w:fill="CCEEFF" w:val="clear"/>
            <w:tcMar>
              <w:top w:w="28"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Total segment profit</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127,115</w:t>
            </w:r>
          </w:p>
        </w:tc>
        <w:tc>
          <w:tcPr>
            <w:tcW w:w="6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8,351</w:t>
            </w:r>
          </w:p>
        </w:tc>
        <w:tc>
          <w:tcPr>
            <w:tcW w:w="6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19,234</w:t>
            </w:r>
          </w:p>
        </w:tc>
        <w:tc>
          <w:tcPr>
            <w:tcW w:w="6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4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25,783</w:t>
            </w:r>
          </w:p>
        </w:tc>
        <w:tc>
          <w:tcPr>
            <w:tcW w:w="6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180,483</w:t>
            </w:r>
          </w:p>
        </w:tc>
      </w:tr>
      <w:tr>
        <w:trPr/>
        <w:tc>
          <w:tcPr>
            <w:tcW w:w="296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Corporate and unallocated (4)</w:t>
            </w:r>
          </w:p>
        </w:tc>
        <w:tc>
          <w:tcPr>
            <w:tcW w:w="125"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10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125"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1085"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125"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845"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125"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164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125"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860" w:type="dxa"/>
            <w:tcBorders>
              <w:top w:val="double" w:sz="6"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90,288</w:t>
            </w:r>
          </w:p>
        </w:tc>
      </w:tr>
      <w:tr>
        <w:trPr/>
        <w:tc>
          <w:tcPr>
            <w:tcW w:w="2960" w:type="dxa"/>
            <w:tcBorders>
              <w:top w:val="single" w:sz="8" w:space="0" w:color="000000"/>
              <w:bottom w:val="single" w:sz="8" w:space="0" w:color="000000"/>
            </w:tcBorders>
            <w:shd w:fill="CCEEFF" w:val="clear"/>
            <w:tcMar>
              <w:top w:w="28"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Income before income taxes</w:t>
            </w:r>
          </w:p>
        </w:tc>
        <w:tc>
          <w:tcPr>
            <w:tcW w:w="1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110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pPr>
            <w:r>
              <w:rPr/>
              <w:t> </w:t>
            </w:r>
          </w:p>
        </w:tc>
        <w:tc>
          <w:tcPr>
            <w:tcW w:w="6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pPr>
            <w:r>
              <w:rPr/>
              <w:t> </w:t>
            </w:r>
          </w:p>
        </w:tc>
        <w:tc>
          <w:tcPr>
            <w:tcW w:w="108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pPr>
            <w:r>
              <w:rPr/>
              <w:t> </w:t>
            </w:r>
          </w:p>
        </w:tc>
        <w:tc>
          <w:tcPr>
            <w:tcW w:w="6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pPr>
            <w:r>
              <w:rPr/>
              <w:t> </w:t>
            </w:r>
          </w:p>
        </w:tc>
        <w:tc>
          <w:tcPr>
            <w:tcW w:w="84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pPr>
            <w:r>
              <w:rPr/>
              <w:t> </w:t>
            </w:r>
          </w:p>
        </w:tc>
        <w:tc>
          <w:tcPr>
            <w:tcW w:w="6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pPr>
            <w:r>
              <w:rPr/>
              <w:t> </w:t>
            </w:r>
          </w:p>
        </w:tc>
        <w:tc>
          <w:tcPr>
            <w:tcW w:w="164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pPr>
            <w:r>
              <w:rPr/>
              <w:t> </w:t>
            </w:r>
          </w:p>
        </w:tc>
        <w:tc>
          <w:tcPr>
            <w:tcW w:w="6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90,195</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(1)</w:t>
            </w:r>
          </w:p>
        </w:tc>
        <w:tc>
          <w:tcPr>
            <w:tcW w:w="9986"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Consists primarily of land sales revenue, interest income, and income from forfeited customer deposits due to contract cancellations.</w:t>
            </w:r>
          </w:p>
        </w:tc>
      </w:tr>
      <w:tr>
        <w:trPr/>
        <w:tc>
          <w:tcPr>
            <w:tcW w:w="219"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(2)</w:t>
            </w:r>
          </w:p>
        </w:tc>
        <w:tc>
          <w:tcPr>
            <w:tcW w:w="9986"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Consists primarily of homebuilding and land sale costs, amortization of capitalized interest, inventory impairments and land option write-offs.</w:t>
            </w:r>
          </w:p>
        </w:tc>
      </w:tr>
      <w:tr>
        <w:trPr/>
        <w:tc>
          <w:tcPr>
            <w:tcW w:w="219"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(3)</w:t>
            </w:r>
          </w:p>
        </w:tc>
        <w:tc>
          <w:tcPr>
            <w:tcW w:w="9986"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Consists primarily of other interest expensed, and income (loss) from unconsolidated joint ventures.</w:t>
            </w:r>
          </w:p>
        </w:tc>
      </w:tr>
      <w:tr>
        <w:trPr/>
        <w:tc>
          <w:tcPr>
            <w:tcW w:w="219"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(4)</w:t>
            </w:r>
          </w:p>
        </w:tc>
        <w:tc>
          <w:tcPr>
            <w:tcW w:w="9986"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Consists primarily of corporate costs and shared services functions that are not allocated to the homebuilding or financial services reportable segments. In addition, includes the results of operations attributable to the KSA operating segment, which does not meet the quantitative thresholds for separate presentation as a reportable segment.</w:t>
            </w:r>
          </w:p>
        </w:tc>
      </w:tr>
    </w:tbl>
    <w:p>
      <w:pPr>
        <w:pStyle w:val="TextBody"/>
        <w:bidi w:val="0"/>
        <w:spacing w:before="0" w:after="0"/>
        <w:jc w:val="left"/>
        <w:rPr/>
      </w:pPr>
      <w:r>
        <w:rPr/>
        <w:t> </w:t>
      </w:r>
    </w:p>
    <w:tbl>
      <w:tblPr>
        <w:tblW w:w="4378" w:type="dxa"/>
        <w:jc w:val="left"/>
        <w:tblInd w:w="0" w:type="dxa"/>
        <w:tblLayout w:type="fixed"/>
        <w:tblCellMar>
          <w:top w:w="28" w:type="dxa"/>
          <w:left w:w="0" w:type="dxa"/>
          <w:bottom w:w="0" w:type="dxa"/>
          <w:right w:w="0" w:type="dxa"/>
        </w:tblCellMar>
      </w:tblPr>
      <w:tblGrid>
        <w:gridCol w:w="1670"/>
        <w:gridCol w:w="149"/>
        <w:gridCol w:w="1010"/>
        <w:gridCol w:w="60"/>
        <w:gridCol w:w="189"/>
        <w:gridCol w:w="1300"/>
      </w:tblGrid>
      <w:tr>
        <w:trPr/>
        <w:tc>
          <w:tcPr>
            <w:tcW w:w="1670" w:type="dxa"/>
            <w:tcBorders>
              <w:top w:val="single" w:sz="8" w:space="0" w:color="000000"/>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 thousands)</w:t>
            </w:r>
          </w:p>
        </w:tc>
        <w:tc>
          <w:tcPr>
            <w:tcW w:w="1159" w:type="dxa"/>
            <w:gridSpan w:val="2"/>
            <w:tcBorders>
              <w:top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July 31, 2026</w:t>
            </w:r>
          </w:p>
        </w:tc>
        <w:tc>
          <w:tcPr>
            <w:tcW w:w="60" w:type="dxa"/>
            <w:tcBorders>
              <w:top w:val="single" w:sz="8" w:space="0" w:color="000000"/>
            </w:tcBorders>
            <w:vAlign w:val="center"/>
          </w:tcPr>
          <w:p>
            <w:pPr>
              <w:pStyle w:val="TableContents"/>
              <w:bidi w:val="0"/>
              <w:spacing w:before="0" w:after="0"/>
              <w:jc w:val="left"/>
              <w:rPr/>
            </w:pPr>
            <w:r>
              <w:rPr/>
              <w:t> </w:t>
            </w:r>
          </w:p>
        </w:tc>
        <w:tc>
          <w:tcPr>
            <w:tcW w:w="1489" w:type="dxa"/>
            <w:gridSpan w:val="2"/>
            <w:tcBorders>
              <w:top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October 31, 2025</w:t>
            </w:r>
          </w:p>
        </w:tc>
      </w:tr>
      <w:tr>
        <w:trPr/>
        <w:tc>
          <w:tcPr>
            <w:tcW w:w="1670" w:type="dxa"/>
            <w:tcBorders>
              <w:top w:val="single" w:sz="8" w:space="0" w:color="000000"/>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49" w:type="dxa"/>
            <w:tcBorders>
              <w:top w:val="single" w:sz="8" w:space="0" w:color="000000"/>
            </w:tcBorders>
            <w:shd w:fill="CCEEFF" w:val="clear"/>
            <w:vAlign w:val="center"/>
          </w:tcPr>
          <w:p>
            <w:pPr>
              <w:pStyle w:val="TableContents"/>
              <w:bidi w:val="0"/>
              <w:spacing w:before="0" w:after="0"/>
              <w:jc w:val="left"/>
              <w:rPr/>
            </w:pPr>
            <w:r>
              <w:rPr/>
              <w:t> </w:t>
            </w:r>
          </w:p>
        </w:tc>
        <w:tc>
          <w:tcPr>
            <w:tcW w:w="1010" w:type="dxa"/>
            <w:tcBorders>
              <w:top w:val="single" w:sz="8" w:space="0" w:color="000000"/>
            </w:tcBorders>
            <w:shd w:fill="CCEEFF" w:val="clear"/>
            <w:vAlign w:val="center"/>
          </w:tcPr>
          <w:p>
            <w:pPr>
              <w:pStyle w:val="TableContents"/>
              <w:bidi w:val="0"/>
              <w:spacing w:before="0" w:after="0"/>
              <w:jc w:val="left"/>
              <w:rPr/>
            </w:pPr>
            <w:r>
              <w:rPr/>
              <w:t> </w:t>
            </w:r>
          </w:p>
        </w:tc>
        <w:tc>
          <w:tcPr>
            <w:tcW w:w="60" w:type="dxa"/>
            <w:tcBorders>
              <w:top w:val="single" w:sz="8" w:space="0" w:color="000000"/>
            </w:tcBorders>
            <w:shd w:fill="CCEEFF" w:val="clear"/>
            <w:vAlign w:val="center"/>
          </w:tcPr>
          <w:p>
            <w:pPr>
              <w:pStyle w:val="TableContents"/>
              <w:bidi w:val="0"/>
              <w:spacing w:before="0" w:after="0"/>
              <w:jc w:val="left"/>
              <w:rPr/>
            </w:pPr>
            <w:r>
              <w:rPr/>
              <w:t> </w:t>
            </w:r>
          </w:p>
        </w:tc>
        <w:tc>
          <w:tcPr>
            <w:tcW w:w="189" w:type="dxa"/>
            <w:tcBorders>
              <w:top w:val="single" w:sz="8" w:space="0" w:color="000000"/>
            </w:tcBorders>
            <w:shd w:fill="CCEEFF" w:val="clear"/>
            <w:vAlign w:val="center"/>
          </w:tcPr>
          <w:p>
            <w:pPr>
              <w:pStyle w:val="TableContents"/>
              <w:bidi w:val="0"/>
              <w:spacing w:before="0" w:after="0"/>
              <w:jc w:val="left"/>
              <w:rPr/>
            </w:pPr>
            <w:r>
              <w:rPr/>
              <w:t> </w:t>
            </w:r>
          </w:p>
        </w:tc>
        <w:tc>
          <w:tcPr>
            <w:tcW w:w="1300" w:type="dxa"/>
            <w:tcBorders>
              <w:top w:val="single" w:sz="8" w:space="0" w:color="000000"/>
            </w:tcBorders>
            <w:shd w:fill="CCEEFF" w:val="clear"/>
            <w:vAlign w:val="center"/>
          </w:tcPr>
          <w:p>
            <w:pPr>
              <w:pStyle w:val="TableContents"/>
              <w:bidi w:val="0"/>
              <w:spacing w:before="0" w:after="0"/>
              <w:jc w:val="left"/>
              <w:rPr/>
            </w:pPr>
            <w:r>
              <w:rPr/>
              <w:t> </w:t>
            </w:r>
          </w:p>
        </w:tc>
      </w:tr>
      <w:tr>
        <w:trPr/>
        <w:tc>
          <w:tcPr>
            <w:tcW w:w="1670" w:type="dxa"/>
            <w:tcBorders/>
            <w:shd w:fill="FFFFFF" w:val="clear"/>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Northeast</w:t>
            </w:r>
          </w:p>
        </w:tc>
        <w:tc>
          <w:tcPr>
            <w:tcW w:w="149" w:type="dxa"/>
            <w:tcBorders/>
            <w:shd w:fill="FFFFFF" w:val="clear"/>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0" w:type="dxa"/>
            <w:tcBorders/>
            <w:shd w:fill="FFFFFF" w:val="clear"/>
            <w:tcMar>
              <w:top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692,580</w:t>
            </w:r>
          </w:p>
        </w:tc>
        <w:tc>
          <w:tcPr>
            <w:tcW w:w="60" w:type="dxa"/>
            <w:tcBorders/>
            <w:shd w:fill="FFFFFF" w:val="clear"/>
            <w:tcMar>
              <w:top w:w="0" w:type="dxa"/>
            </w:tcMar>
            <w:vAlign w:val="center"/>
          </w:tcPr>
          <w:p>
            <w:pPr>
              <w:pStyle w:val="TableContents"/>
              <w:bidi w:val="0"/>
              <w:spacing w:before="0" w:after="0"/>
              <w:jc w:val="left"/>
              <w:rPr/>
            </w:pPr>
            <w:r>
              <w:rPr/>
              <w:t> </w:t>
            </w:r>
          </w:p>
        </w:tc>
        <w:tc>
          <w:tcPr>
            <w:tcW w:w="189" w:type="dxa"/>
            <w:tcBorders/>
            <w:shd w:fill="FFFFFF" w:val="clear"/>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00" w:type="dxa"/>
            <w:tcBorders/>
            <w:shd w:fill="FFFFFF" w:val="clear"/>
            <w:tcMar>
              <w:top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672,021</w:t>
            </w:r>
          </w:p>
        </w:tc>
      </w:tr>
      <w:tr>
        <w:trPr/>
        <w:tc>
          <w:tcPr>
            <w:tcW w:w="1670" w:type="dxa"/>
            <w:tcBorders/>
            <w:shd w:fill="CCEEFF" w:val="clear"/>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Southeast</w:t>
            </w:r>
          </w:p>
        </w:tc>
        <w:tc>
          <w:tcPr>
            <w:tcW w:w="149" w:type="dxa"/>
            <w:tcBorders/>
            <w:shd w:fill="CCEEFF" w:val="clear"/>
            <w:tcMar>
              <w:top w:w="0" w:type="dxa"/>
            </w:tcMar>
            <w:vAlign w:val="center"/>
          </w:tcPr>
          <w:p>
            <w:pPr>
              <w:pStyle w:val="TableContents"/>
              <w:bidi w:val="0"/>
              <w:spacing w:before="0" w:after="0"/>
              <w:jc w:val="left"/>
              <w:rPr/>
            </w:pPr>
            <w:r>
              <w:rPr/>
              <w:t> </w:t>
            </w:r>
          </w:p>
        </w:tc>
        <w:tc>
          <w:tcPr>
            <w:tcW w:w="1010" w:type="dxa"/>
            <w:tcBorders/>
            <w:shd w:fill="CCEEFF" w:val="clear"/>
            <w:tcMar>
              <w:top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351,299</w:t>
            </w:r>
          </w:p>
        </w:tc>
        <w:tc>
          <w:tcPr>
            <w:tcW w:w="60" w:type="dxa"/>
            <w:tcBorders/>
            <w:shd w:fill="CCEEFF" w:val="clear"/>
            <w:tcMar>
              <w:top w:w="0" w:type="dxa"/>
            </w:tcMar>
            <w:vAlign w:val="center"/>
          </w:tcPr>
          <w:p>
            <w:pPr>
              <w:pStyle w:val="TableContents"/>
              <w:bidi w:val="0"/>
              <w:spacing w:before="0" w:after="0"/>
              <w:jc w:val="left"/>
              <w:rPr/>
            </w:pPr>
            <w:r>
              <w:rPr/>
              <w:t> </w:t>
            </w:r>
          </w:p>
        </w:tc>
        <w:tc>
          <w:tcPr>
            <w:tcW w:w="189" w:type="dxa"/>
            <w:tcBorders/>
            <w:shd w:fill="CCEEFF" w:val="clear"/>
            <w:tcMar>
              <w:top w:w="0" w:type="dxa"/>
            </w:tcMar>
            <w:vAlign w:val="center"/>
          </w:tcPr>
          <w:p>
            <w:pPr>
              <w:pStyle w:val="TableContents"/>
              <w:bidi w:val="0"/>
              <w:spacing w:before="0" w:after="0"/>
              <w:jc w:val="left"/>
              <w:rPr/>
            </w:pPr>
            <w:r>
              <w:rPr/>
              <w:t> </w:t>
            </w:r>
          </w:p>
        </w:tc>
        <w:tc>
          <w:tcPr>
            <w:tcW w:w="1300" w:type="dxa"/>
            <w:tcBorders/>
            <w:shd w:fill="CCEEFF" w:val="clear"/>
            <w:tcMar>
              <w:top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358,383</w:t>
            </w:r>
          </w:p>
        </w:tc>
      </w:tr>
      <w:tr>
        <w:trPr/>
        <w:tc>
          <w:tcPr>
            <w:tcW w:w="1670" w:type="dxa"/>
            <w:tcBorders>
              <w:bottom w:val="single" w:sz="8" w:space="0" w:color="000000"/>
            </w:tcBorders>
            <w:shd w:fill="FFFFFF" w:val="clear"/>
            <w:tcMar>
              <w:top w:w="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West</w:t>
            </w:r>
          </w:p>
        </w:tc>
        <w:tc>
          <w:tcPr>
            <w:tcW w:w="149" w:type="dxa"/>
            <w:tcBorders>
              <w:bottom w:val="single" w:sz="8" w:space="0" w:color="000000"/>
            </w:tcBorders>
            <w:shd w:fill="FFFFFF" w:val="clear"/>
            <w:tcMar>
              <w:top w:w="0" w:type="dxa"/>
              <w:bottom w:w="28" w:type="dxa"/>
            </w:tcMar>
            <w:vAlign w:val="center"/>
          </w:tcPr>
          <w:p>
            <w:pPr>
              <w:pStyle w:val="TableContents"/>
              <w:bidi w:val="0"/>
              <w:spacing w:before="0" w:after="0"/>
              <w:jc w:val="left"/>
              <w:rPr/>
            </w:pPr>
            <w:r>
              <w:rPr/>
              <w:t> </w:t>
            </w:r>
          </w:p>
        </w:tc>
        <w:tc>
          <w:tcPr>
            <w:tcW w:w="1010" w:type="dxa"/>
            <w:tcBorders>
              <w:bottom w:val="single" w:sz="8" w:space="0" w:color="000000"/>
            </w:tcBorders>
            <w:shd w:fill="FFFFFF" w:val="clear"/>
            <w:tcMar>
              <w:top w:w="0"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815,664</w:t>
            </w:r>
          </w:p>
        </w:tc>
        <w:tc>
          <w:tcPr>
            <w:tcW w:w="60" w:type="dxa"/>
            <w:tcBorders>
              <w:bottom w:val="single" w:sz="8" w:space="0" w:color="000000"/>
            </w:tcBorders>
            <w:shd w:fill="FFFFFF" w:val="clear"/>
            <w:tcMar>
              <w:top w:w="0" w:type="dxa"/>
              <w:bottom w:w="28" w:type="dxa"/>
            </w:tcMar>
            <w:vAlign w:val="center"/>
          </w:tcPr>
          <w:p>
            <w:pPr>
              <w:pStyle w:val="TableContents"/>
              <w:bidi w:val="0"/>
              <w:spacing w:before="0" w:after="0"/>
              <w:jc w:val="left"/>
              <w:rPr/>
            </w:pPr>
            <w:r>
              <w:rPr/>
              <w:t> </w:t>
            </w:r>
          </w:p>
        </w:tc>
        <w:tc>
          <w:tcPr>
            <w:tcW w:w="189" w:type="dxa"/>
            <w:tcBorders>
              <w:bottom w:val="single" w:sz="8" w:space="0" w:color="000000"/>
            </w:tcBorders>
            <w:shd w:fill="FFFFFF" w:val="clear"/>
            <w:tcMar>
              <w:top w:w="0" w:type="dxa"/>
              <w:bottom w:w="28" w:type="dxa"/>
            </w:tcMar>
            <w:vAlign w:val="center"/>
          </w:tcPr>
          <w:p>
            <w:pPr>
              <w:pStyle w:val="TableContents"/>
              <w:bidi w:val="0"/>
              <w:spacing w:before="0" w:after="0"/>
              <w:jc w:val="left"/>
              <w:rPr/>
            </w:pPr>
            <w:r>
              <w:rPr/>
              <w:t> </w:t>
            </w:r>
          </w:p>
        </w:tc>
        <w:tc>
          <w:tcPr>
            <w:tcW w:w="1300" w:type="dxa"/>
            <w:tcBorders>
              <w:bottom w:val="single" w:sz="8" w:space="0" w:color="000000"/>
            </w:tcBorders>
            <w:shd w:fill="FFFFFF" w:val="clear"/>
            <w:tcMar>
              <w:top w:w="0"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829,683</w:t>
            </w:r>
          </w:p>
        </w:tc>
      </w:tr>
      <w:tr>
        <w:trPr/>
        <w:tc>
          <w:tcPr>
            <w:tcW w:w="1670" w:type="dxa"/>
            <w:tcBorders>
              <w:top w:val="single" w:sz="8" w:space="0" w:color="000000"/>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homebuilding</w:t>
            </w:r>
          </w:p>
        </w:tc>
        <w:tc>
          <w:tcPr>
            <w:tcW w:w="149" w:type="dxa"/>
            <w:tcBorders>
              <w:top w:val="single" w:sz="8" w:space="0" w:color="000000"/>
            </w:tcBorders>
            <w:shd w:fill="CCEEFF" w:val="clear"/>
            <w:vAlign w:val="center"/>
          </w:tcPr>
          <w:p>
            <w:pPr>
              <w:pStyle w:val="TableContents"/>
              <w:bidi w:val="0"/>
              <w:spacing w:before="0" w:after="0"/>
              <w:jc w:val="left"/>
              <w:rPr/>
            </w:pPr>
            <w:r>
              <w:rPr/>
              <w:t> </w:t>
            </w:r>
          </w:p>
        </w:tc>
        <w:tc>
          <w:tcPr>
            <w:tcW w:w="1010" w:type="dxa"/>
            <w:tcBorders>
              <w:top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1,859,543</w:t>
            </w:r>
          </w:p>
        </w:tc>
        <w:tc>
          <w:tcPr>
            <w:tcW w:w="60" w:type="dxa"/>
            <w:tcBorders>
              <w:top w:val="single" w:sz="8" w:space="0" w:color="000000"/>
            </w:tcBorders>
            <w:shd w:fill="CCEEFF" w:val="clear"/>
            <w:vAlign w:val="center"/>
          </w:tcPr>
          <w:p>
            <w:pPr>
              <w:pStyle w:val="TableContents"/>
              <w:bidi w:val="0"/>
              <w:spacing w:before="0" w:after="0"/>
              <w:jc w:val="left"/>
              <w:rPr/>
            </w:pPr>
            <w:r>
              <w:rPr/>
              <w:t> </w:t>
            </w:r>
          </w:p>
        </w:tc>
        <w:tc>
          <w:tcPr>
            <w:tcW w:w="189" w:type="dxa"/>
            <w:tcBorders>
              <w:top w:val="single" w:sz="8" w:space="0" w:color="000000"/>
            </w:tcBorders>
            <w:shd w:fill="CCEEFF" w:val="clear"/>
            <w:vAlign w:val="center"/>
          </w:tcPr>
          <w:p>
            <w:pPr>
              <w:pStyle w:val="TableContents"/>
              <w:bidi w:val="0"/>
              <w:spacing w:before="0" w:after="0"/>
              <w:jc w:val="left"/>
              <w:rPr/>
            </w:pPr>
            <w:r>
              <w:rPr/>
              <w:t> </w:t>
            </w:r>
          </w:p>
        </w:tc>
        <w:tc>
          <w:tcPr>
            <w:tcW w:w="1300" w:type="dxa"/>
            <w:tcBorders>
              <w:top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1,860,087</w:t>
            </w:r>
          </w:p>
        </w:tc>
      </w:tr>
      <w:tr>
        <w:trPr/>
        <w:tc>
          <w:tcPr>
            <w:tcW w:w="1670" w:type="dxa"/>
            <w:tcBorders>
              <w:bottom w:val="single" w:sz="8" w:space="0" w:color="000000"/>
            </w:tcBorders>
            <w:shd w:fill="FFFFFF" w:val="clear"/>
            <w:tcMar>
              <w:top w:w="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Financial services</w:t>
            </w:r>
          </w:p>
        </w:tc>
        <w:tc>
          <w:tcPr>
            <w:tcW w:w="149" w:type="dxa"/>
            <w:tcBorders>
              <w:bottom w:val="single" w:sz="8" w:space="0" w:color="000000"/>
            </w:tcBorders>
            <w:shd w:fill="FFFFFF" w:val="clear"/>
            <w:tcMar>
              <w:top w:w="0" w:type="dxa"/>
              <w:bottom w:w="28" w:type="dxa"/>
            </w:tcMar>
            <w:vAlign w:val="center"/>
          </w:tcPr>
          <w:p>
            <w:pPr>
              <w:pStyle w:val="TableContents"/>
              <w:bidi w:val="0"/>
              <w:spacing w:before="0" w:after="0"/>
              <w:jc w:val="left"/>
              <w:rPr/>
            </w:pPr>
            <w:r>
              <w:rPr/>
              <w:t> </w:t>
            </w:r>
          </w:p>
        </w:tc>
        <w:tc>
          <w:tcPr>
            <w:tcW w:w="1010" w:type="dxa"/>
            <w:tcBorders>
              <w:bottom w:val="single" w:sz="8" w:space="0" w:color="000000"/>
            </w:tcBorders>
            <w:shd w:fill="FFFFFF" w:val="clear"/>
            <w:tcMar>
              <w:top w:w="0"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162,720</w:t>
            </w:r>
          </w:p>
        </w:tc>
        <w:tc>
          <w:tcPr>
            <w:tcW w:w="60" w:type="dxa"/>
            <w:tcBorders>
              <w:bottom w:val="single" w:sz="8" w:space="0" w:color="000000"/>
            </w:tcBorders>
            <w:shd w:fill="FFFFFF" w:val="clear"/>
            <w:tcMar>
              <w:top w:w="0" w:type="dxa"/>
              <w:bottom w:w="28" w:type="dxa"/>
            </w:tcMar>
            <w:vAlign w:val="center"/>
          </w:tcPr>
          <w:p>
            <w:pPr>
              <w:pStyle w:val="TableContents"/>
              <w:bidi w:val="0"/>
              <w:spacing w:before="0" w:after="0"/>
              <w:jc w:val="left"/>
              <w:rPr/>
            </w:pPr>
            <w:r>
              <w:rPr/>
              <w:t> </w:t>
            </w:r>
          </w:p>
        </w:tc>
        <w:tc>
          <w:tcPr>
            <w:tcW w:w="189" w:type="dxa"/>
            <w:tcBorders>
              <w:bottom w:val="single" w:sz="8" w:space="0" w:color="000000"/>
            </w:tcBorders>
            <w:shd w:fill="FFFFFF" w:val="clear"/>
            <w:tcMar>
              <w:top w:w="0" w:type="dxa"/>
              <w:bottom w:w="28" w:type="dxa"/>
            </w:tcMar>
            <w:vAlign w:val="center"/>
          </w:tcPr>
          <w:p>
            <w:pPr>
              <w:pStyle w:val="TableContents"/>
              <w:bidi w:val="0"/>
              <w:spacing w:before="0" w:after="0"/>
              <w:jc w:val="left"/>
              <w:rPr/>
            </w:pPr>
            <w:r>
              <w:rPr/>
              <w:t> </w:t>
            </w:r>
          </w:p>
        </w:tc>
        <w:tc>
          <w:tcPr>
            <w:tcW w:w="1300" w:type="dxa"/>
            <w:tcBorders>
              <w:bottom w:val="single" w:sz="8" w:space="0" w:color="000000"/>
            </w:tcBorders>
            <w:shd w:fill="FFFFFF" w:val="clear"/>
            <w:tcMar>
              <w:top w:w="0"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151,211</w:t>
            </w:r>
          </w:p>
        </w:tc>
      </w:tr>
      <w:tr>
        <w:trPr/>
        <w:tc>
          <w:tcPr>
            <w:tcW w:w="1670" w:type="dxa"/>
            <w:tcBorders>
              <w:top w:val="single" w:sz="8" w:space="0" w:color="000000"/>
              <w:bottom w:val="double" w:sz="6"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49" w:type="dxa"/>
            <w:tcBorders>
              <w:top w:val="single" w:sz="8" w:space="0" w:color="000000"/>
              <w:bottom w:val="double" w:sz="6"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0" w:type="dxa"/>
            <w:tcBorders>
              <w:top w:val="single" w:sz="8" w:space="0" w:color="000000"/>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2,022,263</w:t>
            </w:r>
          </w:p>
        </w:tc>
        <w:tc>
          <w:tcPr>
            <w:tcW w:w="60" w:type="dxa"/>
            <w:tcBorders>
              <w:top w:val="single" w:sz="8" w:space="0" w:color="000000"/>
              <w:bottom w:val="double" w:sz="6" w:space="0" w:color="000000"/>
            </w:tcBorders>
            <w:shd w:fill="CCEEFF" w:val="clear"/>
            <w:tcMar>
              <w:bottom w:w="28" w:type="dxa"/>
            </w:tcMar>
            <w:vAlign w:val="center"/>
          </w:tcPr>
          <w:p>
            <w:pPr>
              <w:pStyle w:val="TableContents"/>
              <w:bidi w:val="0"/>
              <w:spacing w:before="0" w:after="0"/>
              <w:jc w:val="left"/>
              <w:rPr/>
            </w:pPr>
            <w:r>
              <w:rPr/>
              <w:t> </w:t>
            </w:r>
          </w:p>
        </w:tc>
        <w:tc>
          <w:tcPr>
            <w:tcW w:w="189" w:type="dxa"/>
            <w:tcBorders>
              <w:top w:val="single" w:sz="8" w:space="0" w:color="000000"/>
              <w:bottom w:val="double" w:sz="6"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00" w:type="dxa"/>
            <w:tcBorders>
              <w:top w:val="single" w:sz="8" w:space="0" w:color="000000"/>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2,011,298</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pPr>
      <w:hyperlink w:anchor="TOC_TableofContent">
        <w:r>
          <w:rPr>
            <w:rStyle w:val="InternetLink"/>
            <w:strike w:val="false"/>
            <w:dstrike w:val="false"/>
            <w:color w:val="0000FF"/>
            <w:sz w:val="20"/>
            <w:u w:val="single"/>
            <w:effect w:val="none"/>
          </w:rPr>
          <w:t>Table of Contents</w:t>
        </w:r>
      </w:hyperlink>
    </w:p>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290"/>
        <w:gridCol w:w="7145"/>
      </w:tblGrid>
      <w:tr>
        <w:trPr/>
        <w:tc>
          <w:tcPr>
            <w:tcW w:w="290" w:type="dxa"/>
            <w:tcBorders/>
            <w:vAlign w:val="center"/>
          </w:tcPr>
          <w:p>
            <w:pPr>
              <w:pStyle w:val="TableContents"/>
              <w:bidi w:val="0"/>
              <w:spacing w:lineRule="atLeast" w:line="240" w:before="0" w:after="0"/>
              <w:jc w:val="left"/>
              <w:rPr>
                <w:rFonts w:ascii="Times New Roman" w:hAnsi="Times New Roman"/>
                <w:b/>
                <w:sz w:val="20"/>
              </w:rPr>
            </w:pPr>
            <w:r>
              <w:rPr>
                <w:rFonts w:ascii="Times New Roman" w:hAnsi="Times New Roman"/>
                <w:b/>
                <w:sz w:val="20"/>
              </w:rPr>
              <w:t>18.</w:t>
            </w:r>
          </w:p>
        </w:tc>
        <w:tc>
          <w:tcPr>
            <w:tcW w:w="7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Investments in Unconsolidated Homebuilding and Land Development Joint Ventures</w:t>
            </w:r>
          </w:p>
        </w:tc>
      </w:tr>
    </w:tbl>
    <w:p>
      <w:pPr>
        <w:pStyle w:val="TextBody"/>
        <w:bidi w:val="0"/>
        <w:spacing w:lineRule="atLeast" w:line="240" w:before="200" w:after="0"/>
        <w:ind w:left="0" w:right="0" w:firstLine="900"/>
        <w:jc w:val="left"/>
        <w:rPr>
          <w:rFonts w:ascii="Times New Roman" w:hAnsi="Times New Roman"/>
          <w:sz w:val="20"/>
        </w:rPr>
      </w:pPr>
      <w:r>
        <w:rPr>
          <w:rFonts w:ascii="Times New Roman" w:hAnsi="Times New Roman"/>
          <w:sz w:val="20"/>
        </w:rPr>
        <w:t>We enter into homebuilding and land development joint ventures from time to time as a means of accessing lot positions, expanding our market opportunities, establishing strategic alliances, managing our risk profile, leveraging our capital base and enhancing returns on capital.</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rFonts w:ascii="Times New Roman" w:hAnsi="Times New Roman"/>
          <w:sz w:val="20"/>
        </w:rPr>
        <w:t>During the first quarter of fiscal 2025, we contributed four</w:t>
      </w:r>
      <w:r>
        <w:rPr/>
        <w:t> </w:t>
      </w:r>
      <w:r>
        <w:rPr>
          <w:rFonts w:ascii="Times New Roman" w:hAnsi="Times New Roman"/>
          <w:sz w:val="20"/>
        </w:rPr>
        <w:t>active selling communities we owned</w:t>
      </w:r>
      <w:r>
        <w:rPr/>
        <w:t> </w:t>
      </w:r>
      <w:r>
        <w:rPr>
          <w:rFonts w:ascii="Times New Roman" w:hAnsi="Times New Roman"/>
          <w:sz w:val="20"/>
        </w:rPr>
        <w:t>to</w:t>
      </w:r>
      <w:r>
        <w:rPr/>
        <w:t> </w:t>
      </w:r>
      <w:r>
        <w:rPr>
          <w:rFonts w:ascii="Times New Roman" w:hAnsi="Times New Roman"/>
          <w:sz w:val="20"/>
        </w:rPr>
        <w:t>one</w:t>
      </w:r>
      <w:r>
        <w:rPr/>
        <w:t> </w:t>
      </w:r>
      <w:r>
        <w:rPr>
          <w:rFonts w:ascii="Times New Roman" w:hAnsi="Times New Roman"/>
          <w:sz w:val="20"/>
        </w:rPr>
        <w:t>new unconsolidated joint venture for $20.8</w:t>
      </w:r>
      <w:r>
        <w:rPr/>
        <w:t> </w:t>
      </w:r>
      <w:r>
        <w:rPr>
          <w:rFonts w:ascii="Times New Roman" w:hAnsi="Times New Roman"/>
          <w:sz w:val="20"/>
        </w:rPr>
        <w:t>million of net cash and a $50.0</w:t>
      </w:r>
      <w:r>
        <w:rPr/>
        <w:t xml:space="preserve"> </w:t>
      </w:r>
      <w:r>
        <w:rPr>
          <w:rFonts w:ascii="Times New Roman" w:hAnsi="Times New Roman"/>
          <w:sz w:val="20"/>
        </w:rPr>
        <w:t>million note receivable, resulting in a gain of $22.7</w:t>
      </w:r>
      <w:r>
        <w:rPr/>
        <w:t xml:space="preserve"> </w:t>
      </w:r>
      <w:r>
        <w:rPr>
          <w:rFonts w:ascii="Times New Roman" w:hAnsi="Times New Roman"/>
          <w:sz w:val="20"/>
        </w:rPr>
        <w:t>million, which was recorded in “Other expense (income), net.”</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rFonts w:ascii="Times New Roman" w:hAnsi="Times New Roman"/>
          <w:sz w:val="20"/>
        </w:rPr>
        <w:t>During the third quarter of fiscal 2025, we contributed two</w:t>
      </w:r>
      <w:r>
        <w:rPr/>
        <w:t xml:space="preserve"> </w:t>
      </w:r>
      <w:r>
        <w:rPr>
          <w:rFonts w:ascii="Times New Roman" w:hAnsi="Times New Roman"/>
          <w:sz w:val="20"/>
        </w:rPr>
        <w:t>communities in planning to a new unconsolidated joint venture for $2.8</w:t>
      </w:r>
      <w:r>
        <w:rPr/>
        <w:t xml:space="preserve"> </w:t>
      </w:r>
      <w:r>
        <w:rPr>
          <w:rFonts w:ascii="Times New Roman" w:hAnsi="Times New Roman"/>
          <w:sz w:val="20"/>
        </w:rPr>
        <w:t>million of cash.</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rFonts w:ascii="Times New Roman" w:hAnsi="Times New Roman"/>
          <w:sz w:val="20"/>
        </w:rPr>
        <w:t>During the first quarter of fiscal</w:t>
      </w:r>
      <w:r>
        <w:rPr/>
        <w:t> </w:t>
      </w:r>
      <w:r>
        <w:rPr>
          <w:rFonts w:ascii="Times New Roman" w:hAnsi="Times New Roman"/>
          <w:sz w:val="20"/>
        </w:rPr>
        <w:t>2026,</w:t>
      </w:r>
      <w:r>
        <w:rPr/>
        <w:t> </w:t>
      </w:r>
      <w:r>
        <w:rPr>
          <w:rFonts w:ascii="Times New Roman" w:hAnsi="Times New Roman"/>
          <w:sz w:val="20"/>
        </w:rPr>
        <w:t>we</w:t>
      </w:r>
      <w:r>
        <w:rPr/>
        <w:t> </w:t>
      </w:r>
      <w:r>
        <w:rPr>
          <w:rFonts w:ascii="Times New Roman" w:hAnsi="Times New Roman"/>
          <w:sz w:val="20"/>
        </w:rPr>
        <w:t>assumed control of</w:t>
      </w:r>
      <w:r>
        <w:rPr/>
        <w:t> </w:t>
      </w:r>
      <w:r>
        <w:rPr>
          <w:rFonts w:ascii="Times New Roman" w:hAnsi="Times New Roman"/>
          <w:sz w:val="20"/>
        </w:rPr>
        <w:t>one</w:t>
      </w:r>
      <w:r>
        <w:rPr/>
        <w:t> </w:t>
      </w:r>
      <w:r>
        <w:rPr>
          <w:rFonts w:ascii="Times New Roman" w:hAnsi="Times New Roman"/>
          <w:sz w:val="20"/>
        </w:rPr>
        <w:t>of our unconsolidated joint ventures after the partner received their final cash distribution.</w:t>
      </w:r>
      <w:r>
        <w:rPr/>
        <w:t> </w:t>
      </w:r>
      <w:r>
        <w:rPr>
          <w:rFonts w:ascii="Times New Roman" w:hAnsi="Times New Roman"/>
          <w:sz w:val="20"/>
        </w:rPr>
        <w:t>We consolidated the remaining assets and liabilities that were in the unconsolidated joint venture at fair value. We also purchased an additional equity stake in one of our unconsolidated joint ventures that gave us a controlling financial interest. The</w:t>
      </w:r>
      <w:r>
        <w:rPr/>
        <w:t> </w:t>
      </w:r>
      <w:r>
        <w:rPr>
          <w:rFonts w:ascii="Times New Roman" w:hAnsi="Times New Roman"/>
          <w:sz w:val="20"/>
        </w:rPr>
        <w:t>total gain recorded from the</w:t>
      </w:r>
      <w:r>
        <w:rPr/>
        <w:t> </w:t>
      </w:r>
      <w:r>
        <w:rPr>
          <w:rFonts w:ascii="Times New Roman" w:hAnsi="Times New Roman"/>
          <w:sz w:val="20"/>
        </w:rPr>
        <w:t>two</w:t>
      </w:r>
      <w:r>
        <w:rPr/>
        <w:t> </w:t>
      </w:r>
      <w:r>
        <w:rPr>
          <w:rFonts w:ascii="Times New Roman" w:hAnsi="Times New Roman"/>
          <w:sz w:val="20"/>
        </w:rPr>
        <w:t>transactions was $26.8</w:t>
      </w:r>
      <w:r>
        <w:rPr/>
        <w:t> </w:t>
      </w:r>
      <w:r>
        <w:rPr>
          <w:rFonts w:ascii="Times New Roman" w:hAnsi="Times New Roman"/>
          <w:sz w:val="20"/>
        </w:rPr>
        <w:t>million, which was recorded to</w:t>
      </w:r>
      <w:r>
        <w:rPr/>
        <w:t> “</w:t>
      </w:r>
      <w:r>
        <w:rPr>
          <w:rFonts w:ascii="Times New Roman" w:hAnsi="Times New Roman"/>
          <w:sz w:val="20"/>
        </w:rPr>
        <w:t>Other expense (income), net."</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rFonts w:ascii="Times New Roman" w:hAnsi="Times New Roman"/>
          <w:sz w:val="20"/>
        </w:rPr>
        <w:t>During the first quarter of fiscal 2026,</w:t>
      </w:r>
      <w:r>
        <w:rPr/>
        <w:t> </w:t>
      </w:r>
      <w:r>
        <w:rPr>
          <w:rFonts w:ascii="Times New Roman" w:hAnsi="Times New Roman"/>
          <w:sz w:val="20"/>
        </w:rPr>
        <w:t>we contributed</w:t>
      </w:r>
      <w:r>
        <w:rPr/>
        <w:t> </w:t>
      </w:r>
      <w:r>
        <w:rPr>
          <w:rFonts w:ascii="Times New Roman" w:hAnsi="Times New Roman"/>
          <w:sz w:val="20"/>
        </w:rPr>
        <w:t>twelve</w:t>
      </w:r>
      <w:r>
        <w:rPr/>
        <w:t> </w:t>
      </w:r>
      <w:r>
        <w:rPr>
          <w:rFonts w:ascii="Times New Roman" w:hAnsi="Times New Roman"/>
          <w:sz w:val="20"/>
        </w:rPr>
        <w:t>communities, including eleven</w:t>
      </w:r>
      <w:r>
        <w:rPr/>
        <w:t xml:space="preserve"> </w:t>
      </w:r>
      <w:r>
        <w:rPr>
          <w:rFonts w:ascii="Times New Roman" w:hAnsi="Times New Roman"/>
          <w:sz w:val="20"/>
        </w:rPr>
        <w:t>active selling communities and one</w:t>
      </w:r>
      <w:r>
        <w:rPr/>
        <w:t xml:space="preserve"> </w:t>
      </w:r>
      <w:r>
        <w:rPr>
          <w:rFonts w:ascii="Times New Roman" w:hAnsi="Times New Roman"/>
          <w:sz w:val="20"/>
        </w:rPr>
        <w:t>community in planning, to a new unconsolidated joint venture for $134.3</w:t>
      </w:r>
      <w:r>
        <w:rPr/>
        <w:t> </w:t>
      </w:r>
      <w:r>
        <w:rPr>
          <w:rFonts w:ascii="Times New Roman" w:hAnsi="Times New Roman"/>
          <w:sz w:val="20"/>
        </w:rPr>
        <w:t>million of net cash. The carrying value of the communities contributed approximated fair value.</w:t>
      </w:r>
    </w:p>
    <w:p>
      <w:pPr>
        <w:pStyle w:val="TextBody"/>
        <w:bidi w:val="0"/>
        <w:spacing w:lineRule="atLeast" w:line="240" w:before="200" w:after="200"/>
        <w:ind w:left="0" w:right="0" w:firstLine="900"/>
        <w:jc w:val="left"/>
        <w:rPr/>
      </w:pPr>
      <w:r>
        <w:rPr>
          <w:rFonts w:ascii="Times New Roman" w:hAnsi="Times New Roman"/>
          <w:sz w:val="20"/>
        </w:rPr>
        <w:t>The tables set forth below summarize the combined financial information related to our unconsolidated homebuilding joint ventures that are accounted for under the equity method.</w:t>
      </w:r>
      <w:r>
        <w:rPr/>
        <w:t> </w:t>
      </w:r>
      <w:r>
        <w:rPr>
          <w:rFonts w:ascii="Times New Roman" w:hAnsi="Times New Roman"/>
          <w:sz w:val="20"/>
        </w:rPr>
        <w:t>During the periods presented, we did not have an investment in any land development joint ventures.</w:t>
      </w:r>
    </w:p>
    <w:tbl>
      <w:tblPr>
        <w:tblW w:w="6331" w:type="dxa"/>
        <w:jc w:val="left"/>
        <w:tblInd w:w="0" w:type="dxa"/>
        <w:tblLayout w:type="fixed"/>
        <w:tblCellMar>
          <w:top w:w="0" w:type="dxa"/>
          <w:left w:w="0" w:type="dxa"/>
          <w:bottom w:w="28" w:type="dxa"/>
          <w:right w:w="0" w:type="dxa"/>
        </w:tblCellMar>
      </w:tblPr>
      <w:tblGrid>
        <w:gridCol w:w="3335"/>
        <w:gridCol w:w="220"/>
        <w:gridCol w:w="1227"/>
        <w:gridCol w:w="60"/>
        <w:gridCol w:w="223"/>
        <w:gridCol w:w="1266"/>
      </w:tblGrid>
      <w:tr>
        <w:trPr/>
        <w:tc>
          <w:tcPr>
            <w:tcW w:w="3335" w:type="dxa"/>
            <w:tcBorders>
              <w:bottom w:val="single" w:sz="8" w:space="0" w:color="000000"/>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 thousands)</w:t>
            </w:r>
          </w:p>
        </w:tc>
        <w:tc>
          <w:tcPr>
            <w:tcW w:w="1447" w:type="dxa"/>
            <w:gridSpan w:val="2"/>
            <w:tcBorders>
              <w:bottom w:val="single" w:sz="8" w:space="0" w:color="000000"/>
            </w:tcBorders>
            <w:vAlign w:val="center"/>
          </w:tcPr>
          <w:p>
            <w:pPr>
              <w:pStyle w:val="TableContents"/>
              <w:bidi w:val="0"/>
              <w:spacing w:before="0" w:after="0"/>
              <w:ind w:left="288" w:right="288" w:hanging="0"/>
              <w:jc w:val="center"/>
              <w:rPr>
                <w:rFonts w:ascii="Times New Roman" w:hAnsi="Times New Roman"/>
                <w:b/>
                <w:sz w:val="20"/>
              </w:rPr>
            </w:pPr>
            <w:r>
              <w:rPr>
                <w:rFonts w:ascii="Times New Roman" w:hAnsi="Times New Roman"/>
                <w:b/>
                <w:sz w:val="20"/>
              </w:rPr>
              <w:t>July 31, 2026</w:t>
            </w:r>
          </w:p>
        </w:tc>
        <w:tc>
          <w:tcPr>
            <w:tcW w:w="60" w:type="dxa"/>
            <w:tcBorders>
              <w:bottom w:val="single" w:sz="8" w:space="0" w:color="000000"/>
            </w:tcBorders>
            <w:vAlign w:val="center"/>
          </w:tcPr>
          <w:p>
            <w:pPr>
              <w:pStyle w:val="TableContents"/>
              <w:bidi w:val="0"/>
              <w:spacing w:before="0" w:after="0"/>
              <w:jc w:val="left"/>
              <w:rPr/>
            </w:pPr>
            <w:r>
              <w:rPr/>
              <w:t> </w:t>
            </w:r>
          </w:p>
        </w:tc>
        <w:tc>
          <w:tcPr>
            <w:tcW w:w="1489" w:type="dxa"/>
            <w:gridSpan w:val="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October 31, 2025</w:t>
            </w:r>
          </w:p>
        </w:tc>
      </w:tr>
      <w:tr>
        <w:trPr/>
        <w:tc>
          <w:tcPr>
            <w:tcW w:w="333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2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27"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223"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66"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r>
      <w:tr>
        <w:trPr/>
        <w:tc>
          <w:tcPr>
            <w:tcW w:w="3335" w:type="dxa"/>
            <w:tcBorders/>
            <w:shd w:fill="FFFF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Cash and cash equivalents</w:t>
            </w:r>
          </w:p>
        </w:tc>
        <w:tc>
          <w:tcPr>
            <w:tcW w:w="22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27"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39,506</w:t>
            </w:r>
          </w:p>
        </w:tc>
        <w:tc>
          <w:tcPr>
            <w:tcW w:w="60" w:type="dxa"/>
            <w:tcBorders/>
            <w:shd w:fill="FFFFFF" w:val="clear"/>
            <w:tcMar>
              <w:bottom w:w="0" w:type="dxa"/>
            </w:tcMar>
            <w:vAlign w:val="center"/>
          </w:tcPr>
          <w:p>
            <w:pPr>
              <w:pStyle w:val="TableContents"/>
              <w:bidi w:val="0"/>
              <w:spacing w:before="0" w:after="0"/>
              <w:jc w:val="left"/>
              <w:rPr/>
            </w:pPr>
            <w:r>
              <w:rPr/>
              <w:t> </w:t>
            </w:r>
          </w:p>
        </w:tc>
        <w:tc>
          <w:tcPr>
            <w:tcW w:w="223"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66"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104,066</w:t>
            </w:r>
          </w:p>
        </w:tc>
      </w:tr>
      <w:tr>
        <w:trPr/>
        <w:tc>
          <w:tcPr>
            <w:tcW w:w="3335" w:type="dxa"/>
            <w:tcBorders/>
            <w:shd w:fill="CCEE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Inventories</w:t>
            </w:r>
          </w:p>
        </w:tc>
        <w:tc>
          <w:tcPr>
            <w:tcW w:w="220" w:type="dxa"/>
            <w:tcBorders/>
            <w:shd w:fill="CCEEFF" w:val="clear"/>
            <w:tcMar>
              <w:bottom w:w="0" w:type="dxa"/>
            </w:tcMar>
            <w:vAlign w:val="center"/>
          </w:tcPr>
          <w:p>
            <w:pPr>
              <w:pStyle w:val="TableContents"/>
              <w:bidi w:val="0"/>
              <w:spacing w:before="0" w:after="0"/>
              <w:jc w:val="left"/>
              <w:rPr/>
            </w:pPr>
            <w:r>
              <w:rPr/>
              <w:t> </w:t>
            </w:r>
          </w:p>
        </w:tc>
        <w:tc>
          <w:tcPr>
            <w:tcW w:w="1227"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545,938</w:t>
            </w:r>
          </w:p>
        </w:tc>
        <w:tc>
          <w:tcPr>
            <w:tcW w:w="60" w:type="dxa"/>
            <w:tcBorders/>
            <w:shd w:fill="CCEEFF" w:val="clear"/>
            <w:tcMar>
              <w:bottom w:w="0" w:type="dxa"/>
            </w:tcMar>
            <w:vAlign w:val="center"/>
          </w:tcPr>
          <w:p>
            <w:pPr>
              <w:pStyle w:val="TableContents"/>
              <w:bidi w:val="0"/>
              <w:spacing w:before="0" w:after="0"/>
              <w:jc w:val="left"/>
              <w:rPr/>
            </w:pPr>
            <w:r>
              <w:rPr/>
              <w:t> </w:t>
            </w:r>
          </w:p>
        </w:tc>
        <w:tc>
          <w:tcPr>
            <w:tcW w:w="223" w:type="dxa"/>
            <w:tcBorders/>
            <w:shd w:fill="CCEEFF" w:val="clear"/>
            <w:tcMar>
              <w:bottom w:w="0" w:type="dxa"/>
            </w:tcMar>
            <w:vAlign w:val="center"/>
          </w:tcPr>
          <w:p>
            <w:pPr>
              <w:pStyle w:val="TableContents"/>
              <w:bidi w:val="0"/>
              <w:spacing w:before="0" w:after="0"/>
              <w:jc w:val="left"/>
              <w:rPr/>
            </w:pPr>
            <w:r>
              <w:rPr/>
              <w:t> </w:t>
            </w:r>
          </w:p>
        </w:tc>
        <w:tc>
          <w:tcPr>
            <w:tcW w:w="1266"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487,965</w:t>
            </w:r>
          </w:p>
        </w:tc>
      </w:tr>
      <w:tr>
        <w:trPr/>
        <w:tc>
          <w:tcPr>
            <w:tcW w:w="3335" w:type="dxa"/>
            <w:tcBorders>
              <w:bottom w:val="single" w:sz="8" w:space="0" w:color="000000"/>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Other assets</w:t>
            </w:r>
          </w:p>
        </w:tc>
        <w:tc>
          <w:tcPr>
            <w:tcW w:w="220" w:type="dxa"/>
            <w:tcBorders>
              <w:bottom w:val="single" w:sz="8" w:space="0" w:color="000000"/>
            </w:tcBorders>
            <w:shd w:fill="FFFFFF" w:val="clear"/>
            <w:vAlign w:val="center"/>
          </w:tcPr>
          <w:p>
            <w:pPr>
              <w:pStyle w:val="TableContents"/>
              <w:bidi w:val="0"/>
              <w:spacing w:before="0" w:after="0"/>
              <w:jc w:val="left"/>
              <w:rPr/>
            </w:pPr>
            <w:r>
              <w:rPr/>
              <w:t> </w:t>
            </w:r>
          </w:p>
        </w:tc>
        <w:tc>
          <w:tcPr>
            <w:tcW w:w="1227"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8,860</w:t>
            </w:r>
          </w:p>
        </w:tc>
        <w:tc>
          <w:tcPr>
            <w:tcW w:w="60" w:type="dxa"/>
            <w:tcBorders>
              <w:bottom w:val="single" w:sz="8" w:space="0" w:color="000000"/>
            </w:tcBorders>
            <w:shd w:fill="FFFFFF" w:val="clear"/>
            <w:vAlign w:val="center"/>
          </w:tcPr>
          <w:p>
            <w:pPr>
              <w:pStyle w:val="TableContents"/>
              <w:bidi w:val="0"/>
              <w:spacing w:before="0" w:after="0"/>
              <w:jc w:val="left"/>
              <w:rPr/>
            </w:pPr>
            <w:r>
              <w:rPr/>
              <w:t> </w:t>
            </w:r>
          </w:p>
        </w:tc>
        <w:tc>
          <w:tcPr>
            <w:tcW w:w="223" w:type="dxa"/>
            <w:tcBorders>
              <w:bottom w:val="single" w:sz="8" w:space="0" w:color="000000"/>
            </w:tcBorders>
            <w:shd w:fill="FFFFFF" w:val="clear"/>
            <w:vAlign w:val="center"/>
          </w:tcPr>
          <w:p>
            <w:pPr>
              <w:pStyle w:val="TableContents"/>
              <w:bidi w:val="0"/>
              <w:spacing w:before="0" w:after="0"/>
              <w:jc w:val="left"/>
              <w:rPr/>
            </w:pPr>
            <w:r>
              <w:rPr/>
              <w:t> </w:t>
            </w:r>
          </w:p>
        </w:tc>
        <w:tc>
          <w:tcPr>
            <w:tcW w:w="1266"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128,385</w:t>
            </w:r>
          </w:p>
        </w:tc>
      </w:tr>
      <w:tr>
        <w:trPr/>
        <w:tc>
          <w:tcPr>
            <w:tcW w:w="333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27"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594,304</w:t>
            </w:r>
          </w:p>
        </w:tc>
        <w:tc>
          <w:tcPr>
            <w:tcW w:w="6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223"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66"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720,416</w:t>
            </w:r>
          </w:p>
        </w:tc>
      </w:tr>
      <w:tr>
        <w:trPr/>
        <w:tc>
          <w:tcPr>
            <w:tcW w:w="3335" w:type="dxa"/>
            <w:tcBorders>
              <w:top w:val="double" w:sz="6" w:space="0" w:color="000000"/>
            </w:tcBorders>
            <w:shd w:fill="FFFF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 and equity:</w:t>
            </w:r>
          </w:p>
        </w:tc>
        <w:tc>
          <w:tcPr>
            <w:tcW w:w="220" w:type="dxa"/>
            <w:tcBorders>
              <w:top w:val="double" w:sz="6" w:space="0" w:color="000000"/>
            </w:tcBorders>
            <w:shd w:fill="FFFFFF" w:val="clear"/>
            <w:tcMar>
              <w:top w:w="28" w:type="dxa"/>
              <w:bottom w:w="0" w:type="dxa"/>
            </w:tcMar>
            <w:vAlign w:val="center"/>
          </w:tcPr>
          <w:p>
            <w:pPr>
              <w:pStyle w:val="TableContents"/>
              <w:bidi w:val="0"/>
              <w:spacing w:before="0" w:after="0"/>
              <w:jc w:val="left"/>
              <w:rPr/>
            </w:pPr>
            <w:r>
              <w:rPr/>
              <w:t> </w:t>
            </w:r>
          </w:p>
        </w:tc>
        <w:tc>
          <w:tcPr>
            <w:tcW w:w="1227" w:type="dxa"/>
            <w:tcBorders>
              <w:top w:val="double" w:sz="6" w:space="0" w:color="000000"/>
            </w:tcBorders>
            <w:shd w:fill="FFFFFF" w:val="clear"/>
            <w:tcMar>
              <w:top w:w="28" w:type="dxa"/>
              <w:bottom w:w="0" w:type="dxa"/>
            </w:tcMar>
            <w:vAlign w:val="center"/>
          </w:tcPr>
          <w:p>
            <w:pPr>
              <w:pStyle w:val="TableContents"/>
              <w:bidi w:val="0"/>
              <w:spacing w:before="0" w:after="0"/>
              <w:jc w:val="right"/>
              <w:rPr/>
            </w:pPr>
            <w:r>
              <w:rPr/>
              <w:t> </w:t>
            </w:r>
          </w:p>
        </w:tc>
        <w:tc>
          <w:tcPr>
            <w:tcW w:w="60" w:type="dxa"/>
            <w:tcBorders>
              <w:top w:val="double" w:sz="6" w:space="0" w:color="000000"/>
            </w:tcBorders>
            <w:shd w:fill="FFFFFF" w:val="clear"/>
            <w:tcMar>
              <w:top w:w="28" w:type="dxa"/>
              <w:bottom w:w="0" w:type="dxa"/>
            </w:tcMar>
            <w:vAlign w:val="center"/>
          </w:tcPr>
          <w:p>
            <w:pPr>
              <w:pStyle w:val="TableContents"/>
              <w:bidi w:val="0"/>
              <w:spacing w:before="0" w:after="0"/>
              <w:jc w:val="left"/>
              <w:rPr/>
            </w:pPr>
            <w:r>
              <w:rPr/>
              <w:t> </w:t>
            </w:r>
          </w:p>
        </w:tc>
        <w:tc>
          <w:tcPr>
            <w:tcW w:w="223" w:type="dxa"/>
            <w:tcBorders>
              <w:top w:val="double" w:sz="6" w:space="0" w:color="000000"/>
            </w:tcBorders>
            <w:shd w:fill="FFFFFF" w:val="clear"/>
            <w:tcMar>
              <w:top w:w="28" w:type="dxa"/>
              <w:bottom w:w="0" w:type="dxa"/>
            </w:tcMar>
            <w:vAlign w:val="center"/>
          </w:tcPr>
          <w:p>
            <w:pPr>
              <w:pStyle w:val="TableContents"/>
              <w:bidi w:val="0"/>
              <w:spacing w:before="0" w:after="0"/>
              <w:jc w:val="left"/>
              <w:rPr/>
            </w:pPr>
            <w:r>
              <w:rPr/>
              <w:t> </w:t>
            </w:r>
          </w:p>
        </w:tc>
        <w:tc>
          <w:tcPr>
            <w:tcW w:w="1266" w:type="dxa"/>
            <w:tcBorders>
              <w:top w:val="double" w:sz="6" w:space="0" w:color="000000"/>
            </w:tcBorders>
            <w:shd w:fill="FFFFFF" w:val="clear"/>
            <w:tcMar>
              <w:top w:w="28" w:type="dxa"/>
              <w:bottom w:w="0" w:type="dxa"/>
            </w:tcMar>
            <w:vAlign w:val="center"/>
          </w:tcPr>
          <w:p>
            <w:pPr>
              <w:pStyle w:val="TableContents"/>
              <w:bidi w:val="0"/>
              <w:spacing w:before="0" w:after="0"/>
              <w:jc w:val="right"/>
              <w:rPr/>
            </w:pPr>
            <w:r>
              <w:rPr/>
              <w:t> </w:t>
            </w:r>
          </w:p>
        </w:tc>
      </w:tr>
      <w:tr>
        <w:trPr/>
        <w:tc>
          <w:tcPr>
            <w:tcW w:w="3335" w:type="dxa"/>
            <w:tcBorders/>
            <w:shd w:fill="CCEE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Accounts payable and accrued liabilities</w:t>
            </w:r>
          </w:p>
        </w:tc>
        <w:tc>
          <w:tcPr>
            <w:tcW w:w="22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27"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88,129</w:t>
            </w:r>
          </w:p>
        </w:tc>
        <w:tc>
          <w:tcPr>
            <w:tcW w:w="60" w:type="dxa"/>
            <w:tcBorders/>
            <w:shd w:fill="CCEEFF" w:val="clear"/>
            <w:tcMar>
              <w:bottom w:w="0" w:type="dxa"/>
            </w:tcMar>
            <w:vAlign w:val="center"/>
          </w:tcPr>
          <w:p>
            <w:pPr>
              <w:pStyle w:val="TableContents"/>
              <w:bidi w:val="0"/>
              <w:spacing w:before="0" w:after="0"/>
              <w:jc w:val="left"/>
              <w:rPr/>
            </w:pPr>
            <w:r>
              <w:rPr/>
              <w:t> </w:t>
            </w:r>
          </w:p>
        </w:tc>
        <w:tc>
          <w:tcPr>
            <w:tcW w:w="223"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66"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305,153</w:t>
            </w:r>
          </w:p>
        </w:tc>
      </w:tr>
      <w:tr>
        <w:trPr/>
        <w:tc>
          <w:tcPr>
            <w:tcW w:w="3335" w:type="dxa"/>
            <w:tcBorders>
              <w:bottom w:val="single" w:sz="8" w:space="0" w:color="000000"/>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Notes payable</w:t>
            </w:r>
          </w:p>
        </w:tc>
        <w:tc>
          <w:tcPr>
            <w:tcW w:w="220" w:type="dxa"/>
            <w:tcBorders>
              <w:bottom w:val="single" w:sz="8" w:space="0" w:color="000000"/>
            </w:tcBorders>
            <w:shd w:fill="FFFFFF" w:val="clear"/>
            <w:vAlign w:val="center"/>
          </w:tcPr>
          <w:p>
            <w:pPr>
              <w:pStyle w:val="TableContents"/>
              <w:bidi w:val="0"/>
              <w:spacing w:before="0" w:after="0"/>
              <w:jc w:val="left"/>
              <w:rPr/>
            </w:pPr>
            <w:r>
              <w:rPr/>
              <w:t> </w:t>
            </w:r>
          </w:p>
        </w:tc>
        <w:tc>
          <w:tcPr>
            <w:tcW w:w="1227"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84,581</w:t>
            </w:r>
          </w:p>
        </w:tc>
        <w:tc>
          <w:tcPr>
            <w:tcW w:w="60" w:type="dxa"/>
            <w:tcBorders>
              <w:bottom w:val="single" w:sz="8" w:space="0" w:color="000000"/>
            </w:tcBorders>
            <w:shd w:fill="FFFFFF" w:val="clear"/>
            <w:vAlign w:val="center"/>
          </w:tcPr>
          <w:p>
            <w:pPr>
              <w:pStyle w:val="TableContents"/>
              <w:bidi w:val="0"/>
              <w:spacing w:before="0" w:after="0"/>
              <w:jc w:val="left"/>
              <w:rPr/>
            </w:pPr>
            <w:r>
              <w:rPr/>
              <w:t> </w:t>
            </w:r>
          </w:p>
        </w:tc>
        <w:tc>
          <w:tcPr>
            <w:tcW w:w="223" w:type="dxa"/>
            <w:tcBorders>
              <w:bottom w:val="single" w:sz="8" w:space="0" w:color="000000"/>
            </w:tcBorders>
            <w:shd w:fill="FFFFFF" w:val="clear"/>
            <w:vAlign w:val="center"/>
          </w:tcPr>
          <w:p>
            <w:pPr>
              <w:pStyle w:val="TableContents"/>
              <w:bidi w:val="0"/>
              <w:spacing w:before="0" w:after="0"/>
              <w:jc w:val="left"/>
              <w:rPr/>
            </w:pPr>
            <w:r>
              <w:rPr/>
              <w:t> </w:t>
            </w:r>
          </w:p>
        </w:tc>
        <w:tc>
          <w:tcPr>
            <w:tcW w:w="1266"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121,948</w:t>
            </w:r>
          </w:p>
        </w:tc>
      </w:tr>
      <w:tr>
        <w:trPr/>
        <w:tc>
          <w:tcPr>
            <w:tcW w:w="333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1227"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172,710</w:t>
            </w:r>
          </w:p>
        </w:tc>
        <w:tc>
          <w:tcPr>
            <w:tcW w:w="6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223"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1266"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427,101</w:t>
            </w:r>
          </w:p>
        </w:tc>
      </w:tr>
      <w:tr>
        <w:trPr/>
        <w:tc>
          <w:tcPr>
            <w:tcW w:w="3335" w:type="dxa"/>
            <w:tcBorders>
              <w:top w:val="single" w:sz="8" w:space="0" w:color="000000"/>
            </w:tcBorders>
            <w:shd w:fill="FFFF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Equity of:</w:t>
            </w:r>
          </w:p>
        </w:tc>
        <w:tc>
          <w:tcPr>
            <w:tcW w:w="220" w:type="dxa"/>
            <w:tcBorders>
              <w:top w:val="single" w:sz="8" w:space="0" w:color="000000"/>
            </w:tcBorders>
            <w:shd w:fill="FFFFFF" w:val="clear"/>
            <w:tcMar>
              <w:top w:w="28" w:type="dxa"/>
              <w:bottom w:w="0" w:type="dxa"/>
            </w:tcMar>
            <w:vAlign w:val="center"/>
          </w:tcPr>
          <w:p>
            <w:pPr>
              <w:pStyle w:val="TableContents"/>
              <w:bidi w:val="0"/>
              <w:spacing w:before="0" w:after="0"/>
              <w:jc w:val="left"/>
              <w:rPr/>
            </w:pPr>
            <w:r>
              <w:rPr/>
              <w:t> </w:t>
            </w:r>
          </w:p>
        </w:tc>
        <w:tc>
          <w:tcPr>
            <w:tcW w:w="1227" w:type="dxa"/>
            <w:tcBorders>
              <w:top w:val="single" w:sz="8" w:space="0" w:color="000000"/>
            </w:tcBorders>
            <w:shd w:fill="FFFFFF" w:val="clear"/>
            <w:tcMar>
              <w:top w:w="28" w:type="dxa"/>
              <w:bottom w:w="0" w:type="dxa"/>
            </w:tcMar>
            <w:vAlign w:val="center"/>
          </w:tcPr>
          <w:p>
            <w:pPr>
              <w:pStyle w:val="TableContents"/>
              <w:bidi w:val="0"/>
              <w:spacing w:before="0" w:after="0"/>
              <w:jc w:val="right"/>
              <w:rPr/>
            </w:pPr>
            <w:r>
              <w:rPr/>
              <w:t> </w:t>
            </w:r>
          </w:p>
        </w:tc>
        <w:tc>
          <w:tcPr>
            <w:tcW w:w="60" w:type="dxa"/>
            <w:tcBorders>
              <w:top w:val="single" w:sz="8" w:space="0" w:color="000000"/>
            </w:tcBorders>
            <w:shd w:fill="FFFFFF" w:val="clear"/>
            <w:tcMar>
              <w:top w:w="28" w:type="dxa"/>
              <w:bottom w:w="0" w:type="dxa"/>
            </w:tcMar>
            <w:vAlign w:val="center"/>
          </w:tcPr>
          <w:p>
            <w:pPr>
              <w:pStyle w:val="TableContents"/>
              <w:bidi w:val="0"/>
              <w:spacing w:before="0" w:after="0"/>
              <w:jc w:val="left"/>
              <w:rPr/>
            </w:pPr>
            <w:r>
              <w:rPr/>
              <w:t> </w:t>
            </w:r>
          </w:p>
        </w:tc>
        <w:tc>
          <w:tcPr>
            <w:tcW w:w="223" w:type="dxa"/>
            <w:tcBorders>
              <w:top w:val="single" w:sz="8" w:space="0" w:color="000000"/>
            </w:tcBorders>
            <w:shd w:fill="FFFFFF" w:val="clear"/>
            <w:tcMar>
              <w:top w:w="28" w:type="dxa"/>
              <w:bottom w:w="0" w:type="dxa"/>
            </w:tcMar>
            <w:vAlign w:val="center"/>
          </w:tcPr>
          <w:p>
            <w:pPr>
              <w:pStyle w:val="TableContents"/>
              <w:bidi w:val="0"/>
              <w:spacing w:before="0" w:after="0"/>
              <w:jc w:val="left"/>
              <w:rPr/>
            </w:pPr>
            <w:r>
              <w:rPr/>
              <w:t> </w:t>
            </w:r>
          </w:p>
        </w:tc>
        <w:tc>
          <w:tcPr>
            <w:tcW w:w="1266" w:type="dxa"/>
            <w:tcBorders>
              <w:top w:val="single" w:sz="8" w:space="0" w:color="000000"/>
            </w:tcBorders>
            <w:shd w:fill="FFFFFF" w:val="clear"/>
            <w:tcMar>
              <w:top w:w="28" w:type="dxa"/>
              <w:bottom w:w="0" w:type="dxa"/>
            </w:tcMar>
            <w:vAlign w:val="center"/>
          </w:tcPr>
          <w:p>
            <w:pPr>
              <w:pStyle w:val="TableContents"/>
              <w:bidi w:val="0"/>
              <w:spacing w:before="0" w:after="0"/>
              <w:jc w:val="right"/>
              <w:rPr/>
            </w:pPr>
            <w:r>
              <w:rPr/>
              <w:t> </w:t>
            </w:r>
          </w:p>
        </w:tc>
      </w:tr>
      <w:tr>
        <w:trPr/>
        <w:tc>
          <w:tcPr>
            <w:tcW w:w="3335" w:type="dxa"/>
            <w:tcBorders/>
            <w:shd w:fill="CCEE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Hovnanian Enterprises, Inc.</w:t>
            </w:r>
          </w:p>
        </w:tc>
        <w:tc>
          <w:tcPr>
            <w:tcW w:w="220" w:type="dxa"/>
            <w:tcBorders/>
            <w:shd w:fill="CCEEFF" w:val="clear"/>
            <w:tcMar>
              <w:bottom w:w="0" w:type="dxa"/>
            </w:tcMar>
            <w:vAlign w:val="center"/>
          </w:tcPr>
          <w:p>
            <w:pPr>
              <w:pStyle w:val="TableContents"/>
              <w:bidi w:val="0"/>
              <w:spacing w:before="0" w:after="0"/>
              <w:jc w:val="left"/>
              <w:rPr/>
            </w:pPr>
            <w:r>
              <w:rPr/>
              <w:t> </w:t>
            </w:r>
          </w:p>
        </w:tc>
        <w:tc>
          <w:tcPr>
            <w:tcW w:w="1227"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151,013</w:t>
            </w:r>
          </w:p>
        </w:tc>
        <w:tc>
          <w:tcPr>
            <w:tcW w:w="60" w:type="dxa"/>
            <w:tcBorders/>
            <w:shd w:fill="CCEEFF" w:val="clear"/>
            <w:tcMar>
              <w:bottom w:w="0" w:type="dxa"/>
            </w:tcMar>
            <w:vAlign w:val="center"/>
          </w:tcPr>
          <w:p>
            <w:pPr>
              <w:pStyle w:val="TableContents"/>
              <w:bidi w:val="0"/>
              <w:spacing w:before="0" w:after="0"/>
              <w:jc w:val="left"/>
              <w:rPr/>
            </w:pPr>
            <w:r>
              <w:rPr/>
              <w:t> </w:t>
            </w:r>
          </w:p>
        </w:tc>
        <w:tc>
          <w:tcPr>
            <w:tcW w:w="223" w:type="dxa"/>
            <w:tcBorders/>
            <w:shd w:fill="CCEEFF" w:val="clear"/>
            <w:tcMar>
              <w:bottom w:w="0" w:type="dxa"/>
            </w:tcMar>
            <w:vAlign w:val="center"/>
          </w:tcPr>
          <w:p>
            <w:pPr>
              <w:pStyle w:val="TableContents"/>
              <w:bidi w:val="0"/>
              <w:spacing w:before="0" w:after="0"/>
              <w:jc w:val="left"/>
              <w:rPr/>
            </w:pPr>
            <w:r>
              <w:rPr/>
              <w:t> </w:t>
            </w:r>
          </w:p>
        </w:tc>
        <w:tc>
          <w:tcPr>
            <w:tcW w:w="1266"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160,903</w:t>
            </w:r>
          </w:p>
        </w:tc>
      </w:tr>
      <w:tr>
        <w:trPr/>
        <w:tc>
          <w:tcPr>
            <w:tcW w:w="3335" w:type="dxa"/>
            <w:tcBorders>
              <w:bottom w:val="single" w:sz="8" w:space="0" w:color="000000"/>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Others</w:t>
            </w:r>
          </w:p>
        </w:tc>
        <w:tc>
          <w:tcPr>
            <w:tcW w:w="220" w:type="dxa"/>
            <w:tcBorders>
              <w:bottom w:val="single" w:sz="8" w:space="0" w:color="000000"/>
            </w:tcBorders>
            <w:shd w:fill="FFFFFF" w:val="clear"/>
            <w:vAlign w:val="center"/>
          </w:tcPr>
          <w:p>
            <w:pPr>
              <w:pStyle w:val="TableContents"/>
              <w:bidi w:val="0"/>
              <w:spacing w:before="0" w:after="0"/>
              <w:jc w:val="left"/>
              <w:rPr/>
            </w:pPr>
            <w:r>
              <w:rPr/>
              <w:t> </w:t>
            </w:r>
          </w:p>
        </w:tc>
        <w:tc>
          <w:tcPr>
            <w:tcW w:w="1227"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270,581</w:t>
            </w:r>
          </w:p>
        </w:tc>
        <w:tc>
          <w:tcPr>
            <w:tcW w:w="60" w:type="dxa"/>
            <w:tcBorders>
              <w:bottom w:val="single" w:sz="8" w:space="0" w:color="000000"/>
            </w:tcBorders>
            <w:shd w:fill="FFFFFF" w:val="clear"/>
            <w:vAlign w:val="center"/>
          </w:tcPr>
          <w:p>
            <w:pPr>
              <w:pStyle w:val="TableContents"/>
              <w:bidi w:val="0"/>
              <w:spacing w:before="0" w:after="0"/>
              <w:jc w:val="left"/>
              <w:rPr/>
            </w:pPr>
            <w:r>
              <w:rPr/>
              <w:t> </w:t>
            </w:r>
          </w:p>
        </w:tc>
        <w:tc>
          <w:tcPr>
            <w:tcW w:w="223" w:type="dxa"/>
            <w:tcBorders>
              <w:bottom w:val="single" w:sz="8" w:space="0" w:color="000000"/>
            </w:tcBorders>
            <w:shd w:fill="FFFFFF" w:val="clear"/>
            <w:vAlign w:val="center"/>
          </w:tcPr>
          <w:p>
            <w:pPr>
              <w:pStyle w:val="TableContents"/>
              <w:bidi w:val="0"/>
              <w:spacing w:before="0" w:after="0"/>
              <w:jc w:val="left"/>
              <w:rPr/>
            </w:pPr>
            <w:r>
              <w:rPr/>
              <w:t> </w:t>
            </w:r>
          </w:p>
        </w:tc>
        <w:tc>
          <w:tcPr>
            <w:tcW w:w="1266"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132,412</w:t>
            </w:r>
          </w:p>
        </w:tc>
      </w:tr>
      <w:tr>
        <w:trPr/>
        <w:tc>
          <w:tcPr>
            <w:tcW w:w="333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22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1227"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421,594</w:t>
            </w:r>
          </w:p>
        </w:tc>
        <w:tc>
          <w:tcPr>
            <w:tcW w:w="6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223"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1266"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293,315</w:t>
            </w:r>
          </w:p>
        </w:tc>
      </w:tr>
      <w:tr>
        <w:trPr/>
        <w:tc>
          <w:tcPr>
            <w:tcW w:w="3335"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and equity</w:t>
            </w:r>
          </w:p>
        </w:tc>
        <w:tc>
          <w:tcPr>
            <w:tcW w:w="220"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27"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594,304</w:t>
            </w:r>
          </w:p>
        </w:tc>
        <w:tc>
          <w:tcPr>
            <w:tcW w:w="60"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left"/>
              <w:rPr/>
            </w:pPr>
            <w:r>
              <w:rPr/>
              <w:t> </w:t>
            </w:r>
          </w:p>
        </w:tc>
        <w:tc>
          <w:tcPr>
            <w:tcW w:w="223"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66"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720,416</w:t>
            </w:r>
          </w:p>
        </w:tc>
      </w:tr>
      <w:tr>
        <w:trPr/>
        <w:tc>
          <w:tcPr>
            <w:tcW w:w="3335" w:type="dxa"/>
            <w:tcBorders>
              <w:top w:val="double" w:sz="6"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Debt to capitalization ratio</w:t>
            </w:r>
          </w:p>
        </w:tc>
        <w:tc>
          <w:tcPr>
            <w:tcW w:w="220" w:type="dxa"/>
            <w:tcBorders>
              <w:top w:val="double" w:sz="6" w:space="0" w:color="000000"/>
            </w:tcBorders>
            <w:shd w:fill="CCEEFF" w:val="clear"/>
            <w:tcMar>
              <w:top w:w="28" w:type="dxa"/>
              <w:bottom w:w="0" w:type="dxa"/>
            </w:tcMar>
            <w:vAlign w:val="center"/>
          </w:tcPr>
          <w:p>
            <w:pPr>
              <w:pStyle w:val="TableContents"/>
              <w:bidi w:val="0"/>
              <w:spacing w:before="0" w:after="0"/>
              <w:jc w:val="left"/>
              <w:rPr/>
            </w:pPr>
            <w:r>
              <w:rPr/>
              <w:t> </w:t>
            </w:r>
          </w:p>
        </w:tc>
        <w:tc>
          <w:tcPr>
            <w:tcW w:w="1227" w:type="dxa"/>
            <w:tcBorders>
              <w:top w:val="double" w:sz="6"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w:t>
            </w:r>
          </w:p>
        </w:tc>
        <w:tc>
          <w:tcPr>
            <w:tcW w:w="60" w:type="dxa"/>
            <w:tcBorders>
              <w:top w:val="double" w:sz="6" w:space="0" w:color="000000"/>
            </w:tcBorders>
            <w:shd w:fill="CCEEFF" w:val="clear"/>
            <w:tcMar>
              <w:top w:w="28" w:type="dxa"/>
              <w:bottom w:w="0" w:type="dxa"/>
            </w:tcMar>
            <w:vAlign w:val="center"/>
          </w:tcPr>
          <w:p>
            <w:pPr>
              <w:pStyle w:val="TableContents"/>
              <w:bidi w:val="0"/>
              <w:spacing w:before="0" w:after="0"/>
              <w:jc w:val="left"/>
              <w:rPr/>
            </w:pPr>
            <w:r>
              <w:rPr/>
              <w:t> </w:t>
            </w:r>
          </w:p>
        </w:tc>
        <w:tc>
          <w:tcPr>
            <w:tcW w:w="223" w:type="dxa"/>
            <w:tcBorders>
              <w:top w:val="double" w:sz="6" w:space="0" w:color="000000"/>
            </w:tcBorders>
            <w:shd w:fill="CCEEFF" w:val="clear"/>
            <w:tcMar>
              <w:top w:w="28" w:type="dxa"/>
              <w:bottom w:w="0" w:type="dxa"/>
            </w:tcMar>
            <w:vAlign w:val="center"/>
          </w:tcPr>
          <w:p>
            <w:pPr>
              <w:pStyle w:val="TableContents"/>
              <w:bidi w:val="0"/>
              <w:spacing w:before="0" w:after="0"/>
              <w:jc w:val="left"/>
              <w:rPr/>
            </w:pPr>
            <w:r>
              <w:rPr/>
              <w:t> </w:t>
            </w:r>
          </w:p>
        </w:tc>
        <w:tc>
          <w:tcPr>
            <w:tcW w:w="1266" w:type="dxa"/>
            <w:tcBorders>
              <w:top w:val="double" w:sz="6"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TableofContent">
        <w:r>
          <w:rPr>
            <w:rStyle w:val="InternetLink"/>
            <w:rFonts w:ascii="Times New Roman" w:hAnsi="Times New Roman"/>
            <w:strike w:val="false"/>
            <w:dstrike w:val="false"/>
            <w:color w:val="0000FF"/>
            <w:sz w:val="20"/>
            <w:u w:val="single"/>
            <w:effect w:val="none"/>
          </w:rPr>
          <w:t>Table of Contents</w:t>
        </w:r>
      </w:hyperlink>
    </w:p>
    <w:p>
      <w:pPr>
        <w:pStyle w:val="TextBody"/>
        <w:bidi w:val="0"/>
        <w:spacing w:lineRule="atLeast" w:line="240" w:before="200" w:after="200"/>
        <w:ind w:left="0" w:right="0" w:firstLine="900"/>
        <w:jc w:val="left"/>
        <w:rPr/>
      </w:pPr>
      <w:r>
        <w:rPr>
          <w:rFonts w:ascii="Times New Roman" w:hAnsi="Times New Roman"/>
          <w:sz w:val="20"/>
        </w:rPr>
        <w:t>As of July 31, 2026</w:t>
      </w:r>
      <w:r>
        <w:rPr/>
        <w:t xml:space="preserve"> </w:t>
      </w:r>
      <w:r>
        <w:rPr>
          <w:rFonts w:ascii="Times New Roman" w:hAnsi="Times New Roman"/>
          <w:sz w:val="20"/>
        </w:rPr>
        <w:t>and October 31, 2025, we had outstanding advances to unconsolidated joint ventures of $4.1</w:t>
      </w:r>
      <w:r>
        <w:rPr/>
        <w:t xml:space="preserve"> </w:t>
      </w:r>
      <w:r>
        <w:rPr>
          <w:rFonts w:ascii="Times New Roman" w:hAnsi="Times New Roman"/>
          <w:sz w:val="20"/>
        </w:rPr>
        <w:t>million and $2.6</w:t>
      </w:r>
      <w:r>
        <w:rPr/>
        <w:t xml:space="preserve"> </w:t>
      </w:r>
      <w:r>
        <w:rPr>
          <w:rFonts w:ascii="Times New Roman" w:hAnsi="Times New Roman"/>
          <w:sz w:val="20"/>
        </w:rPr>
        <w:t>million, respectively. These amounts were included in “Accounts payable and accrued liabilities” in the tables above. In some cases, our net investment in unconsolidated joint ventures is less than our proportionate share of equity reflected in the tables above because of differences between asset impairments recorded against our unconsolidated joint venture investments and any impairments recorded in the applicable unconsolidated joint venture. During the nine months ended July 31, 2026</w:t>
      </w:r>
      <w:r>
        <w:rPr/>
        <w:t xml:space="preserve"> </w:t>
      </w:r>
      <w:r>
        <w:rPr>
          <w:rFonts w:ascii="Times New Roman" w:hAnsi="Times New Roman"/>
          <w:sz w:val="20"/>
        </w:rPr>
        <w:t>and 2025, we did not write-down any of our unconsolidated joint venture investments.</w:t>
      </w:r>
    </w:p>
    <w:tbl>
      <w:tblPr>
        <w:tblW w:w="4702" w:type="dxa"/>
        <w:jc w:val="left"/>
        <w:tblInd w:w="0" w:type="dxa"/>
        <w:tblLayout w:type="fixed"/>
        <w:tblCellMar>
          <w:top w:w="0" w:type="dxa"/>
          <w:left w:w="0" w:type="dxa"/>
          <w:bottom w:w="28" w:type="dxa"/>
          <w:right w:w="0" w:type="dxa"/>
        </w:tblCellMar>
      </w:tblPr>
      <w:tblGrid>
        <w:gridCol w:w="2180"/>
        <w:gridCol w:w="161"/>
        <w:gridCol w:w="1052"/>
        <w:gridCol w:w="77"/>
        <w:gridCol w:w="161"/>
        <w:gridCol w:w="1071"/>
      </w:tblGrid>
      <w:tr>
        <w:trPr/>
        <w:tc>
          <w:tcPr>
            <w:tcW w:w="2180" w:type="dxa"/>
            <w:tcBorders>
              <w:bottom w:val="single" w:sz="8" w:space="0" w:color="000000"/>
            </w:tcBorders>
            <w:vAlign w:val="center"/>
          </w:tcPr>
          <w:p>
            <w:pPr>
              <w:pStyle w:val="TableContents"/>
              <w:bidi w:val="0"/>
              <w:spacing w:before="0" w:after="0"/>
              <w:jc w:val="left"/>
              <w:rPr/>
            </w:pPr>
            <w:r>
              <w:rPr/>
              <w:t> </w:t>
            </w:r>
          </w:p>
        </w:tc>
        <w:tc>
          <w:tcPr>
            <w:tcW w:w="2522" w:type="dxa"/>
            <w:gridSpan w:val="5"/>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Three Months Ended July 31,</w:t>
            </w:r>
          </w:p>
        </w:tc>
      </w:tr>
      <w:tr>
        <w:trPr/>
        <w:tc>
          <w:tcPr>
            <w:tcW w:w="2180" w:type="dxa"/>
            <w:tcBorders>
              <w:top w:val="single" w:sz="8" w:space="0" w:color="000000"/>
              <w:bottom w:val="single" w:sz="8" w:space="0" w:color="000000"/>
            </w:tcBorders>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 thousands)</w:t>
            </w:r>
          </w:p>
        </w:tc>
        <w:tc>
          <w:tcPr>
            <w:tcW w:w="161"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052" w:type="dxa"/>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77"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61"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071" w:type="dxa"/>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r>
      <w:tr>
        <w:trPr/>
        <w:tc>
          <w:tcPr>
            <w:tcW w:w="2180"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61"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2"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156,957</w:t>
            </w:r>
          </w:p>
        </w:tc>
        <w:tc>
          <w:tcPr>
            <w:tcW w:w="77"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61"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71"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166,887</w:t>
            </w:r>
          </w:p>
        </w:tc>
      </w:tr>
      <w:tr>
        <w:trPr/>
        <w:tc>
          <w:tcPr>
            <w:tcW w:w="2180" w:type="dxa"/>
            <w:tcBorders>
              <w:bottom w:val="single" w:sz="8" w:space="0" w:color="000000"/>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and expenses</w:t>
            </w:r>
          </w:p>
        </w:tc>
        <w:tc>
          <w:tcPr>
            <w:tcW w:w="161" w:type="dxa"/>
            <w:tcBorders>
              <w:bottom w:val="single" w:sz="8" w:space="0" w:color="000000"/>
            </w:tcBorders>
            <w:shd w:fill="FFFFFF" w:val="clear"/>
            <w:vAlign w:val="center"/>
          </w:tcPr>
          <w:p>
            <w:pPr>
              <w:pStyle w:val="TableContents"/>
              <w:bidi w:val="0"/>
              <w:spacing w:before="0" w:after="0"/>
              <w:jc w:val="left"/>
              <w:rPr/>
            </w:pPr>
            <w:r>
              <w:rPr/>
              <w:t> </w:t>
            </w:r>
          </w:p>
        </w:tc>
        <w:tc>
          <w:tcPr>
            <w:tcW w:w="1052"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(140,829)</w:t>
            </w:r>
          </w:p>
        </w:tc>
        <w:tc>
          <w:tcPr>
            <w:tcW w:w="77" w:type="dxa"/>
            <w:tcBorders>
              <w:bottom w:val="single" w:sz="8" w:space="0" w:color="000000"/>
            </w:tcBorders>
            <w:shd w:fill="FFFFFF" w:val="clear"/>
            <w:vAlign w:val="center"/>
          </w:tcPr>
          <w:p>
            <w:pPr>
              <w:pStyle w:val="TableContents"/>
              <w:bidi w:val="0"/>
              <w:spacing w:before="0" w:after="0"/>
              <w:jc w:val="left"/>
              <w:rPr/>
            </w:pPr>
            <w:r>
              <w:rPr/>
              <w:t> </w:t>
            </w:r>
          </w:p>
        </w:tc>
        <w:tc>
          <w:tcPr>
            <w:tcW w:w="161" w:type="dxa"/>
            <w:tcBorders>
              <w:bottom w:val="single" w:sz="8" w:space="0" w:color="000000"/>
            </w:tcBorders>
            <w:shd w:fill="FFFFFF" w:val="clear"/>
            <w:vAlign w:val="center"/>
          </w:tcPr>
          <w:p>
            <w:pPr>
              <w:pStyle w:val="TableContents"/>
              <w:bidi w:val="0"/>
              <w:spacing w:before="0" w:after="0"/>
              <w:jc w:val="left"/>
              <w:rPr/>
            </w:pPr>
            <w:r>
              <w:rPr/>
              <w:t> </w:t>
            </w:r>
          </w:p>
        </w:tc>
        <w:tc>
          <w:tcPr>
            <w:tcW w:w="1071"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(152,679)</w:t>
            </w:r>
          </w:p>
        </w:tc>
      </w:tr>
      <w:tr>
        <w:trPr/>
        <w:tc>
          <w:tcPr>
            <w:tcW w:w="218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Joint venture net income</w:t>
            </w:r>
          </w:p>
        </w:tc>
        <w:tc>
          <w:tcPr>
            <w:tcW w:w="161"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2"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16,128</w:t>
            </w:r>
          </w:p>
        </w:tc>
        <w:tc>
          <w:tcPr>
            <w:tcW w:w="77"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161"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71"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14,208</w:t>
            </w:r>
          </w:p>
        </w:tc>
      </w:tr>
      <w:tr>
        <w:trPr/>
        <w:tc>
          <w:tcPr>
            <w:tcW w:w="2180"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Our share of net income</w:t>
            </w:r>
          </w:p>
        </w:tc>
        <w:tc>
          <w:tcPr>
            <w:tcW w:w="161"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2"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3,397</w:t>
            </w:r>
          </w:p>
        </w:tc>
        <w:tc>
          <w:tcPr>
            <w:tcW w:w="77"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left"/>
              <w:rPr/>
            </w:pPr>
            <w:r>
              <w:rPr/>
              <w:t> </w:t>
            </w:r>
          </w:p>
        </w:tc>
        <w:tc>
          <w:tcPr>
            <w:tcW w:w="161"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71"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15,511</w:t>
            </w:r>
          </w:p>
        </w:tc>
      </w:tr>
    </w:tbl>
    <w:p>
      <w:pPr>
        <w:pStyle w:val="TextBody"/>
        <w:bidi w:val="0"/>
        <w:spacing w:before="0" w:after="0"/>
        <w:jc w:val="left"/>
        <w:rPr/>
      </w:pPr>
      <w:r>
        <w:rPr/>
        <w:t> </w:t>
      </w:r>
    </w:p>
    <w:tbl>
      <w:tblPr>
        <w:tblW w:w="4582" w:type="dxa"/>
        <w:jc w:val="left"/>
        <w:tblInd w:w="0" w:type="dxa"/>
        <w:tblLayout w:type="fixed"/>
        <w:tblCellMar>
          <w:top w:w="0" w:type="dxa"/>
          <w:left w:w="0" w:type="dxa"/>
          <w:bottom w:w="28" w:type="dxa"/>
          <w:right w:w="0" w:type="dxa"/>
        </w:tblCellMar>
      </w:tblPr>
      <w:tblGrid>
        <w:gridCol w:w="2180"/>
        <w:gridCol w:w="153"/>
        <w:gridCol w:w="1002"/>
        <w:gridCol w:w="73"/>
        <w:gridCol w:w="153"/>
        <w:gridCol w:w="1021"/>
      </w:tblGrid>
      <w:tr>
        <w:trPr/>
        <w:tc>
          <w:tcPr>
            <w:tcW w:w="2180" w:type="dxa"/>
            <w:tcBorders>
              <w:bottom w:val="single" w:sz="8" w:space="0" w:color="000000"/>
            </w:tcBorders>
            <w:vAlign w:val="center"/>
          </w:tcPr>
          <w:p>
            <w:pPr>
              <w:pStyle w:val="TableContents"/>
              <w:bidi w:val="0"/>
              <w:spacing w:before="0" w:after="0"/>
              <w:jc w:val="left"/>
              <w:rPr/>
            </w:pPr>
            <w:r>
              <w:rPr/>
              <w:t> </w:t>
            </w:r>
          </w:p>
        </w:tc>
        <w:tc>
          <w:tcPr>
            <w:tcW w:w="2402" w:type="dxa"/>
            <w:gridSpan w:val="5"/>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Nine Months Ended July 31,</w:t>
            </w:r>
          </w:p>
        </w:tc>
      </w:tr>
      <w:tr>
        <w:trPr/>
        <w:tc>
          <w:tcPr>
            <w:tcW w:w="2180" w:type="dxa"/>
            <w:tcBorders>
              <w:top w:val="single" w:sz="8" w:space="0" w:color="000000"/>
              <w:bottom w:val="single" w:sz="8" w:space="0" w:color="000000"/>
            </w:tcBorders>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 thousands)</w:t>
            </w:r>
          </w:p>
        </w:tc>
        <w:tc>
          <w:tcPr>
            <w:tcW w:w="153"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002" w:type="dxa"/>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73"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53"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021" w:type="dxa"/>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r>
      <w:tr>
        <w:trPr/>
        <w:tc>
          <w:tcPr>
            <w:tcW w:w="2180"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53"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2"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357,908</w:t>
            </w:r>
          </w:p>
        </w:tc>
        <w:tc>
          <w:tcPr>
            <w:tcW w:w="73"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53"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1"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446,939</w:t>
            </w:r>
          </w:p>
        </w:tc>
      </w:tr>
      <w:tr>
        <w:trPr/>
        <w:tc>
          <w:tcPr>
            <w:tcW w:w="2180" w:type="dxa"/>
            <w:tcBorders>
              <w:bottom w:val="single" w:sz="8" w:space="0" w:color="000000"/>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and expenses</w:t>
            </w:r>
          </w:p>
        </w:tc>
        <w:tc>
          <w:tcPr>
            <w:tcW w:w="153" w:type="dxa"/>
            <w:tcBorders>
              <w:bottom w:val="single" w:sz="8" w:space="0" w:color="000000"/>
            </w:tcBorders>
            <w:shd w:fill="FFFFFF" w:val="clear"/>
            <w:vAlign w:val="center"/>
          </w:tcPr>
          <w:p>
            <w:pPr>
              <w:pStyle w:val="TableContents"/>
              <w:bidi w:val="0"/>
              <w:spacing w:before="0" w:after="0"/>
              <w:jc w:val="left"/>
              <w:rPr/>
            </w:pPr>
            <w:r>
              <w:rPr/>
              <w:t> </w:t>
            </w:r>
          </w:p>
        </w:tc>
        <w:tc>
          <w:tcPr>
            <w:tcW w:w="1002"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(326,404)</w:t>
            </w:r>
          </w:p>
        </w:tc>
        <w:tc>
          <w:tcPr>
            <w:tcW w:w="73" w:type="dxa"/>
            <w:tcBorders>
              <w:bottom w:val="single" w:sz="8" w:space="0" w:color="000000"/>
            </w:tcBorders>
            <w:shd w:fill="FFFFFF" w:val="clear"/>
            <w:vAlign w:val="center"/>
          </w:tcPr>
          <w:p>
            <w:pPr>
              <w:pStyle w:val="TableContents"/>
              <w:bidi w:val="0"/>
              <w:spacing w:before="0" w:after="0"/>
              <w:jc w:val="left"/>
              <w:rPr/>
            </w:pPr>
            <w:r>
              <w:rPr/>
              <w:t> </w:t>
            </w:r>
          </w:p>
        </w:tc>
        <w:tc>
          <w:tcPr>
            <w:tcW w:w="153" w:type="dxa"/>
            <w:tcBorders>
              <w:bottom w:val="single" w:sz="8" w:space="0" w:color="000000"/>
            </w:tcBorders>
            <w:shd w:fill="FFFFFF" w:val="clear"/>
            <w:vAlign w:val="center"/>
          </w:tcPr>
          <w:p>
            <w:pPr>
              <w:pStyle w:val="TableContents"/>
              <w:bidi w:val="0"/>
              <w:spacing w:before="0" w:after="0"/>
              <w:jc w:val="left"/>
              <w:rPr/>
            </w:pPr>
            <w:r>
              <w:rPr/>
              <w:t> </w:t>
            </w:r>
          </w:p>
        </w:tc>
        <w:tc>
          <w:tcPr>
            <w:tcW w:w="1021"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(406,894)</w:t>
            </w:r>
          </w:p>
        </w:tc>
      </w:tr>
      <w:tr>
        <w:trPr/>
        <w:tc>
          <w:tcPr>
            <w:tcW w:w="218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Joint venture net income</w:t>
            </w:r>
          </w:p>
        </w:tc>
        <w:tc>
          <w:tcPr>
            <w:tcW w:w="153"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2"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31,504</w:t>
            </w:r>
          </w:p>
        </w:tc>
        <w:tc>
          <w:tcPr>
            <w:tcW w:w="73"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153"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1"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40,045</w:t>
            </w:r>
          </w:p>
        </w:tc>
      </w:tr>
      <w:tr>
        <w:trPr/>
        <w:tc>
          <w:tcPr>
            <w:tcW w:w="2180"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Our share of net income</w:t>
            </w:r>
          </w:p>
        </w:tc>
        <w:tc>
          <w:tcPr>
            <w:tcW w:w="153"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2"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5,731</w:t>
            </w:r>
          </w:p>
        </w:tc>
        <w:tc>
          <w:tcPr>
            <w:tcW w:w="73"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left"/>
              <w:rPr/>
            </w:pPr>
            <w:r>
              <w:rPr/>
              <w:t> </w:t>
            </w:r>
          </w:p>
        </w:tc>
        <w:tc>
          <w:tcPr>
            <w:tcW w:w="153"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1"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33,759</w:t>
            </w:r>
          </w:p>
        </w:tc>
      </w:tr>
    </w:tbl>
    <w:p>
      <w:pPr>
        <w:pStyle w:val="TextBody"/>
        <w:bidi w:val="0"/>
        <w:spacing w:before="0" w:after="0"/>
        <w:jc w:val="left"/>
        <w:rPr/>
      </w:pPr>
      <w:r>
        <w:rPr/>
        <w:t> </w:t>
      </w:r>
    </w:p>
    <w:p>
      <w:pPr>
        <w:pStyle w:val="TextBody"/>
        <w:bidi w:val="0"/>
        <w:spacing w:lineRule="atLeast" w:line="240" w:before="0" w:after="0"/>
        <w:ind w:left="0" w:right="0" w:firstLine="900"/>
        <w:jc w:val="left"/>
        <w:rPr/>
      </w:pPr>
      <w:r>
        <w:rPr>
          <w:rFonts w:ascii="Times New Roman" w:hAnsi="Times New Roman"/>
          <w:sz w:val="20"/>
        </w:rPr>
        <w:t>The reason “Our share of net income” in homebuilding joint ventures is higher or lower than the “Joint venture net income” in the tables above is a result of our varying ownership percentages in each investment. As of July 31, 2026</w:t>
      </w:r>
      <w:r>
        <w:rPr/>
        <w:t xml:space="preserve"> </w:t>
      </w:r>
      <w:r>
        <w:rPr>
          <w:rFonts w:ascii="Times New Roman" w:hAnsi="Times New Roman"/>
          <w:sz w:val="20"/>
        </w:rPr>
        <w:t>and 2025, respectively, we had investments in five</w:t>
      </w:r>
      <w:r>
        <w:rPr/>
        <w:t> </w:t>
      </w:r>
      <w:r>
        <w:rPr>
          <w:rFonts w:ascii="Times New Roman" w:hAnsi="Times New Roman"/>
          <w:sz w:val="20"/>
        </w:rPr>
        <w:t>and eight</w:t>
      </w:r>
      <w:r>
        <w:rPr/>
        <w:t xml:space="preserve"> </w:t>
      </w:r>
      <w:r>
        <w:rPr>
          <w:rFonts w:ascii="Times New Roman" w:hAnsi="Times New Roman"/>
          <w:sz w:val="20"/>
        </w:rPr>
        <w:t>unconsolidated joint ventures, respectively, and our ownership in these joint ventures ranged from 20% to over</w:t>
      </w:r>
      <w:r>
        <w:rPr/>
        <w:t> </w:t>
      </w:r>
      <w:r>
        <w:rPr>
          <w:rFonts w:ascii="Times New Roman" w:hAnsi="Times New Roman"/>
          <w:sz w:val="20"/>
        </w:rPr>
        <w:t>50%. Therefore, depending on mix, if the unconsolidated joint ventures in which we have higher sharing percentages are more profitable than our other unconsolidated joint ventures, that results in us having a higher overall percentage of income in the aggregate than would occur if all joint ventures had the same sharing percentage; conversely, if the unconsolidated joint ventures in which we have lower sharing percentages are more profitable than our other unconsolidated joint ventures, that results in us having a lower overall percentage of income in the aggregate than would occur if all joint ventures had the same sharing percentage. For the</w:t>
      </w:r>
      <w:r>
        <w:rPr/>
        <w:t> </w:t>
      </w:r>
      <w:r>
        <w:rPr>
          <w:rFonts w:ascii="Times New Roman" w:hAnsi="Times New Roman"/>
          <w:sz w:val="20"/>
        </w:rPr>
        <w:t>three and nine</w:t>
      </w:r>
      <w:r>
        <w:rPr/>
        <w:t> </w:t>
      </w:r>
      <w:r>
        <w:rPr>
          <w:rFonts w:ascii="Times New Roman" w:hAnsi="Times New Roman"/>
          <w:sz w:val="20"/>
        </w:rPr>
        <w:t>months ended July 31, 2026,</w:t>
      </w:r>
      <w:r>
        <w:rPr/>
        <w:t> “</w:t>
      </w:r>
      <w:r>
        <w:rPr>
          <w:rFonts w:ascii="Times New Roman" w:hAnsi="Times New Roman"/>
          <w:sz w:val="20"/>
        </w:rPr>
        <w:t>Our share of net income”</w:t>
      </w:r>
      <w:r>
        <w:rPr/>
        <w:t> </w:t>
      </w:r>
      <w:r>
        <w:rPr>
          <w:rFonts w:ascii="Times New Roman" w:hAnsi="Times New Roman"/>
          <w:sz w:val="20"/>
        </w:rPr>
        <w:t>was less than the "Joint venture net income" due to two</w:t>
      </w:r>
      <w:r>
        <w:rPr/>
        <w:t> </w:t>
      </w:r>
      <w:r>
        <w:rPr>
          <w:rFonts w:ascii="Times New Roman" w:hAnsi="Times New Roman"/>
          <w:sz w:val="20"/>
        </w:rPr>
        <w:t>unconsolidated joint ventures with increased losses during the period for which we currently recognize a higher sharing percentage of the losses based on the joint venture agreements and two</w:t>
      </w:r>
      <w:r>
        <w:rPr/>
        <w:t> </w:t>
      </w:r>
      <w:r>
        <w:rPr>
          <w:rFonts w:ascii="Times New Roman" w:hAnsi="Times New Roman"/>
          <w:sz w:val="20"/>
        </w:rPr>
        <w:t>unconsolidated joint ventures with increased income during the period for which we currently recognize a lower sharing percentage of the income based on the joint venture agreements, slightly offset by</w:t>
      </w:r>
      <w:r>
        <w:rPr/>
        <w:t> </w:t>
      </w:r>
      <w:r>
        <w:rPr>
          <w:rFonts w:ascii="Times New Roman" w:hAnsi="Times New Roman"/>
          <w:sz w:val="20"/>
        </w:rPr>
        <w:t>the recognition of income from one unconsolidated joint venture that was dissolved in the first</w:t>
      </w:r>
      <w:r>
        <w:rPr/>
        <w:t> </w:t>
      </w:r>
      <w:r>
        <w:rPr>
          <w:rFonts w:ascii="Times New Roman" w:hAnsi="Times New Roman"/>
          <w:sz w:val="20"/>
        </w:rPr>
        <w:t>quarter of fiscal 2026.</w:t>
      </w:r>
    </w:p>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rFonts w:ascii="Times New Roman" w:hAnsi="Times New Roman"/>
          <w:sz w:val="20"/>
        </w:rPr>
        <w:t>To compensate us for the administrative services we provide as the manager of certain unconsolidated joint ventures, we receive a management fee based on a percentage of the applicable unconsolidated joint ventures' revenues. These management fees, which totaled $6.2</w:t>
      </w:r>
      <w:r>
        <w:rPr/>
        <w:t xml:space="preserve"> </w:t>
      </w:r>
      <w:r>
        <w:rPr>
          <w:rFonts w:ascii="Times New Roman" w:hAnsi="Times New Roman"/>
          <w:sz w:val="20"/>
        </w:rPr>
        <w:t>million and $6.7</w:t>
      </w:r>
      <w:r>
        <w:rPr/>
        <w:t xml:space="preserve"> </w:t>
      </w:r>
      <w:r>
        <w:rPr>
          <w:rFonts w:ascii="Times New Roman" w:hAnsi="Times New Roman"/>
          <w:sz w:val="20"/>
        </w:rPr>
        <w:t>million for the three months ended July 31, 2026</w:t>
      </w:r>
      <w:r>
        <w:rPr/>
        <w:t xml:space="preserve"> </w:t>
      </w:r>
      <w:r>
        <w:rPr>
          <w:rFonts w:ascii="Times New Roman" w:hAnsi="Times New Roman"/>
          <w:sz w:val="20"/>
        </w:rPr>
        <w:t>and 2025,</w:t>
      </w:r>
      <w:r>
        <w:rPr/>
        <w:t> </w:t>
      </w:r>
      <w:r>
        <w:rPr>
          <w:rFonts w:ascii="Times New Roman" w:hAnsi="Times New Roman"/>
          <w:sz w:val="20"/>
        </w:rPr>
        <w:t>respectively, and $14.2</w:t>
      </w:r>
      <w:r>
        <w:rPr/>
        <w:t> </w:t>
      </w:r>
      <w:r>
        <w:rPr>
          <w:rFonts w:ascii="Times New Roman" w:hAnsi="Times New Roman"/>
          <w:sz w:val="20"/>
        </w:rPr>
        <w:t>million and $18.1</w:t>
      </w:r>
      <w:r>
        <w:rPr/>
        <w:t> </w:t>
      </w:r>
      <w:r>
        <w:rPr>
          <w:rFonts w:ascii="Times New Roman" w:hAnsi="Times New Roman"/>
          <w:sz w:val="20"/>
        </w:rPr>
        <w:t>million for the</w:t>
      </w:r>
      <w:r>
        <w:rPr/>
        <w:t> </w:t>
      </w:r>
      <w:r>
        <w:rPr>
          <w:rFonts w:ascii="Times New Roman" w:hAnsi="Times New Roman"/>
          <w:sz w:val="20"/>
        </w:rPr>
        <w:t>nine months ended July 31, 2026</w:t>
      </w:r>
      <w:r>
        <w:rPr/>
        <w:t xml:space="preserve"> </w:t>
      </w:r>
      <w:r>
        <w:rPr>
          <w:rFonts w:ascii="Times New Roman" w:hAnsi="Times New Roman"/>
          <w:sz w:val="20"/>
        </w:rPr>
        <w:t>and 2025, respectively,</w:t>
      </w:r>
      <w:r>
        <w:rPr/>
        <w:t> </w:t>
      </w:r>
      <w:r>
        <w:rPr>
          <w:rFonts w:ascii="Times New Roman" w:hAnsi="Times New Roman"/>
          <w:sz w:val="20"/>
        </w:rPr>
        <w:t>are recorded in “Selling, general and administrative” homebuilding expenses in the Condensed Consolidated Statements of Operations.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TableofContent">
        <w:r>
          <w:rPr>
            <w:rStyle w:val="InternetLink"/>
            <w:rFonts w:ascii="Times New Roman" w:hAnsi="Times New Roman"/>
            <w:strike w:val="false"/>
            <w:dstrike w:val="false"/>
            <w:color w:val="0000FF"/>
            <w:sz w:val="20"/>
            <w:u w:val="single"/>
            <w:effect w:val="none"/>
          </w:rPr>
          <w:t>Table of Contents</w:t>
        </w:r>
      </w:hyperlink>
    </w:p>
    <w:p>
      <w:pPr>
        <w:pStyle w:val="TextBody"/>
        <w:bidi w:val="0"/>
        <w:spacing w:lineRule="atLeast" w:line="240" w:before="0" w:after="0"/>
        <w:jc w:val="left"/>
        <w:rPr/>
      </w:pPr>
      <w:r>
        <w:rPr/>
        <w:t> </w:t>
      </w:r>
    </w:p>
    <w:p>
      <w:pPr>
        <w:pStyle w:val="TextBody"/>
        <w:bidi w:val="0"/>
        <w:spacing w:lineRule="atLeast" w:line="240" w:before="0" w:after="0"/>
        <w:jc w:val="left"/>
        <w:rPr>
          <w:rFonts w:ascii="Times New Roman" w:hAnsi="Times New Roman"/>
          <w:i/>
          <w:sz w:val="20"/>
        </w:rPr>
      </w:pPr>
      <w:r>
        <w:rPr>
          <w:rFonts w:ascii="Times New Roman" w:hAnsi="Times New Roman"/>
          <w:i/>
          <w:sz w:val="20"/>
        </w:rPr>
        <w:t>Acquisition of KSA</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rFonts w:ascii="Times New Roman" w:hAnsi="Times New Roman"/>
          <w:sz w:val="20"/>
        </w:rPr>
        <w:t>On January 1,</w:t>
      </w:r>
      <w:r>
        <w:rPr/>
        <w:t> </w:t>
      </w:r>
      <w:r>
        <w:rPr>
          <w:rFonts w:ascii="Times New Roman" w:hAnsi="Times New Roman"/>
          <w:sz w:val="20"/>
        </w:rPr>
        <w:t>2026, we acquired an additional 40% equity interest in KSA, which was previously an unconsolidated joint venture in which we had a</w:t>
      </w:r>
      <w:r>
        <w:rPr/>
        <w:t> </w:t>
      </w:r>
      <w:r>
        <w:rPr>
          <w:rFonts w:ascii="Times New Roman" w:hAnsi="Times New Roman"/>
          <w:sz w:val="20"/>
        </w:rPr>
        <w:t>50% ownership interest. We accounted for our investment in KSA as an equity method investment as we had significant influence through our interest but not control. We purchased the additional 40% interest in KSA from another joint venture partner for total cash consideration of $7.6</w:t>
      </w:r>
      <w:r>
        <w:rPr/>
        <w:t xml:space="preserve"> </w:t>
      </w:r>
      <w:r>
        <w:rPr>
          <w:rFonts w:ascii="Times New Roman" w:hAnsi="Times New Roman"/>
          <w:sz w:val="20"/>
        </w:rPr>
        <w:t>million, which included $1.5</w:t>
      </w:r>
      <w:r>
        <w:rPr/>
        <w:t xml:space="preserve"> </w:t>
      </w:r>
      <w:r>
        <w:rPr>
          <w:rFonts w:ascii="Times New Roman" w:hAnsi="Times New Roman"/>
          <w:sz w:val="20"/>
        </w:rPr>
        <w:t>million to pay off an outstanding loan balance.</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rFonts w:ascii="Times New Roman" w:hAnsi="Times New Roman"/>
          <w:sz w:val="20"/>
        </w:rPr>
        <w:t>As of January 1, 2026, the date of acquisition, we accounted for KSA on a consolidated basis and derecognized it as an equity method investment. We remeasured our previously held equity method investment as of the acquisition date to a fair value of $9.5</w:t>
      </w:r>
      <w:r>
        <w:rPr/>
        <w:t xml:space="preserve"> </w:t>
      </w:r>
      <w:r>
        <w:rPr>
          <w:rFonts w:ascii="Times New Roman" w:hAnsi="Times New Roman"/>
          <w:sz w:val="20"/>
        </w:rPr>
        <w:t>million, determined using the implied fair value from the transaction price, and recorded a gain of $9.5</w:t>
      </w:r>
      <w:r>
        <w:rPr/>
        <w:t xml:space="preserve"> </w:t>
      </w:r>
      <w:r>
        <w:rPr>
          <w:rFonts w:ascii="Times New Roman" w:hAnsi="Times New Roman"/>
          <w:sz w:val="20"/>
        </w:rPr>
        <w:t xml:space="preserve">million as our carrying value was $0. The gain is included in “Other expense (income), net” in the Condensed Consolidated Statements of Operations. </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rFonts w:ascii="Times New Roman" w:hAnsi="Times New Roman"/>
          <w:sz w:val="20"/>
        </w:rPr>
      </w:pPr>
      <w:r>
        <w:rPr>
          <w:rFonts w:ascii="Times New Roman" w:hAnsi="Times New Roman"/>
          <w:sz w:val="20"/>
        </w:rPr>
        <w:t>In accordance with ASC 805, the following fair values were assigned to assets acquired and liabilities assumed based on management’s estimates and assumptions. The purchase price allocation presented in our Condensed Consolidated Balance Sheets was as follows:</w:t>
      </w:r>
    </w:p>
    <w:p>
      <w:pPr>
        <w:pStyle w:val="TextBody"/>
        <w:bidi w:val="0"/>
        <w:spacing w:lineRule="atLeast" w:line="240" w:before="0" w:after="0"/>
        <w:ind w:left="0" w:right="0" w:firstLine="900"/>
        <w:jc w:val="left"/>
        <w:rPr/>
      </w:pPr>
      <w:r>
        <w:rPr/>
        <w:t> </w:t>
      </w:r>
    </w:p>
    <w:tbl>
      <w:tblPr>
        <w:tblW w:w="6069" w:type="dxa"/>
        <w:jc w:val="left"/>
        <w:tblInd w:w="0" w:type="dxa"/>
        <w:tblLayout w:type="fixed"/>
        <w:tblCellMar>
          <w:top w:w="0" w:type="dxa"/>
          <w:left w:w="0" w:type="dxa"/>
          <w:bottom w:w="28" w:type="dxa"/>
          <w:right w:w="0" w:type="dxa"/>
        </w:tblCellMar>
      </w:tblPr>
      <w:tblGrid>
        <w:gridCol w:w="4745"/>
        <w:gridCol w:w="173"/>
        <w:gridCol w:w="1151"/>
      </w:tblGrid>
      <w:tr>
        <w:trPr/>
        <w:tc>
          <w:tcPr>
            <w:tcW w:w="4745" w:type="dxa"/>
            <w:tcBorders>
              <w:bottom w:val="single" w:sz="8" w:space="0" w:color="000000"/>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 thousands)</w:t>
            </w:r>
          </w:p>
        </w:tc>
        <w:tc>
          <w:tcPr>
            <w:tcW w:w="1324" w:type="dxa"/>
            <w:gridSpan w:val="2"/>
            <w:tcBorders>
              <w:bottom w:val="single" w:sz="8"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January 1, 2026</w:t>
            </w:r>
          </w:p>
        </w:tc>
      </w:tr>
      <w:tr>
        <w:trPr/>
        <w:tc>
          <w:tcPr>
            <w:tcW w:w="474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w:t>
            </w:r>
          </w:p>
        </w:tc>
        <w:tc>
          <w:tcPr>
            <w:tcW w:w="173"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51"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35,300</w:t>
            </w:r>
          </w:p>
        </w:tc>
      </w:tr>
      <w:tr>
        <w:trPr/>
        <w:tc>
          <w:tcPr>
            <w:tcW w:w="474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73" w:type="dxa"/>
            <w:tcBorders/>
            <w:shd w:fill="FFFFFF" w:val="clear"/>
            <w:tcMar>
              <w:bottom w:w="0" w:type="dxa"/>
            </w:tcMar>
            <w:vAlign w:val="center"/>
          </w:tcPr>
          <w:p>
            <w:pPr>
              <w:pStyle w:val="TableContents"/>
              <w:bidi w:val="0"/>
              <w:spacing w:before="0" w:after="0"/>
              <w:jc w:val="left"/>
              <w:rPr/>
            </w:pPr>
            <w:r>
              <w:rPr/>
              <w:t> </w:t>
            </w:r>
          </w:p>
        </w:tc>
        <w:tc>
          <w:tcPr>
            <w:tcW w:w="1151"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469</w:t>
            </w:r>
          </w:p>
        </w:tc>
      </w:tr>
      <w:tr>
        <w:trPr/>
        <w:tc>
          <w:tcPr>
            <w:tcW w:w="474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Sold and unsold homes and lots under development</w:t>
            </w:r>
          </w:p>
        </w:tc>
        <w:tc>
          <w:tcPr>
            <w:tcW w:w="173" w:type="dxa"/>
            <w:tcBorders/>
            <w:shd w:fill="CCEEFF" w:val="clear"/>
            <w:tcMar>
              <w:bottom w:w="0" w:type="dxa"/>
            </w:tcMar>
            <w:vAlign w:val="center"/>
          </w:tcPr>
          <w:p>
            <w:pPr>
              <w:pStyle w:val="TableContents"/>
              <w:bidi w:val="0"/>
              <w:spacing w:before="0" w:after="0"/>
              <w:jc w:val="left"/>
              <w:rPr/>
            </w:pPr>
            <w:r>
              <w:rPr/>
              <w:t> </w:t>
            </w:r>
          </w:p>
        </w:tc>
        <w:tc>
          <w:tcPr>
            <w:tcW w:w="1151" w:type="dxa"/>
            <w:tcBorders/>
            <w:shd w:fill="CCEEFF" w:val="clear"/>
            <w:tcMar>
              <w:bottom w:w="0" w:type="dxa"/>
            </w:tcMar>
            <w:vAlign w:val="center"/>
          </w:tcPr>
          <w:p>
            <w:pPr>
              <w:pStyle w:val="TableContents"/>
              <w:bidi w:val="0"/>
              <w:spacing w:before="0" w:after="0"/>
              <w:jc w:val="right"/>
              <w:rPr/>
            </w:pPr>
            <w:r>
              <w:rPr/>
              <w:t> </w:t>
            </w:r>
            <w:r>
              <w:rPr>
                <w:rFonts w:ascii="Times New Roman" w:hAnsi="Times New Roman"/>
                <w:sz w:val="20"/>
              </w:rPr>
              <w:t>82,887</w:t>
            </w:r>
          </w:p>
        </w:tc>
      </w:tr>
      <w:tr>
        <w:trPr/>
        <w:tc>
          <w:tcPr>
            <w:tcW w:w="474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Land and land options held for future development or sale</w:t>
            </w:r>
          </w:p>
        </w:tc>
        <w:tc>
          <w:tcPr>
            <w:tcW w:w="173" w:type="dxa"/>
            <w:tcBorders/>
            <w:shd w:fill="FFFFFF" w:val="clear"/>
            <w:tcMar>
              <w:bottom w:w="0" w:type="dxa"/>
            </w:tcMar>
            <w:vAlign w:val="center"/>
          </w:tcPr>
          <w:p>
            <w:pPr>
              <w:pStyle w:val="TableContents"/>
              <w:bidi w:val="0"/>
              <w:spacing w:before="0" w:after="0"/>
              <w:jc w:val="left"/>
              <w:rPr/>
            </w:pPr>
            <w:r>
              <w:rPr/>
              <w:t> </w:t>
            </w:r>
          </w:p>
        </w:tc>
        <w:tc>
          <w:tcPr>
            <w:tcW w:w="1151"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5,379</w:t>
            </w:r>
          </w:p>
        </w:tc>
      </w:tr>
      <w:tr>
        <w:trPr/>
        <w:tc>
          <w:tcPr>
            <w:tcW w:w="474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Receivables, deposits and notes, net</w:t>
            </w:r>
          </w:p>
        </w:tc>
        <w:tc>
          <w:tcPr>
            <w:tcW w:w="173" w:type="dxa"/>
            <w:tcBorders/>
            <w:shd w:fill="CCEEFF" w:val="clear"/>
            <w:tcMar>
              <w:bottom w:w="0" w:type="dxa"/>
            </w:tcMar>
            <w:vAlign w:val="center"/>
          </w:tcPr>
          <w:p>
            <w:pPr>
              <w:pStyle w:val="TableContents"/>
              <w:bidi w:val="0"/>
              <w:spacing w:before="0" w:after="0"/>
              <w:jc w:val="left"/>
              <w:rPr/>
            </w:pPr>
            <w:r>
              <w:rPr/>
              <w:t> </w:t>
            </w:r>
          </w:p>
        </w:tc>
        <w:tc>
          <w:tcPr>
            <w:tcW w:w="1151" w:type="dxa"/>
            <w:tcBorders/>
            <w:shd w:fill="CCEEFF" w:val="clear"/>
            <w:tcMar>
              <w:bottom w:w="0" w:type="dxa"/>
            </w:tcMar>
            <w:vAlign w:val="center"/>
          </w:tcPr>
          <w:p>
            <w:pPr>
              <w:pStyle w:val="TableContents"/>
              <w:bidi w:val="0"/>
              <w:spacing w:before="0" w:after="0"/>
              <w:jc w:val="right"/>
              <w:rPr/>
            </w:pPr>
            <w:r>
              <w:rPr/>
              <w:t> </w:t>
            </w:r>
            <w:r>
              <w:rPr>
                <w:rFonts w:ascii="Times New Roman" w:hAnsi="Times New Roman"/>
                <w:sz w:val="20"/>
              </w:rPr>
              <w:t>16,315</w:t>
            </w:r>
          </w:p>
        </w:tc>
      </w:tr>
      <w:tr>
        <w:trPr/>
        <w:tc>
          <w:tcPr>
            <w:tcW w:w="474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assets</w:t>
            </w:r>
          </w:p>
        </w:tc>
        <w:tc>
          <w:tcPr>
            <w:tcW w:w="173" w:type="dxa"/>
            <w:tcBorders/>
            <w:shd w:fill="FFFFFF" w:val="clear"/>
            <w:tcMar>
              <w:bottom w:w="0" w:type="dxa"/>
            </w:tcMar>
            <w:vAlign w:val="center"/>
          </w:tcPr>
          <w:p>
            <w:pPr>
              <w:pStyle w:val="TableContents"/>
              <w:bidi w:val="0"/>
              <w:spacing w:before="0" w:after="0"/>
              <w:jc w:val="left"/>
              <w:rPr/>
            </w:pPr>
            <w:r>
              <w:rPr/>
              <w:t> </w:t>
            </w:r>
          </w:p>
        </w:tc>
        <w:tc>
          <w:tcPr>
            <w:tcW w:w="1151"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7,682</w:t>
            </w:r>
          </w:p>
        </w:tc>
      </w:tr>
      <w:tr>
        <w:trPr/>
        <w:tc>
          <w:tcPr>
            <w:tcW w:w="474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173" w:type="dxa"/>
            <w:tcBorders/>
            <w:shd w:fill="CCEEFF" w:val="clear"/>
            <w:tcMar>
              <w:bottom w:w="0" w:type="dxa"/>
            </w:tcMar>
            <w:vAlign w:val="center"/>
          </w:tcPr>
          <w:p>
            <w:pPr>
              <w:pStyle w:val="TableContents"/>
              <w:bidi w:val="0"/>
              <w:spacing w:before="0" w:after="0"/>
              <w:jc w:val="left"/>
              <w:rPr/>
            </w:pPr>
            <w:r>
              <w:rPr/>
              <w:t> </w:t>
            </w:r>
          </w:p>
        </w:tc>
        <w:tc>
          <w:tcPr>
            <w:tcW w:w="1151"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(28,430)</w:t>
            </w:r>
          </w:p>
        </w:tc>
      </w:tr>
      <w:tr>
        <w:trPr/>
        <w:tc>
          <w:tcPr>
            <w:tcW w:w="4745" w:type="dxa"/>
            <w:tcBorders>
              <w:bottom w:val="single" w:sz="8" w:space="0" w:color="000000"/>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Customers' deposits</w:t>
            </w:r>
          </w:p>
        </w:tc>
        <w:tc>
          <w:tcPr>
            <w:tcW w:w="173" w:type="dxa"/>
            <w:tcBorders>
              <w:bottom w:val="single" w:sz="8" w:space="0" w:color="000000"/>
            </w:tcBorders>
            <w:shd w:fill="FFFFFF" w:val="clear"/>
            <w:vAlign w:val="center"/>
          </w:tcPr>
          <w:p>
            <w:pPr>
              <w:pStyle w:val="TableContents"/>
              <w:bidi w:val="0"/>
              <w:spacing w:before="0" w:after="0"/>
              <w:jc w:val="left"/>
              <w:rPr/>
            </w:pPr>
            <w:r>
              <w:rPr/>
              <w:t> </w:t>
            </w:r>
          </w:p>
        </w:tc>
        <w:tc>
          <w:tcPr>
            <w:tcW w:w="1151"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(132,358)</w:t>
            </w:r>
          </w:p>
        </w:tc>
      </w:tr>
      <w:tr>
        <w:trPr/>
        <w:tc>
          <w:tcPr>
            <w:tcW w:w="474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Net liabilities assumed</w:t>
            </w:r>
          </w:p>
        </w:tc>
        <w:tc>
          <w:tcPr>
            <w:tcW w:w="173"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151"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(12,756)</w:t>
            </w:r>
          </w:p>
        </w:tc>
      </w:tr>
      <w:tr>
        <w:trPr/>
        <w:tc>
          <w:tcPr>
            <w:tcW w:w="474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73" w:type="dxa"/>
            <w:tcBorders/>
            <w:shd w:fill="FFFFFF" w:val="clear"/>
            <w:tcMar>
              <w:bottom w:w="0" w:type="dxa"/>
            </w:tcMar>
            <w:vAlign w:val="center"/>
          </w:tcPr>
          <w:p>
            <w:pPr>
              <w:pStyle w:val="TableContents"/>
              <w:bidi w:val="0"/>
              <w:spacing w:before="0" w:after="0"/>
              <w:jc w:val="left"/>
              <w:rPr/>
            </w:pPr>
            <w:r>
              <w:rPr/>
              <w:t> </w:t>
            </w:r>
          </w:p>
        </w:tc>
        <w:tc>
          <w:tcPr>
            <w:tcW w:w="1151"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31,705</w:t>
            </w:r>
          </w:p>
        </w:tc>
      </w:tr>
      <w:tr>
        <w:trPr/>
        <w:tc>
          <w:tcPr>
            <w:tcW w:w="474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173" w:type="dxa"/>
            <w:tcBorders/>
            <w:shd w:fill="CCEEFF" w:val="clear"/>
            <w:tcMar>
              <w:bottom w:w="0" w:type="dxa"/>
            </w:tcMar>
            <w:vAlign w:val="center"/>
          </w:tcPr>
          <w:p>
            <w:pPr>
              <w:pStyle w:val="TableContents"/>
              <w:bidi w:val="0"/>
              <w:spacing w:before="0" w:after="0"/>
              <w:jc w:val="left"/>
              <w:rPr/>
            </w:pPr>
            <w:r>
              <w:rPr/>
              <w:t> </w:t>
            </w:r>
          </w:p>
        </w:tc>
        <w:tc>
          <w:tcPr>
            <w:tcW w:w="1151"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(1,895)</w:t>
            </w:r>
          </w:p>
        </w:tc>
      </w:tr>
      <w:tr>
        <w:trPr/>
        <w:tc>
          <w:tcPr>
            <w:tcW w:w="4745" w:type="dxa"/>
            <w:tcBorders>
              <w:bottom w:val="single" w:sz="8" w:space="0" w:color="000000"/>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Gain on consolidation</w:t>
            </w:r>
          </w:p>
        </w:tc>
        <w:tc>
          <w:tcPr>
            <w:tcW w:w="173" w:type="dxa"/>
            <w:tcBorders>
              <w:bottom w:val="single" w:sz="8" w:space="0" w:color="000000"/>
            </w:tcBorders>
            <w:shd w:fill="FFFFFF" w:val="clear"/>
            <w:vAlign w:val="center"/>
          </w:tcPr>
          <w:p>
            <w:pPr>
              <w:pStyle w:val="TableContents"/>
              <w:bidi w:val="0"/>
              <w:spacing w:before="0" w:after="0"/>
              <w:jc w:val="left"/>
              <w:rPr/>
            </w:pPr>
            <w:r>
              <w:rPr/>
              <w:t> </w:t>
            </w:r>
          </w:p>
        </w:tc>
        <w:tc>
          <w:tcPr>
            <w:tcW w:w="1151"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(9,474)</w:t>
            </w:r>
          </w:p>
        </w:tc>
      </w:tr>
      <w:tr>
        <w:trPr/>
        <w:tc>
          <w:tcPr>
            <w:tcW w:w="474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Purchase price consideration</w:t>
            </w:r>
          </w:p>
        </w:tc>
        <w:tc>
          <w:tcPr>
            <w:tcW w:w="173"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51"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7,580</w:t>
            </w:r>
          </w:p>
        </w:tc>
      </w:tr>
    </w:tbl>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rFonts w:ascii="Times New Roman" w:hAnsi="Times New Roman"/>
          <w:sz w:val="20"/>
        </w:rPr>
        <w:t>The excess of purchase consideration over the fair value of the net liabilities acquired was recorded as goodwill, which is primarily attributed to the assembled workforce of KSA, and is not deductible for income tax purposes. The results of KSA were included in the Condensed Consolidated Statement of Operations from the date of acquisition and included $0.3</w:t>
      </w:r>
      <w:r>
        <w:rPr/>
        <w:t xml:space="preserve"> </w:t>
      </w:r>
      <w:r>
        <w:rPr>
          <w:rFonts w:ascii="Times New Roman" w:hAnsi="Times New Roman"/>
          <w:sz w:val="20"/>
        </w:rPr>
        <w:t>million of revenue for KSA and loss before income taxes of $7.3</w:t>
      </w:r>
      <w:r>
        <w:rPr/>
        <w:t xml:space="preserve"> </w:t>
      </w:r>
      <w:r>
        <w:rPr>
          <w:rFonts w:ascii="Times New Roman" w:hAnsi="Times New Roman"/>
          <w:sz w:val="20"/>
        </w:rPr>
        <w:t>million for KSA for the nine months ended July 31, 2026.</w:t>
      </w:r>
    </w:p>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r>
        <w:br w:type="page"/>
      </w:r>
    </w:p>
    <w:p>
      <w:pPr>
        <w:pStyle w:val="TextBody"/>
        <w:bidi w:val="0"/>
        <w:spacing w:before="0" w:after="0"/>
        <w:jc w:val="left"/>
        <w:rPr/>
      </w:pPr>
      <w:hyperlink w:anchor="TOC">
        <w:r>
          <w:rPr>
            <w:rStyle w:val="InternetLink"/>
            <w:strike w:val="false"/>
            <w:dstrike w:val="false"/>
            <w:sz w:val="20"/>
            <w:u w:val="single"/>
            <w:effect w:val="none"/>
          </w:rPr>
          <w:t>Table of Contents</w:t>
        </w:r>
      </w:hyperlink>
    </w:p>
    <w:p>
      <w:pPr>
        <w:pStyle w:val="TextBody"/>
        <w:bidi w:val="0"/>
        <w:spacing w:before="0" w:after="0"/>
        <w:jc w:val="left"/>
        <w:rPr/>
      </w:pPr>
      <w:r>
        <w:rPr/>
        <w:t> </w:t>
      </w:r>
    </w:p>
    <w:tbl>
      <w:tblPr>
        <w:tblW w:w="3475" w:type="dxa"/>
        <w:jc w:val="left"/>
        <w:tblInd w:w="0" w:type="dxa"/>
        <w:tblLayout w:type="fixed"/>
        <w:tblCellMar>
          <w:top w:w="0" w:type="dxa"/>
          <w:left w:w="0" w:type="dxa"/>
          <w:bottom w:w="0" w:type="dxa"/>
          <w:right w:w="0" w:type="dxa"/>
        </w:tblCellMar>
      </w:tblPr>
      <w:tblGrid>
        <w:gridCol w:w="350"/>
        <w:gridCol w:w="3125"/>
      </w:tblGrid>
      <w:tr>
        <w:trPr/>
        <w:tc>
          <w:tcPr>
            <w:tcW w:w="350" w:type="dxa"/>
            <w:tcBorders/>
            <w:vAlign w:val="center"/>
          </w:tcPr>
          <w:p>
            <w:pPr>
              <w:pStyle w:val="TableContents"/>
              <w:bidi w:val="0"/>
              <w:spacing w:lineRule="atLeast" w:line="240" w:before="0" w:after="0"/>
              <w:jc w:val="left"/>
              <w:rPr/>
            </w:pPr>
            <w:r>
              <w:rPr>
                <w:rFonts w:ascii="Times New Roman" w:hAnsi="Times New Roman"/>
                <w:b/>
                <w:sz w:val="20"/>
              </w:rPr>
              <w:t>19.</w:t>
            </w:r>
            <w:r>
              <w:rPr/>
              <w:t xml:space="preserve"> </w:t>
            </w:r>
          </w:p>
        </w:tc>
        <w:tc>
          <w:tcPr>
            <w:tcW w:w="3125" w:type="dxa"/>
            <w:tcBorders/>
            <w:vAlign w:val="center"/>
          </w:tcPr>
          <w:p>
            <w:pPr>
              <w:pStyle w:val="TableContents"/>
              <w:bidi w:val="0"/>
              <w:spacing w:lineRule="atLeast" w:line="240" w:before="0" w:after="0"/>
              <w:jc w:val="left"/>
              <w:rPr/>
            </w:pPr>
            <w:r>
              <w:rPr>
                <w:rFonts w:ascii="Times New Roman" w:hAnsi="Times New Roman"/>
                <w:b/>
                <w:sz w:val="20"/>
              </w:rPr>
              <w:t>Recent Accounting Pronouncements</w:t>
            </w:r>
            <w:r>
              <w:rPr/>
              <w:t xml:space="preserve"> </w:t>
            </w:r>
          </w:p>
        </w:tc>
      </w:tr>
    </w:tbl>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rFonts w:ascii="Times New Roman" w:hAnsi="Times New Roman"/>
          <w:sz w:val="20"/>
        </w:rPr>
        <w:t>In December 2023, the Financial Accounting Standards Board (“FASB”) issued accounting standards update (“ASU”) 2023-09,</w:t>
      </w:r>
      <w:r>
        <w:rPr/>
        <w:t> “</w:t>
      </w:r>
      <w:r>
        <w:rPr>
          <w:rFonts w:ascii="Times New Roman" w:hAnsi="Times New Roman"/>
          <w:sz w:val="20"/>
        </w:rPr>
        <w:t>Improvements to Income Tax Disclosures”</w:t>
      </w:r>
      <w:r>
        <w:rPr/>
        <w:t> </w:t>
      </w:r>
      <w:r>
        <w:rPr>
          <w:rFonts w:ascii="Times New Roman" w:hAnsi="Times New Roman"/>
          <w:sz w:val="20"/>
        </w:rPr>
        <w:t>(“ASU 2023-09”). ASU 2023-09 requires enhanced disclosures related to the rate reconciliation and information on income taxes paid. This guidance will be applied prospectively and is effective for annual reporting periods in fiscal years beginning after December 15, 2024. We are currently evaluating the potential impact the adoption of this guidance will have on our Condensed Consolidated Financial Statements.</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rFonts w:ascii="Times New Roman" w:hAnsi="Times New Roman"/>
          <w:sz w:val="20"/>
        </w:rPr>
      </w:pPr>
      <w:r>
        <w:rPr>
          <w:rFonts w:ascii="Times New Roman" w:hAnsi="Times New Roman"/>
          <w:sz w:val="20"/>
        </w:rPr>
        <w:t>In November 2024, the FASB issued ASU 2024-03, “Disaggregation of Income Statement Expenses” (“ASU 2024-03”). ASU 2024-03 requires disclosure of additional information about specific cost and expense categories in the notes to the financial statements. This guidance will be applied either prospectively or retrospectively and is effective for annual reporting periods in fiscal years beginning after December 15, 2026, and interim reporting periods in fiscal years beginning after December 15, 2027. We are currently evaluating the potential impact the adoption of this guidance will have on our Condensed Consolidated Financial Statements.</w:t>
      </w:r>
    </w:p>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rFonts w:ascii="Times New Roman" w:hAnsi="Times New Roman"/>
          <w:sz w:val="20"/>
        </w:rPr>
        <w:t>In September 2025, the FASB issued ASU 2025-06,</w:t>
      </w:r>
      <w:r>
        <w:rPr/>
        <w:t> “</w:t>
      </w:r>
      <w:r>
        <w:rPr>
          <w:rFonts w:ascii="Times New Roman" w:hAnsi="Times New Roman"/>
          <w:sz w:val="20"/>
        </w:rPr>
        <w:t>Intangibles - Goodwill and Other - Internal-Use Software (Subtopic 350-40): Targeted Improvements to the Accounting for Internal-Use Software”</w:t>
      </w:r>
      <w:r>
        <w:rPr/>
        <w:t> </w:t>
      </w:r>
      <w:r>
        <w:rPr>
          <w:rFonts w:ascii="Times New Roman" w:hAnsi="Times New Roman"/>
          <w:sz w:val="20"/>
        </w:rPr>
        <w:t>(“ASU 2025-06”). ASU 2025-06</w:t>
      </w:r>
      <w:r>
        <w:rPr/>
        <w:t> </w:t>
      </w:r>
      <w:r>
        <w:rPr>
          <w:rFonts w:ascii="Times New Roman" w:hAnsi="Times New Roman"/>
          <w:sz w:val="20"/>
        </w:rPr>
        <w:t>modernizes the accounting for the costs of internal-use software by removing all references to software development project stages so that the guidance is neutral to different software development methods. This guidance is effective for fiscal years beginning after December 15, 2027 and interim reporting periods within those annual reporting periods. Early adoption is permitted and the amendments in this update may be applied on a retrospective, modified transition, or prospective basis.</w:t>
      </w:r>
      <w:r>
        <w:rPr/>
        <w:t> </w:t>
      </w:r>
      <w:r>
        <w:rPr>
          <w:rFonts w:ascii="Times New Roman" w:hAnsi="Times New Roman"/>
          <w:sz w:val="20"/>
        </w:rPr>
        <w:t>We are currently evaluating the potential impact that the adoption of this guidance will have on our Condensed Consolidated Financial Statements.</w:t>
      </w:r>
    </w:p>
    <w:p>
      <w:pPr>
        <w:pStyle w:val="TextBody"/>
        <w:bidi w:val="0"/>
        <w:spacing w:lineRule="atLeast" w:line="240" w:before="0" w:after="0"/>
        <w:jc w:val="left"/>
        <w:rPr/>
      </w:pPr>
      <w:r>
        <w:rPr/>
        <w:t> </w:t>
      </w:r>
    </w:p>
    <w:tbl>
      <w:tblPr>
        <w:tblW w:w="3445" w:type="dxa"/>
        <w:jc w:val="left"/>
        <w:tblInd w:w="0" w:type="dxa"/>
        <w:tblLayout w:type="fixed"/>
        <w:tblCellMar>
          <w:top w:w="0" w:type="dxa"/>
          <w:left w:w="0" w:type="dxa"/>
          <w:bottom w:w="0" w:type="dxa"/>
          <w:right w:w="0" w:type="dxa"/>
        </w:tblCellMar>
      </w:tblPr>
      <w:tblGrid>
        <w:gridCol w:w="335"/>
        <w:gridCol w:w="3110"/>
      </w:tblGrid>
      <w:tr>
        <w:trPr/>
        <w:tc>
          <w:tcPr>
            <w:tcW w:w="335" w:type="dxa"/>
            <w:tcBorders/>
            <w:vAlign w:val="center"/>
          </w:tcPr>
          <w:p>
            <w:pPr>
              <w:pStyle w:val="TableContents"/>
              <w:bidi w:val="0"/>
              <w:spacing w:before="0" w:after="0"/>
              <w:jc w:val="left"/>
              <w:rPr>
                <w:sz w:val="20"/>
              </w:rPr>
            </w:pPr>
            <w:r>
              <w:rPr>
                <w:rFonts w:ascii="Times New Roman" w:hAnsi="Times New Roman"/>
                <w:b/>
                <w:sz w:val="20"/>
              </w:rPr>
              <w:t>20.</w:t>
            </w:r>
            <w:r>
              <w:rPr>
                <w:sz w:val="20"/>
              </w:rPr>
              <w:t xml:space="preserve"> </w:t>
            </w:r>
          </w:p>
        </w:tc>
        <w:tc>
          <w:tcPr>
            <w:tcW w:w="3110" w:type="dxa"/>
            <w:tcBorders/>
            <w:vAlign w:val="center"/>
          </w:tcPr>
          <w:p>
            <w:pPr>
              <w:pStyle w:val="TableContents"/>
              <w:bidi w:val="0"/>
              <w:spacing w:before="0" w:after="0"/>
              <w:jc w:val="left"/>
              <w:rPr>
                <w:sz w:val="20"/>
              </w:rPr>
            </w:pPr>
            <w:r>
              <w:rPr>
                <w:rFonts w:ascii="Times New Roman" w:hAnsi="Times New Roman"/>
                <w:b/>
                <w:sz w:val="20"/>
              </w:rPr>
              <w:t>Fair Value of Financial Instruments</w:t>
            </w:r>
            <w:r>
              <w:rPr>
                <w:sz w:val="20"/>
              </w:rPr>
              <w:t xml:space="preserve"> </w:t>
            </w:r>
          </w:p>
        </w:tc>
      </w:tr>
    </w:tbl>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rFonts w:ascii="Times New Roman" w:hAnsi="Times New Roman"/>
          <w:sz w:val="20"/>
        </w:rPr>
      </w:pPr>
      <w:r>
        <w:rPr>
          <w:rFonts w:ascii="Times New Roman" w:hAnsi="Times New Roman"/>
          <w:sz w:val="20"/>
        </w:rPr>
        <w:t>We use a fair-value hierarchy which prioritizes the inputs used in measuring fair value as follows:</w:t>
      </w:r>
    </w:p>
    <w:p>
      <w:pPr>
        <w:pStyle w:val="TextBody"/>
        <w:bidi w:val="0"/>
        <w:spacing w:lineRule="atLeast" w:line="240"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740"/>
        <w:gridCol w:w="6770"/>
      </w:tblGrid>
      <w:tr>
        <w:trPr/>
        <w:tc>
          <w:tcPr>
            <w:tcW w:w="75"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Level 1: </w:t>
            </w:r>
          </w:p>
        </w:tc>
        <w:tc>
          <w:tcPr>
            <w:tcW w:w="6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Fair value determined based on quoted prices in active markets for identical assets. </w:t>
            </w:r>
          </w:p>
        </w:tc>
      </w:tr>
    </w:tbl>
    <w:p>
      <w:pPr>
        <w:pStyle w:val="TextBody"/>
        <w:bidi w:val="0"/>
        <w:spacing w:lineRule="atLeast" w:line="240"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75"/>
        <w:gridCol w:w="740"/>
        <w:gridCol w:w="5255"/>
      </w:tblGrid>
      <w:tr>
        <w:trPr/>
        <w:tc>
          <w:tcPr>
            <w:tcW w:w="75"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Level 2: </w:t>
            </w:r>
          </w:p>
        </w:tc>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Fair value determined using significant other observable inputs. </w:t>
            </w:r>
          </w:p>
        </w:tc>
      </w:tr>
    </w:tbl>
    <w:p>
      <w:pPr>
        <w:pStyle w:val="TextBody"/>
        <w:bidi w:val="0"/>
        <w:spacing w:lineRule="atLeast" w:line="240"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75"/>
        <w:gridCol w:w="740"/>
        <w:gridCol w:w="5000"/>
      </w:tblGrid>
      <w:tr>
        <w:trPr/>
        <w:tc>
          <w:tcPr>
            <w:tcW w:w="75"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Level 3: </w:t>
            </w:r>
          </w:p>
        </w:tc>
        <w:tc>
          <w:tcPr>
            <w:tcW w:w="5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Fair value determined using significant unobservable inputs. </w:t>
            </w:r>
          </w:p>
        </w:tc>
      </w:tr>
    </w:tbl>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rFonts w:ascii="Times New Roman" w:hAnsi="Times New Roman"/>
          <w:sz w:val="20"/>
        </w:rPr>
      </w:pPr>
      <w:r>
        <w:rPr>
          <w:rFonts w:ascii="Times New Roman" w:hAnsi="Times New Roman"/>
          <w:sz w:val="20"/>
        </w:rPr>
        <w:t>Our financial instruments measured at fair value on a recurring basis are summarized below:</w:t>
      </w:r>
    </w:p>
    <w:p>
      <w:pPr>
        <w:pStyle w:val="TextBody"/>
        <w:bidi w:val="0"/>
        <w:spacing w:lineRule="atLeast" w:line="240" w:before="0" w:after="0"/>
        <w:ind w:left="0" w:right="0" w:firstLine="900"/>
        <w:jc w:val="left"/>
        <w:rPr/>
      </w:pPr>
      <w:r>
        <w:rPr/>
        <w:t> </w:t>
      </w:r>
    </w:p>
    <w:tbl>
      <w:tblPr>
        <w:tblW w:w="6285" w:type="dxa"/>
        <w:jc w:val="left"/>
        <w:tblInd w:w="0" w:type="dxa"/>
        <w:tblLayout w:type="fixed"/>
        <w:tblCellMar>
          <w:top w:w="0" w:type="dxa"/>
          <w:left w:w="0" w:type="dxa"/>
          <w:bottom w:w="0" w:type="dxa"/>
          <w:right w:w="0" w:type="dxa"/>
        </w:tblCellMar>
      </w:tblPr>
      <w:tblGrid>
        <w:gridCol w:w="2615"/>
        <w:gridCol w:w="60"/>
        <w:gridCol w:w="935"/>
        <w:gridCol w:w="60"/>
        <w:gridCol w:w="125"/>
        <w:gridCol w:w="1145"/>
        <w:gridCol w:w="60"/>
        <w:gridCol w:w="125"/>
        <w:gridCol w:w="1160"/>
      </w:tblGrid>
      <w:tr>
        <w:trPr/>
        <w:tc>
          <w:tcPr>
            <w:tcW w:w="261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center"/>
              <w:rPr>
                <w:sz w:val="20"/>
              </w:rPr>
            </w:pPr>
            <w:r>
              <w:rPr>
                <w:rFonts w:ascii="Times New Roman" w:hAnsi="Times New Roman"/>
                <w:b/>
                <w:sz w:val="20"/>
              </w:rPr>
              <w:t>Fair Value</w:t>
            </w:r>
            <w:r>
              <w:rPr>
                <w:sz w:val="20"/>
              </w:rPr>
              <w:t xml:space="preserve"> </w:t>
            </w:r>
            <w:r>
              <w:rPr>
                <w:rFonts w:ascii="Times New Roman" w:hAnsi="Times New Roman"/>
                <w:b/>
                <w:sz w:val="20"/>
              </w:rPr>
              <w:t>at</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Fair Value at</w:t>
            </w:r>
          </w:p>
        </w:tc>
      </w:tr>
      <w:tr>
        <w:trPr/>
        <w:tc>
          <w:tcPr>
            <w:tcW w:w="261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Fair Value</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July 31,</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October 31,</w:t>
            </w:r>
          </w:p>
        </w:tc>
      </w:tr>
      <w:tr>
        <w:trPr/>
        <w:tc>
          <w:tcPr>
            <w:tcW w:w="2615"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 thousands)</w:t>
            </w:r>
          </w:p>
        </w:tc>
        <w:tc>
          <w:tcPr>
            <w:tcW w:w="60" w:type="dxa"/>
            <w:tcBorders>
              <w:bottom w:val="single" w:sz="8" w:space="0" w:color="000000"/>
            </w:tcBorders>
            <w:tcMar>
              <w:bottom w:w="28" w:type="dxa"/>
            </w:tcMar>
            <w:vAlign w:val="center"/>
          </w:tcPr>
          <w:p>
            <w:pPr>
              <w:pStyle w:val="TableContents"/>
              <w:bidi w:val="0"/>
              <w:spacing w:before="0" w:after="0"/>
              <w:jc w:val="left"/>
              <w:rPr/>
            </w:pPr>
            <w:r>
              <w:rPr/>
              <w:t> </w:t>
            </w:r>
          </w:p>
        </w:tc>
        <w:tc>
          <w:tcPr>
            <w:tcW w:w="93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Hierarchy</w:t>
            </w:r>
          </w:p>
        </w:tc>
        <w:tc>
          <w:tcPr>
            <w:tcW w:w="60" w:type="dxa"/>
            <w:tcBorders>
              <w:bottom w:val="single" w:sz="8" w:space="0" w:color="000000"/>
            </w:tcBorders>
            <w:tcMar>
              <w:bottom w:w="28" w:type="dxa"/>
            </w:tcMar>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0" w:type="dxa"/>
            <w:tcBorders>
              <w:bottom w:val="single" w:sz="8" w:space="0" w:color="000000"/>
            </w:tcBorders>
            <w:tcMar>
              <w:bottom w:w="28" w:type="dxa"/>
            </w:tcMar>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1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r>
      <w:tr>
        <w:trPr/>
        <w:tc>
          <w:tcPr>
            <w:tcW w:w="2615"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935" w:type="dxa"/>
            <w:tcBorders>
              <w:top w:val="single" w:sz="8" w:space="0" w:color="000000"/>
            </w:tcBorders>
            <w:tcMar>
              <w:top w:w="28" w:type="dxa"/>
            </w:tcMar>
            <w:vAlign w:val="center"/>
          </w:tcPr>
          <w:p>
            <w:pPr>
              <w:pStyle w:val="TableContents"/>
              <w:bidi w:val="0"/>
              <w:spacing w:before="0" w:after="0"/>
              <w:jc w:val="center"/>
              <w:rPr/>
            </w:pPr>
            <w:r>
              <w:rPr/>
              <w:t> </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1145"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1160" w:type="dxa"/>
            <w:tcBorders>
              <w:top w:val="single" w:sz="8" w:space="0" w:color="000000"/>
            </w:tcBorders>
            <w:tcMar>
              <w:top w:w="28" w:type="dxa"/>
            </w:tcMar>
            <w:vAlign w:val="center"/>
          </w:tcPr>
          <w:p>
            <w:pPr>
              <w:pStyle w:val="TableContents"/>
              <w:bidi w:val="0"/>
              <w:spacing w:before="0" w:after="0"/>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Mortgage loans held for sale (1)</w:t>
            </w:r>
          </w:p>
        </w:tc>
        <w:tc>
          <w:tcPr>
            <w:tcW w:w="6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Level 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122,286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111,631</w:t>
            </w:r>
          </w:p>
        </w:tc>
      </w:tr>
    </w:tbl>
    <w:p>
      <w:pPr>
        <w:pStyle w:val="TextBody"/>
        <w:bidi w:val="0"/>
        <w:spacing w:before="0" w:after="0"/>
        <w:jc w:val="left"/>
        <w:rPr/>
      </w:pPr>
      <w:r>
        <w:rPr/>
        <w:t> </w:t>
      </w:r>
    </w:p>
    <w:p>
      <w:pPr>
        <w:pStyle w:val="TextBody"/>
        <w:bidi w:val="0"/>
        <w:spacing w:before="0" w:after="0"/>
        <w:ind w:left="0" w:right="0" w:firstLine="900"/>
        <w:jc w:val="left"/>
        <w:rPr>
          <w:sz w:val="20"/>
        </w:rPr>
      </w:pPr>
      <w:r>
        <w:rPr>
          <w:rFonts w:ascii="Times New Roman" w:hAnsi="Times New Roman"/>
          <w:sz w:val="20"/>
        </w:rPr>
        <w:t>(</w:t>
      </w:r>
      <w:r>
        <w:rPr>
          <w:rFonts w:ascii="Times New Roman" w:hAnsi="Times New Roman"/>
          <w:i/>
          <w:sz w:val="20"/>
        </w:rPr>
        <w:t>1) The aggregate unpaid principal balance was $124.3</w:t>
      </w:r>
      <w:r>
        <w:rPr>
          <w:sz w:val="20"/>
        </w:rPr>
        <w:t xml:space="preserve"> </w:t>
      </w:r>
      <w:r>
        <w:rPr>
          <w:rFonts w:ascii="Times New Roman" w:hAnsi="Times New Roman"/>
          <w:i/>
          <w:sz w:val="20"/>
        </w:rPr>
        <w:t>million and $112.1</w:t>
      </w:r>
      <w:r>
        <w:rPr>
          <w:sz w:val="20"/>
        </w:rPr>
        <w:t xml:space="preserve"> </w:t>
      </w:r>
      <w:r>
        <w:rPr>
          <w:rFonts w:ascii="Times New Roman" w:hAnsi="Times New Roman"/>
          <w:i/>
          <w:sz w:val="20"/>
        </w:rPr>
        <w:t>million at July 31, 2026</w:t>
      </w:r>
      <w:r>
        <w:rPr>
          <w:sz w:val="20"/>
        </w:rPr>
        <w:t xml:space="preserve"> </w:t>
      </w:r>
      <w:r>
        <w:rPr>
          <w:rFonts w:ascii="Times New Roman" w:hAnsi="Times New Roman"/>
          <w:i/>
          <w:sz w:val="20"/>
        </w:rPr>
        <w:t>and October 31, 2025, respectively.</w:t>
      </w:r>
    </w:p>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rFonts w:ascii="Times New Roman" w:hAnsi="Times New Roman"/>
          <w:sz w:val="20"/>
        </w:rPr>
      </w:pPr>
      <w:r>
        <w:rPr>
          <w:rFonts w:ascii="Times New Roman" w:hAnsi="Times New Roman"/>
          <w:sz w:val="20"/>
        </w:rPr>
        <w:t xml:space="preserve">Fair value of mortgage loans held for sale is based on independent quoted market prices, where available, or the prices for other mortgage loans with similar characteristics. </w:t>
      </w:r>
    </w:p>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rFonts w:ascii="Times New Roman" w:hAnsi="Times New Roman"/>
          <w:sz w:val="20"/>
        </w:rPr>
        <w:t>The financial services segment had a pipeline of loan applications in process of $523.6</w:t>
      </w:r>
      <w:r>
        <w:rPr/>
        <w:t xml:space="preserve"> </w:t>
      </w:r>
      <w:r>
        <w:rPr>
          <w:rFonts w:ascii="Times New Roman" w:hAnsi="Times New Roman"/>
          <w:sz w:val="20"/>
        </w:rPr>
        <w:t>million at July 31, 2026. Loans in process for which interest rates were committed to the borrowers totaled $60.1</w:t>
      </w:r>
      <w:r>
        <w:rPr/>
        <w:t xml:space="preserve"> </w:t>
      </w:r>
      <w:r>
        <w:rPr>
          <w:rFonts w:ascii="Times New Roman" w:hAnsi="Times New Roman"/>
          <w:sz w:val="20"/>
        </w:rPr>
        <w:t>million as of July 31, 2026. Substantially all of these commitments were for periods of 60</w:t>
      </w:r>
      <w:r>
        <w:rPr/>
        <w:t xml:space="preserve"> </w:t>
      </w:r>
      <w:r>
        <w:rPr>
          <w:rFonts w:ascii="Times New Roman" w:hAnsi="Times New Roman"/>
          <w:sz w:val="20"/>
        </w:rPr>
        <w:t>days or less. Since a portion of these commitments are expected to expire without being exercised by the borrowers, the total commitments do not necessarily represent future cash requirements.</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rFonts w:ascii="Times New Roman" w:hAnsi="Times New Roman"/>
          <w:sz w:val="20"/>
        </w:rPr>
      </w:pPr>
      <w:r>
        <w:rPr>
          <w:rFonts w:ascii="Times New Roman" w:hAnsi="Times New Roman"/>
          <w:sz w:val="20"/>
        </w:rPr>
        <w:t>In addition, the financial services segment uses investor commitments and forward sales of mandatory MBS to hedge its mortgage-related interest rate exposure. These instruments involve, to varying degrees, elements of credit and interest rate risk. Credit risk is managed by entering into MBS forward commitments, option contracts with investment banks, federally regulated bank affiliates and loan sales transactions with permanent investors meeting the segment’s credit standards. Our risk, in the event of default by the purchaser, is the difference between the contract price and fair value of the MBS forward commitments and option contracts. At July 31, 2026, we had no open mandatory investor commitments to sell MBS.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TableofContent">
        <w:r>
          <w:rPr>
            <w:rStyle w:val="InternetLink"/>
            <w:rFonts w:ascii="Times New Roman" w:hAnsi="Times New Roman"/>
            <w:strike w:val="false"/>
            <w:dstrike w:val="false"/>
            <w:color w:val="0000FF"/>
            <w:sz w:val="20"/>
            <w:u w:val="single"/>
            <w:effect w:val="none"/>
          </w:rPr>
          <w:t>Table of Contents</w:t>
        </w:r>
      </w:hyperlink>
    </w:p>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rFonts w:ascii="Times New Roman" w:hAnsi="Times New Roman"/>
          <w:sz w:val="20"/>
        </w:rPr>
      </w:pPr>
      <w:r>
        <w:rPr>
          <w:rFonts w:ascii="Times New Roman" w:hAnsi="Times New Roman"/>
          <w:sz w:val="20"/>
        </w:rPr>
        <w:t>Changes in fair value that are included in income are shown by financial instrument and financial statement line item, below:</w:t>
      </w:r>
    </w:p>
    <w:p>
      <w:pPr>
        <w:pStyle w:val="TextBody"/>
        <w:bidi w:val="0"/>
        <w:spacing w:lineRule="atLeast" w:line="240" w:before="0" w:after="0"/>
        <w:ind w:left="0" w:right="0" w:firstLine="900"/>
        <w:jc w:val="left"/>
        <w:rPr/>
      </w:pPr>
      <w:r>
        <w:rPr/>
        <w:t> </w:t>
      </w:r>
    </w:p>
    <w:tbl>
      <w:tblPr>
        <w:tblW w:w="10205" w:type="dxa"/>
        <w:jc w:val="left"/>
        <w:tblInd w:w="0" w:type="dxa"/>
        <w:tblLayout w:type="fixed"/>
        <w:tblCellMar>
          <w:top w:w="0" w:type="dxa"/>
          <w:left w:w="0" w:type="dxa"/>
          <w:bottom w:w="28" w:type="dxa"/>
          <w:right w:w="0" w:type="dxa"/>
        </w:tblCellMar>
      </w:tblPr>
      <w:tblGrid>
        <w:gridCol w:w="3832"/>
        <w:gridCol w:w="512"/>
        <w:gridCol w:w="1703"/>
        <w:gridCol w:w="135"/>
        <w:gridCol w:w="1476"/>
        <w:gridCol w:w="947"/>
        <w:gridCol w:w="135"/>
        <w:gridCol w:w="830"/>
        <w:gridCol w:w="635"/>
      </w:tblGrid>
      <w:tr>
        <w:trPr/>
        <w:tc>
          <w:tcPr>
            <w:tcW w:w="3832" w:type="dxa"/>
            <w:tcBorders>
              <w:bottom w:val="single" w:sz="8" w:space="0" w:color="000000"/>
            </w:tcBorders>
            <w:vAlign w:val="center"/>
          </w:tcPr>
          <w:p>
            <w:pPr>
              <w:pStyle w:val="TableContents"/>
              <w:bidi w:val="0"/>
              <w:spacing w:before="0" w:after="0"/>
              <w:jc w:val="left"/>
              <w:rPr/>
            </w:pPr>
            <w:r>
              <w:rPr/>
              <w:t> </w:t>
            </w:r>
          </w:p>
        </w:tc>
        <w:tc>
          <w:tcPr>
            <w:tcW w:w="6373" w:type="dxa"/>
            <w:gridSpan w:val="8"/>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Three Months Ended July 31, 2026</w:t>
            </w:r>
          </w:p>
        </w:tc>
      </w:tr>
      <w:tr>
        <w:trPr/>
        <w:tc>
          <w:tcPr>
            <w:tcW w:w="3832"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2215" w:type="dxa"/>
            <w:gridSpan w:val="2"/>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Mortgage Loans Held For Sale</w:t>
            </w:r>
          </w:p>
        </w:tc>
        <w:tc>
          <w:tcPr>
            <w:tcW w:w="13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2423" w:type="dxa"/>
            <w:gridSpan w:val="2"/>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Interest Rate Lock Commitments</w:t>
            </w:r>
          </w:p>
        </w:tc>
        <w:tc>
          <w:tcPr>
            <w:tcW w:w="13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465" w:type="dxa"/>
            <w:gridSpan w:val="2"/>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Forward Contracts</w:t>
            </w:r>
          </w:p>
        </w:tc>
      </w:tr>
      <w:tr>
        <w:trPr/>
        <w:tc>
          <w:tcPr>
            <w:tcW w:w="3832"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512"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703"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3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476"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947"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3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83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635" w:type="dxa"/>
            <w:tcBorders>
              <w:top w:val="single" w:sz="8" w:space="0" w:color="000000"/>
            </w:tcBorders>
            <w:tcMar>
              <w:top w:w="28" w:type="dxa"/>
              <w:bottom w:w="0" w:type="dxa"/>
            </w:tcMar>
            <w:vAlign w:val="center"/>
          </w:tcPr>
          <w:p>
            <w:pPr>
              <w:pStyle w:val="TableContents"/>
              <w:bidi w:val="0"/>
              <w:spacing w:before="0" w:after="0"/>
              <w:jc w:val="left"/>
              <w:rPr/>
            </w:pPr>
            <w:r>
              <w:rPr/>
              <w:t> </w:t>
            </w:r>
          </w:p>
        </w:tc>
      </w:tr>
      <w:tr>
        <w:trPr/>
        <w:tc>
          <w:tcPr>
            <w:tcW w:w="3832"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included in financial services revenue</w:t>
            </w:r>
          </w:p>
        </w:tc>
        <w:tc>
          <w:tcPr>
            <w:tcW w:w="512"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03"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(342)</w:t>
            </w:r>
          </w:p>
        </w:tc>
        <w:tc>
          <w:tcPr>
            <w:tcW w:w="135" w:type="dxa"/>
            <w:tcBorders/>
            <w:shd w:fill="CCEEFF" w:val="clear"/>
            <w:tcMar>
              <w:bottom w:w="0" w:type="dxa"/>
            </w:tcMar>
            <w:vAlign w:val="center"/>
          </w:tcPr>
          <w:p>
            <w:pPr>
              <w:pStyle w:val="TableContents"/>
              <w:bidi w:val="0"/>
              <w:spacing w:before="0" w:after="0"/>
              <w:jc w:val="left"/>
              <w:rPr/>
            </w:pPr>
            <w:r>
              <w:rPr/>
              <w:t> </w:t>
            </w:r>
          </w:p>
        </w:tc>
        <w:tc>
          <w:tcPr>
            <w:tcW w:w="1476"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7"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35" w:type="dxa"/>
            <w:tcBorders/>
            <w:shd w:fill="CCEEFF" w:val="clear"/>
            <w:tcMar>
              <w:bottom w:w="0" w:type="dxa"/>
            </w:tcMar>
            <w:vAlign w:val="center"/>
          </w:tcPr>
          <w:p>
            <w:pPr>
              <w:pStyle w:val="TableContents"/>
              <w:bidi w:val="0"/>
              <w:spacing w:before="0" w:after="0"/>
              <w:jc w:val="left"/>
              <w:rPr/>
            </w:pPr>
            <w:r>
              <w:rPr/>
              <w:t> </w:t>
            </w:r>
          </w:p>
        </w:tc>
        <w:tc>
          <w:tcPr>
            <w:tcW w:w="83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28" w:type="dxa"/>
          <w:right w:w="0" w:type="dxa"/>
        </w:tblCellMar>
      </w:tblPr>
      <w:tblGrid>
        <w:gridCol w:w="3720"/>
        <w:gridCol w:w="125"/>
        <w:gridCol w:w="2167"/>
        <w:gridCol w:w="60"/>
        <w:gridCol w:w="125"/>
        <w:gridCol w:w="2380"/>
        <w:gridCol w:w="60"/>
        <w:gridCol w:w="125"/>
        <w:gridCol w:w="1443"/>
      </w:tblGrid>
      <w:tr>
        <w:trPr/>
        <w:tc>
          <w:tcPr>
            <w:tcW w:w="3720" w:type="dxa"/>
            <w:tcBorders>
              <w:bottom w:val="single" w:sz="8" w:space="0" w:color="000000"/>
            </w:tcBorders>
            <w:vAlign w:val="center"/>
          </w:tcPr>
          <w:p>
            <w:pPr>
              <w:pStyle w:val="TableContents"/>
              <w:bidi w:val="0"/>
              <w:spacing w:before="0" w:after="0"/>
              <w:jc w:val="left"/>
              <w:rPr/>
            </w:pPr>
            <w:r>
              <w:rPr/>
              <w:t> </w:t>
            </w:r>
          </w:p>
        </w:tc>
        <w:tc>
          <w:tcPr>
            <w:tcW w:w="6485" w:type="dxa"/>
            <w:gridSpan w:val="8"/>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Three Months Ended July 31, 2025</w:t>
            </w:r>
          </w:p>
        </w:tc>
      </w:tr>
      <w:tr>
        <w:trPr/>
        <w:tc>
          <w:tcPr>
            <w:tcW w:w="372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2167" w:type="dxa"/>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Mortgage Loans Held For Sale</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2380" w:type="dxa"/>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Interest Rate Lock Commitments</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443" w:type="dxa"/>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Forward Contracts</w:t>
            </w:r>
          </w:p>
        </w:tc>
      </w:tr>
      <w:tr>
        <w:trPr/>
        <w:tc>
          <w:tcPr>
            <w:tcW w:w="372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2167"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238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443" w:type="dxa"/>
            <w:tcBorders>
              <w:top w:val="single" w:sz="8" w:space="0" w:color="000000"/>
            </w:tcBorders>
            <w:tcMar>
              <w:top w:w="28" w:type="dxa"/>
              <w:bottom w:w="0" w:type="dxa"/>
            </w:tcMar>
            <w:vAlign w:val="center"/>
          </w:tcPr>
          <w:p>
            <w:pPr>
              <w:pStyle w:val="TableContents"/>
              <w:bidi w:val="0"/>
              <w:spacing w:before="0" w:after="0"/>
              <w:jc w:val="left"/>
              <w:rPr/>
            </w:pPr>
            <w:r>
              <w:rPr/>
              <w:t> </w:t>
            </w:r>
          </w:p>
        </w:tc>
      </w:tr>
      <w:tr>
        <w:trPr/>
        <w:tc>
          <w:tcPr>
            <w:tcW w:w="372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included in financial services revenue</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167"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(644)</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38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43"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bl>
    <w:p>
      <w:pPr>
        <w:pStyle w:val="TextBody"/>
        <w:bidi w:val="0"/>
        <w:spacing w:lineRule="atLeast" w:line="240" w:before="0" w:after="0"/>
        <w:jc w:val="left"/>
        <w:rPr/>
      </w:pPr>
      <w:r>
        <w:rPr/>
        <w:t> </w:t>
      </w:r>
    </w:p>
    <w:tbl>
      <w:tblPr>
        <w:tblW w:w="10205" w:type="dxa"/>
        <w:jc w:val="left"/>
        <w:tblInd w:w="0" w:type="dxa"/>
        <w:tblLayout w:type="fixed"/>
        <w:tblCellMar>
          <w:top w:w="0" w:type="dxa"/>
          <w:left w:w="0" w:type="dxa"/>
          <w:bottom w:w="28" w:type="dxa"/>
          <w:right w:w="0" w:type="dxa"/>
        </w:tblCellMar>
      </w:tblPr>
      <w:tblGrid>
        <w:gridCol w:w="3720"/>
        <w:gridCol w:w="125"/>
        <w:gridCol w:w="2167"/>
        <w:gridCol w:w="60"/>
        <w:gridCol w:w="125"/>
        <w:gridCol w:w="2380"/>
        <w:gridCol w:w="60"/>
        <w:gridCol w:w="125"/>
        <w:gridCol w:w="1443"/>
      </w:tblGrid>
      <w:tr>
        <w:trPr/>
        <w:tc>
          <w:tcPr>
            <w:tcW w:w="3720" w:type="dxa"/>
            <w:tcBorders>
              <w:bottom w:val="single" w:sz="8" w:space="0" w:color="000000"/>
            </w:tcBorders>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6360" w:type="dxa"/>
            <w:gridSpan w:val="7"/>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Nine Months Ended July 31, 2026</w:t>
            </w:r>
          </w:p>
        </w:tc>
      </w:tr>
      <w:tr>
        <w:trPr/>
        <w:tc>
          <w:tcPr>
            <w:tcW w:w="372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2167" w:type="dxa"/>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Mortgage Loans Held For Sale</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2380" w:type="dxa"/>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Interest Rate Lock Commitments</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443" w:type="dxa"/>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Forward Contracts</w:t>
            </w:r>
          </w:p>
        </w:tc>
      </w:tr>
      <w:tr>
        <w:trPr/>
        <w:tc>
          <w:tcPr>
            <w:tcW w:w="372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2167"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238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443" w:type="dxa"/>
            <w:tcBorders>
              <w:top w:val="single" w:sz="8" w:space="0" w:color="000000"/>
            </w:tcBorders>
            <w:tcMar>
              <w:top w:w="28" w:type="dxa"/>
              <w:bottom w:w="0" w:type="dxa"/>
            </w:tcMar>
            <w:vAlign w:val="center"/>
          </w:tcPr>
          <w:p>
            <w:pPr>
              <w:pStyle w:val="TableContents"/>
              <w:bidi w:val="0"/>
              <w:spacing w:before="0" w:after="0"/>
              <w:jc w:val="left"/>
              <w:rPr/>
            </w:pPr>
            <w:r>
              <w:rPr/>
              <w:t> </w:t>
            </w:r>
          </w:p>
        </w:tc>
      </w:tr>
      <w:tr>
        <w:trPr/>
        <w:tc>
          <w:tcPr>
            <w:tcW w:w="372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included in financial services revenue</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167"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(2,193)</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38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43"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bl>
    <w:p>
      <w:pPr>
        <w:pStyle w:val="TextBody"/>
        <w:bidi w:val="0"/>
        <w:spacing w:lineRule="atLeast" w:line="240" w:before="0" w:after="0"/>
        <w:jc w:val="left"/>
        <w:rPr/>
      </w:pPr>
      <w:r>
        <w:rPr/>
        <w:t> </w:t>
      </w:r>
    </w:p>
    <w:tbl>
      <w:tblPr>
        <w:tblW w:w="10205" w:type="dxa"/>
        <w:jc w:val="left"/>
        <w:tblInd w:w="0" w:type="dxa"/>
        <w:tblLayout w:type="fixed"/>
        <w:tblCellMar>
          <w:top w:w="0" w:type="dxa"/>
          <w:left w:w="0" w:type="dxa"/>
          <w:bottom w:w="28" w:type="dxa"/>
          <w:right w:w="0" w:type="dxa"/>
        </w:tblCellMar>
      </w:tblPr>
      <w:tblGrid>
        <w:gridCol w:w="3720"/>
        <w:gridCol w:w="125"/>
        <w:gridCol w:w="2167"/>
        <w:gridCol w:w="60"/>
        <w:gridCol w:w="125"/>
        <w:gridCol w:w="2380"/>
        <w:gridCol w:w="60"/>
        <w:gridCol w:w="125"/>
        <w:gridCol w:w="1443"/>
      </w:tblGrid>
      <w:tr>
        <w:trPr/>
        <w:tc>
          <w:tcPr>
            <w:tcW w:w="3720" w:type="dxa"/>
            <w:tcBorders>
              <w:bottom w:val="single" w:sz="8" w:space="0" w:color="000000"/>
            </w:tcBorders>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6360" w:type="dxa"/>
            <w:gridSpan w:val="7"/>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Nine Months Ended July 31, 2025</w:t>
            </w:r>
          </w:p>
        </w:tc>
      </w:tr>
      <w:tr>
        <w:trPr/>
        <w:tc>
          <w:tcPr>
            <w:tcW w:w="372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2167" w:type="dxa"/>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Mortgage Loans Held For Sale</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2380" w:type="dxa"/>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Interest Rate Lock Commitments</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443" w:type="dxa"/>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Forward Contracts</w:t>
            </w:r>
          </w:p>
        </w:tc>
      </w:tr>
      <w:tr>
        <w:trPr/>
        <w:tc>
          <w:tcPr>
            <w:tcW w:w="372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2167"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238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443" w:type="dxa"/>
            <w:tcBorders>
              <w:top w:val="single" w:sz="8" w:space="0" w:color="000000"/>
            </w:tcBorders>
            <w:tcMar>
              <w:top w:w="28" w:type="dxa"/>
              <w:bottom w:w="0" w:type="dxa"/>
            </w:tcMar>
            <w:vAlign w:val="center"/>
          </w:tcPr>
          <w:p>
            <w:pPr>
              <w:pStyle w:val="TableContents"/>
              <w:bidi w:val="0"/>
              <w:spacing w:before="0" w:after="0"/>
              <w:jc w:val="left"/>
              <w:rPr/>
            </w:pPr>
            <w:r>
              <w:rPr/>
              <w:t> </w:t>
            </w:r>
          </w:p>
        </w:tc>
      </w:tr>
      <w:tr>
        <w:trPr/>
        <w:tc>
          <w:tcPr>
            <w:tcW w:w="372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included in financial services revenue</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167"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(1,554)</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38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43"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bl>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rFonts w:ascii="Times New Roman" w:hAnsi="Times New Roman"/>
          <w:sz w:val="20"/>
        </w:rPr>
        <w:t>Assets measured at fair value on a nonrecurring basis are those assets for which we have recorded valuation adjustments and write-offs during the nine months ended July 31, 2026</w:t>
      </w:r>
      <w:r>
        <w:rPr/>
        <w:t xml:space="preserve"> </w:t>
      </w:r>
      <w:r>
        <w:rPr>
          <w:rFonts w:ascii="Times New Roman" w:hAnsi="Times New Roman"/>
          <w:sz w:val="20"/>
        </w:rPr>
        <w:t>(there were no</w:t>
      </w:r>
      <w:r>
        <w:rPr/>
        <w:t xml:space="preserve"> </w:t>
      </w:r>
      <w:r>
        <w:rPr>
          <w:rFonts w:ascii="Times New Roman" w:hAnsi="Times New Roman"/>
          <w:sz w:val="20"/>
        </w:rPr>
        <w:t>such valuation adjustments and write-offs during the three months ended July 31, 2026) and the three and nine months ending July 31, 2025. The assets measured at fair value on a nonrecurring basis are all within our homebuilding operations and are summarized below:</w:t>
      </w:r>
    </w:p>
    <w:p>
      <w:pPr>
        <w:pStyle w:val="TextBody"/>
        <w:bidi w:val="0"/>
        <w:spacing w:lineRule="atLeast" w:line="240" w:before="0" w:after="0"/>
        <w:ind w:left="0" w:right="0" w:firstLine="900"/>
        <w:jc w:val="left"/>
        <w:rPr/>
      </w:pPr>
      <w:r>
        <w:rPr/>
        <w:t> </w:t>
      </w:r>
    </w:p>
    <w:tbl>
      <w:tblPr>
        <w:tblW w:w="10205" w:type="dxa"/>
        <w:jc w:val="left"/>
        <w:tblInd w:w="0" w:type="dxa"/>
        <w:tblLayout w:type="fixed"/>
        <w:tblCellMar>
          <w:top w:w="0" w:type="dxa"/>
          <w:left w:w="0" w:type="dxa"/>
          <w:bottom w:w="28" w:type="dxa"/>
          <w:right w:w="0" w:type="dxa"/>
        </w:tblCellMar>
      </w:tblPr>
      <w:tblGrid>
        <w:gridCol w:w="4051"/>
        <w:gridCol w:w="60"/>
        <w:gridCol w:w="1682"/>
        <w:gridCol w:w="60"/>
        <w:gridCol w:w="125"/>
        <w:gridCol w:w="1983"/>
        <w:gridCol w:w="60"/>
        <w:gridCol w:w="125"/>
        <w:gridCol w:w="988"/>
        <w:gridCol w:w="60"/>
        <w:gridCol w:w="125"/>
        <w:gridCol w:w="886"/>
      </w:tblGrid>
      <w:tr>
        <w:trPr/>
        <w:tc>
          <w:tcPr>
            <w:tcW w:w="4051" w:type="dxa"/>
            <w:tcBorders>
              <w:bottom w:val="single" w:sz="8" w:space="0" w:color="000000"/>
            </w:tcBorders>
            <w:vAlign w:val="center"/>
          </w:tcPr>
          <w:p>
            <w:pPr>
              <w:pStyle w:val="TableContents"/>
              <w:bidi w:val="0"/>
              <w:spacing w:before="0" w:after="0"/>
              <w:jc w:val="left"/>
              <w:rPr/>
            </w:pPr>
            <w:r>
              <w:rPr/>
              <w:t> </w:t>
            </w:r>
          </w:p>
        </w:tc>
        <w:tc>
          <w:tcPr>
            <w:tcW w:w="60" w:type="dxa"/>
            <w:tcBorders>
              <w:bottom w:val="single" w:sz="8" w:space="0" w:color="000000"/>
            </w:tcBorders>
            <w:vAlign w:val="center"/>
          </w:tcPr>
          <w:p>
            <w:pPr>
              <w:pStyle w:val="TableContents"/>
              <w:bidi w:val="0"/>
              <w:spacing w:before="0" w:after="0"/>
              <w:jc w:val="left"/>
              <w:rPr/>
            </w:pPr>
            <w:r>
              <w:rPr/>
              <w:t> </w:t>
            </w:r>
          </w:p>
        </w:tc>
        <w:tc>
          <w:tcPr>
            <w:tcW w:w="6094" w:type="dxa"/>
            <w:gridSpan w:val="10"/>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Three Months Ended July 31, 2025</w:t>
            </w:r>
          </w:p>
        </w:tc>
      </w:tr>
      <w:tr>
        <w:trPr/>
        <w:tc>
          <w:tcPr>
            <w:tcW w:w="4051" w:type="dxa"/>
            <w:tcBorders>
              <w:top w:val="single" w:sz="8" w:space="0" w:color="000000"/>
              <w:bottom w:val="single" w:sz="8" w:space="0" w:color="000000"/>
            </w:tcBorders>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 thousands)</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682" w:type="dxa"/>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Fair Value Hierarchy</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983" w:type="dxa"/>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Pre-Impairment Amount</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988" w:type="dxa"/>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Total Losses</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886" w:type="dxa"/>
            <w:tcBorders>
              <w:top w:val="single" w:sz="8" w:space="0" w:color="000000"/>
              <w:bottom w:val="single" w:sz="8" w:space="0" w:color="000000"/>
            </w:tcBorders>
            <w:tcMar>
              <w:top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Fair Value</w:t>
            </w:r>
          </w:p>
        </w:tc>
      </w:tr>
      <w:tr>
        <w:trPr/>
        <w:tc>
          <w:tcPr>
            <w:tcW w:w="4051"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682"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983"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988"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886" w:type="dxa"/>
            <w:tcBorders>
              <w:top w:val="single" w:sz="8" w:space="0" w:color="000000"/>
            </w:tcBorders>
            <w:tcMar>
              <w:top w:w="28" w:type="dxa"/>
              <w:bottom w:w="0" w:type="dxa"/>
            </w:tcMar>
            <w:vAlign w:val="center"/>
          </w:tcPr>
          <w:p>
            <w:pPr>
              <w:pStyle w:val="TableContents"/>
              <w:bidi w:val="0"/>
              <w:spacing w:before="0" w:after="0"/>
              <w:jc w:val="left"/>
              <w:rPr/>
            </w:pPr>
            <w:r>
              <w:rPr/>
              <w:t> </w:t>
            </w:r>
          </w:p>
        </w:tc>
      </w:tr>
      <w:tr>
        <w:trPr/>
        <w:tc>
          <w:tcPr>
            <w:tcW w:w="4051"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Land and land options held for future development or sale</w:t>
            </w:r>
          </w:p>
        </w:tc>
        <w:tc>
          <w:tcPr>
            <w:tcW w:w="60" w:type="dxa"/>
            <w:tcBorders/>
            <w:shd w:fill="CCEEFF" w:val="clear"/>
            <w:tcMar>
              <w:bottom w:w="0" w:type="dxa"/>
            </w:tcMar>
            <w:vAlign w:val="center"/>
          </w:tcPr>
          <w:p>
            <w:pPr>
              <w:pStyle w:val="TableContents"/>
              <w:bidi w:val="0"/>
              <w:spacing w:before="0" w:after="0"/>
              <w:jc w:val="right"/>
              <w:rPr/>
            </w:pPr>
            <w:r>
              <w:rPr/>
              <w:t> </w:t>
            </w:r>
          </w:p>
        </w:tc>
        <w:tc>
          <w:tcPr>
            <w:tcW w:w="1682" w:type="dxa"/>
            <w:tcBorders/>
            <w:shd w:fill="CCEE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Level 3</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983"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35,879</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8"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(7,630)</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6"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28,249</w:t>
            </w:r>
          </w:p>
        </w:tc>
      </w:tr>
    </w:tbl>
    <w:p>
      <w:pPr>
        <w:pStyle w:val="TextBody"/>
        <w:bidi w:val="0"/>
        <w:spacing w:lineRule="atLeast" w:line="240" w:before="0" w:after="0"/>
        <w:jc w:val="left"/>
        <w:rPr/>
      </w:pPr>
      <w:r>
        <w:rPr/>
        <w:t> </w:t>
      </w:r>
    </w:p>
    <w:tbl>
      <w:tblPr>
        <w:tblW w:w="10205" w:type="dxa"/>
        <w:jc w:val="left"/>
        <w:tblInd w:w="0" w:type="dxa"/>
        <w:tblLayout w:type="fixed"/>
        <w:tblCellMar>
          <w:top w:w="0" w:type="dxa"/>
          <w:left w:w="0" w:type="dxa"/>
          <w:bottom w:w="28" w:type="dxa"/>
          <w:right w:w="0" w:type="dxa"/>
        </w:tblCellMar>
      </w:tblPr>
      <w:tblGrid>
        <w:gridCol w:w="4051"/>
        <w:gridCol w:w="60"/>
        <w:gridCol w:w="1682"/>
        <w:gridCol w:w="60"/>
        <w:gridCol w:w="125"/>
        <w:gridCol w:w="1983"/>
        <w:gridCol w:w="60"/>
        <w:gridCol w:w="125"/>
        <w:gridCol w:w="988"/>
        <w:gridCol w:w="60"/>
        <w:gridCol w:w="125"/>
        <w:gridCol w:w="886"/>
      </w:tblGrid>
      <w:tr>
        <w:trPr/>
        <w:tc>
          <w:tcPr>
            <w:tcW w:w="4051" w:type="dxa"/>
            <w:tcBorders>
              <w:bottom w:val="single" w:sz="8" w:space="0" w:color="000000"/>
            </w:tcBorders>
            <w:vAlign w:val="center"/>
          </w:tcPr>
          <w:p>
            <w:pPr>
              <w:pStyle w:val="TableContents"/>
              <w:bidi w:val="0"/>
              <w:spacing w:before="0" w:after="0"/>
              <w:jc w:val="left"/>
              <w:rPr/>
            </w:pPr>
            <w:r>
              <w:rPr/>
              <w:t> </w:t>
            </w:r>
          </w:p>
        </w:tc>
        <w:tc>
          <w:tcPr>
            <w:tcW w:w="60" w:type="dxa"/>
            <w:tcBorders>
              <w:bottom w:val="single" w:sz="8" w:space="0" w:color="000000"/>
            </w:tcBorders>
            <w:vAlign w:val="center"/>
          </w:tcPr>
          <w:p>
            <w:pPr>
              <w:pStyle w:val="TableContents"/>
              <w:bidi w:val="0"/>
              <w:spacing w:before="0" w:after="0"/>
              <w:jc w:val="left"/>
              <w:rPr/>
            </w:pPr>
            <w:r>
              <w:rPr/>
              <w:t> </w:t>
            </w:r>
          </w:p>
        </w:tc>
        <w:tc>
          <w:tcPr>
            <w:tcW w:w="6094" w:type="dxa"/>
            <w:gridSpan w:val="10"/>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Nine Months Ended July 31, 2026</w:t>
            </w:r>
          </w:p>
        </w:tc>
      </w:tr>
      <w:tr>
        <w:trPr/>
        <w:tc>
          <w:tcPr>
            <w:tcW w:w="4051" w:type="dxa"/>
            <w:tcBorders>
              <w:top w:val="single" w:sz="8" w:space="0" w:color="000000"/>
              <w:bottom w:val="single" w:sz="8" w:space="0" w:color="000000"/>
            </w:tcBorders>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 thousands)</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682" w:type="dxa"/>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Fair Value Hierarchy</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983" w:type="dxa"/>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Pre-Impairment Amount</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988" w:type="dxa"/>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Total Losses</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886" w:type="dxa"/>
            <w:tcBorders>
              <w:top w:val="single" w:sz="8" w:space="0" w:color="000000"/>
              <w:bottom w:val="single" w:sz="8" w:space="0" w:color="000000"/>
            </w:tcBorders>
            <w:tcMar>
              <w:top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Fair Value</w:t>
            </w:r>
          </w:p>
        </w:tc>
      </w:tr>
      <w:tr>
        <w:trPr/>
        <w:tc>
          <w:tcPr>
            <w:tcW w:w="4051"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682"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983"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988"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886" w:type="dxa"/>
            <w:tcBorders>
              <w:top w:val="single" w:sz="8" w:space="0" w:color="000000"/>
            </w:tcBorders>
            <w:tcMar>
              <w:top w:w="28" w:type="dxa"/>
              <w:bottom w:w="0" w:type="dxa"/>
            </w:tcMar>
            <w:vAlign w:val="center"/>
          </w:tcPr>
          <w:p>
            <w:pPr>
              <w:pStyle w:val="TableContents"/>
              <w:bidi w:val="0"/>
              <w:spacing w:before="0" w:after="0"/>
              <w:jc w:val="left"/>
              <w:rPr/>
            </w:pPr>
            <w:r>
              <w:rPr/>
              <w:t> </w:t>
            </w:r>
          </w:p>
        </w:tc>
      </w:tr>
      <w:tr>
        <w:trPr/>
        <w:tc>
          <w:tcPr>
            <w:tcW w:w="4051"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Land and land options held for future development or sale</w:t>
            </w:r>
          </w:p>
        </w:tc>
        <w:tc>
          <w:tcPr>
            <w:tcW w:w="60" w:type="dxa"/>
            <w:tcBorders/>
            <w:shd w:fill="CCEEFF" w:val="clear"/>
            <w:tcMar>
              <w:bottom w:w="0" w:type="dxa"/>
            </w:tcMar>
            <w:vAlign w:val="center"/>
          </w:tcPr>
          <w:p>
            <w:pPr>
              <w:pStyle w:val="TableContents"/>
              <w:bidi w:val="0"/>
              <w:spacing w:before="0" w:after="0"/>
              <w:jc w:val="left"/>
              <w:rPr/>
            </w:pPr>
            <w:r>
              <w:rPr/>
              <w:t> </w:t>
            </w:r>
          </w:p>
        </w:tc>
        <w:tc>
          <w:tcPr>
            <w:tcW w:w="1682" w:type="dxa"/>
            <w:tcBorders/>
            <w:shd w:fill="CCEE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Level 3</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983"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21,736</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8"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(5,334)</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6"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16,402</w:t>
            </w:r>
          </w:p>
        </w:tc>
      </w:tr>
    </w:tbl>
    <w:p>
      <w:pPr>
        <w:pStyle w:val="TextBody"/>
        <w:bidi w:val="0"/>
        <w:spacing w:lineRule="atLeast" w:line="240" w:before="0" w:after="0"/>
        <w:jc w:val="left"/>
        <w:rPr/>
      </w:pPr>
      <w:r>
        <w:rPr/>
        <w:t> </w:t>
      </w:r>
    </w:p>
    <w:tbl>
      <w:tblPr>
        <w:tblW w:w="10205" w:type="dxa"/>
        <w:jc w:val="left"/>
        <w:tblInd w:w="0" w:type="dxa"/>
        <w:tblLayout w:type="fixed"/>
        <w:tblCellMar>
          <w:top w:w="0" w:type="dxa"/>
          <w:left w:w="0" w:type="dxa"/>
          <w:bottom w:w="28" w:type="dxa"/>
          <w:right w:w="0" w:type="dxa"/>
        </w:tblCellMar>
      </w:tblPr>
      <w:tblGrid>
        <w:gridCol w:w="4051"/>
        <w:gridCol w:w="60"/>
        <w:gridCol w:w="1682"/>
        <w:gridCol w:w="60"/>
        <w:gridCol w:w="125"/>
        <w:gridCol w:w="1983"/>
        <w:gridCol w:w="60"/>
        <w:gridCol w:w="125"/>
        <w:gridCol w:w="988"/>
        <w:gridCol w:w="60"/>
        <w:gridCol w:w="125"/>
        <w:gridCol w:w="886"/>
      </w:tblGrid>
      <w:tr>
        <w:trPr/>
        <w:tc>
          <w:tcPr>
            <w:tcW w:w="4051" w:type="dxa"/>
            <w:tcBorders>
              <w:bottom w:val="single" w:sz="8" w:space="0" w:color="000000"/>
            </w:tcBorders>
            <w:vAlign w:val="center"/>
          </w:tcPr>
          <w:p>
            <w:pPr>
              <w:pStyle w:val="TableContents"/>
              <w:bidi w:val="0"/>
              <w:spacing w:before="0" w:after="0"/>
              <w:jc w:val="left"/>
              <w:rPr/>
            </w:pPr>
            <w:r>
              <w:rPr/>
              <w:t> </w:t>
            </w:r>
          </w:p>
        </w:tc>
        <w:tc>
          <w:tcPr>
            <w:tcW w:w="60" w:type="dxa"/>
            <w:tcBorders>
              <w:bottom w:val="single" w:sz="8" w:space="0" w:color="000000"/>
            </w:tcBorders>
            <w:vAlign w:val="center"/>
          </w:tcPr>
          <w:p>
            <w:pPr>
              <w:pStyle w:val="TableContents"/>
              <w:bidi w:val="0"/>
              <w:spacing w:before="0" w:after="0"/>
              <w:jc w:val="left"/>
              <w:rPr/>
            </w:pPr>
            <w:r>
              <w:rPr/>
              <w:t> </w:t>
            </w:r>
          </w:p>
        </w:tc>
        <w:tc>
          <w:tcPr>
            <w:tcW w:w="6094" w:type="dxa"/>
            <w:gridSpan w:val="10"/>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Nine Months Ended July 31, 2025</w:t>
            </w:r>
          </w:p>
        </w:tc>
      </w:tr>
      <w:tr>
        <w:trPr/>
        <w:tc>
          <w:tcPr>
            <w:tcW w:w="4051" w:type="dxa"/>
            <w:tcBorders>
              <w:top w:val="single" w:sz="8" w:space="0" w:color="000000"/>
              <w:bottom w:val="single" w:sz="8" w:space="0" w:color="000000"/>
            </w:tcBorders>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 thousands)</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682" w:type="dxa"/>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Fair Value Hierarchy</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983" w:type="dxa"/>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Pre-Impairment Amount</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988" w:type="dxa"/>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Total Losses</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886" w:type="dxa"/>
            <w:tcBorders>
              <w:top w:val="single" w:sz="8" w:space="0" w:color="000000"/>
              <w:bottom w:val="single" w:sz="8" w:space="0" w:color="000000"/>
            </w:tcBorders>
            <w:tcMar>
              <w:top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Fair Value</w:t>
            </w:r>
          </w:p>
        </w:tc>
      </w:tr>
      <w:tr>
        <w:trPr/>
        <w:tc>
          <w:tcPr>
            <w:tcW w:w="4051"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682"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983"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988"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886" w:type="dxa"/>
            <w:tcBorders>
              <w:top w:val="single" w:sz="8" w:space="0" w:color="000000"/>
            </w:tcBorders>
            <w:tcMar>
              <w:top w:w="28" w:type="dxa"/>
              <w:bottom w:w="0" w:type="dxa"/>
            </w:tcMar>
            <w:vAlign w:val="center"/>
          </w:tcPr>
          <w:p>
            <w:pPr>
              <w:pStyle w:val="TableContents"/>
              <w:bidi w:val="0"/>
              <w:spacing w:before="0" w:after="0"/>
              <w:jc w:val="left"/>
              <w:rPr/>
            </w:pPr>
            <w:r>
              <w:rPr/>
              <w:t> </w:t>
            </w:r>
          </w:p>
        </w:tc>
      </w:tr>
      <w:tr>
        <w:trPr/>
        <w:tc>
          <w:tcPr>
            <w:tcW w:w="4051"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Land and land options held for future development or sale</w:t>
            </w:r>
          </w:p>
        </w:tc>
        <w:tc>
          <w:tcPr>
            <w:tcW w:w="60" w:type="dxa"/>
            <w:tcBorders/>
            <w:shd w:fill="CCEEFF" w:val="clear"/>
            <w:tcMar>
              <w:bottom w:w="0" w:type="dxa"/>
            </w:tcMar>
            <w:vAlign w:val="center"/>
          </w:tcPr>
          <w:p>
            <w:pPr>
              <w:pStyle w:val="TableContents"/>
              <w:bidi w:val="0"/>
              <w:spacing w:before="0" w:after="0"/>
              <w:jc w:val="left"/>
              <w:rPr/>
            </w:pPr>
            <w:r>
              <w:rPr/>
              <w:t> </w:t>
            </w:r>
          </w:p>
        </w:tc>
        <w:tc>
          <w:tcPr>
            <w:tcW w:w="1682" w:type="dxa"/>
            <w:tcBorders/>
            <w:shd w:fill="CCEE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Level 3</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983"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41,276</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8"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(8,846)</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6"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32,430</w:t>
            </w:r>
          </w:p>
        </w:tc>
      </w:tr>
    </w:tbl>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TableofContent">
        <w:r>
          <w:rPr>
            <w:rStyle w:val="InternetLink"/>
            <w:rFonts w:ascii="Times New Roman" w:hAnsi="Times New Roman"/>
            <w:strike w:val="false"/>
            <w:dstrike w:val="false"/>
            <w:color w:val="0000FF"/>
            <w:sz w:val="20"/>
            <w:u w:val="single"/>
            <w:effect w:val="none"/>
          </w:rPr>
          <w:t>Table of Contents</w:t>
        </w:r>
      </w:hyperlink>
    </w:p>
    <w:p>
      <w:pPr>
        <w:pStyle w:val="TextBody"/>
        <w:bidi w:val="0"/>
        <w:spacing w:lineRule="atLeast" w:line="240" w:before="0" w:after="0"/>
        <w:jc w:val="left"/>
        <w:rPr/>
      </w:pPr>
      <w:r>
        <w:rPr/>
        <w:t> </w:t>
      </w:r>
    </w:p>
    <w:p>
      <w:pPr>
        <w:pStyle w:val="TextBody"/>
        <w:bidi w:val="0"/>
        <w:spacing w:lineRule="atLeast" w:line="240" w:before="0" w:after="0"/>
        <w:ind w:left="0" w:right="0" w:firstLine="720"/>
        <w:jc w:val="left"/>
        <w:rPr/>
      </w:pPr>
      <w:r>
        <w:rPr/>
        <w:t xml:space="preserve">   </w:t>
      </w:r>
      <w:r>
        <w:rPr>
          <w:rFonts w:ascii="Times New Roman" w:hAnsi="Times New Roman"/>
          <w:sz w:val="20"/>
        </w:rPr>
        <w:t>We estimate the fair value of each impaired community by determining the present value of the estimated future cash flows at a discount rate commensurate with the risk of the respective community. For the nine</w:t>
      </w:r>
      <w:r>
        <w:rPr/>
        <w:t xml:space="preserve"> </w:t>
      </w:r>
      <w:r>
        <w:rPr>
          <w:rFonts w:ascii="Times New Roman" w:hAnsi="Times New Roman"/>
          <w:sz w:val="20"/>
        </w:rPr>
        <w:t>months ended July 31, 2026, our discount rates used to determine the fair value ranged from 16.0% to 19.8%, respectively. We recorded inventory impairments of $5.3</w:t>
      </w:r>
      <w:r>
        <w:rPr/>
        <w:t xml:space="preserve"> </w:t>
      </w:r>
      <w:r>
        <w:rPr>
          <w:rFonts w:ascii="Times New Roman" w:hAnsi="Times New Roman"/>
          <w:sz w:val="20"/>
        </w:rPr>
        <w:t>million for the nine months ended July 31, 2026</w:t>
      </w:r>
      <w:r>
        <w:rPr/>
        <w:t xml:space="preserve"> </w:t>
      </w:r>
      <w:r>
        <w:rPr>
          <w:rFonts w:ascii="Times New Roman" w:hAnsi="Times New Roman"/>
          <w:sz w:val="20"/>
        </w:rPr>
        <w:t>and $7.6</w:t>
      </w:r>
      <w:r>
        <w:rPr/>
        <w:t xml:space="preserve"> </w:t>
      </w:r>
      <w:r>
        <w:rPr>
          <w:rFonts w:ascii="Times New Roman" w:hAnsi="Times New Roman"/>
          <w:sz w:val="20"/>
        </w:rPr>
        <w:t>million and $8.8</w:t>
      </w:r>
      <w:r>
        <w:rPr/>
        <w:t xml:space="preserve"> </w:t>
      </w:r>
      <w:r>
        <w:rPr>
          <w:rFonts w:ascii="Times New Roman" w:hAnsi="Times New Roman"/>
          <w:sz w:val="20"/>
        </w:rPr>
        <w:t>million for the three and nine</w:t>
      </w:r>
      <w:r>
        <w:rPr/>
        <w:t xml:space="preserve"> </w:t>
      </w:r>
      <w:r>
        <w:rPr>
          <w:rFonts w:ascii="Times New Roman" w:hAnsi="Times New Roman"/>
          <w:sz w:val="20"/>
        </w:rPr>
        <w:t>months ended July 31, 2025, respectively, which are included in the Condensed Consolidated Statements of Operations as "Inventory impairments and land option write-offs" and deducted from inventory. We did not have any assets measured at fair value on a nonrecurring basis during the three months ended July 31, 2026.</w:t>
      </w:r>
    </w:p>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rFonts w:ascii="Times New Roman" w:hAnsi="Times New Roman"/>
          <w:sz w:val="20"/>
        </w:rPr>
      </w:pPr>
      <w:r>
        <w:rPr>
          <w:rFonts w:ascii="Times New Roman" w:hAnsi="Times New Roman"/>
          <w:sz w:val="20"/>
        </w:rPr>
        <w:t>The fair value of our cash equivalents, restricted cash and cash equivalents and customers' deposits approximates their carrying amount, based on Level 1 inputs.</w:t>
      </w:r>
    </w:p>
    <w:p>
      <w:pPr>
        <w:pStyle w:val="TextBody"/>
        <w:bidi w:val="0"/>
        <w:spacing w:lineRule="atLeast" w:line="240" w:before="200" w:after="0"/>
        <w:ind w:left="0" w:right="0" w:firstLine="900"/>
        <w:jc w:val="left"/>
        <w:rPr/>
      </w:pPr>
      <w:r>
        <w:rPr>
          <w:rFonts w:ascii="Times New Roman" w:hAnsi="Times New Roman"/>
          <w:sz w:val="20"/>
        </w:rPr>
        <w:t>The fair value of each series of our notes are listed below. Level 2 measurements are estimated based on recent trades or quoted market prices for the same issues or based on recent trades or quoted market prices for our debt of similar security and maturity to achieve comparable yields. As shown in the table below, our 8.0% Senior Notes due 2031,</w:t>
      </w:r>
      <w:r>
        <w:rPr/>
        <w:t> </w:t>
      </w:r>
      <w:r>
        <w:rPr>
          <w:rFonts w:ascii="Times New Roman" w:hAnsi="Times New Roman"/>
          <w:sz w:val="20"/>
        </w:rPr>
        <w:t>8.375% Senior Notes due 2033 and 5.0% Senior Notes due 2040 were a Level 2 measurement at</w:t>
      </w:r>
      <w:r>
        <w:rPr/>
        <w:t> </w:t>
      </w:r>
      <w:r>
        <w:rPr>
          <w:rFonts w:ascii="Times New Roman" w:hAnsi="Times New Roman"/>
          <w:sz w:val="20"/>
        </w:rPr>
        <w:t>July 31, 2026</w:t>
      </w:r>
      <w:r>
        <w:rPr/>
        <w:t xml:space="preserve"> </w:t>
      </w:r>
      <w:r>
        <w:rPr>
          <w:rFonts w:ascii="Times New Roman" w:hAnsi="Times New Roman"/>
          <w:sz w:val="20"/>
        </w:rPr>
        <w:t>and October 31, 2025</w:t>
      </w:r>
      <w:r>
        <w:rPr/>
        <w:t xml:space="preserve"> </w:t>
      </w:r>
      <w:r>
        <w:rPr>
          <w:rFonts w:ascii="Times New Roman" w:hAnsi="Times New Roman"/>
          <w:sz w:val="20"/>
        </w:rPr>
        <w:t>due to recent trades for the same notes.</w:t>
      </w:r>
    </w:p>
    <w:p>
      <w:pPr>
        <w:pStyle w:val="TextBody"/>
        <w:bidi w:val="0"/>
        <w:spacing w:lineRule="atLeast" w:line="240" w:before="0" w:after="0"/>
        <w:ind w:left="0" w:right="0" w:firstLine="900"/>
        <w:jc w:val="left"/>
        <w:rPr/>
      </w:pPr>
      <w:r>
        <w:rPr/>
        <w:t> </w:t>
      </w:r>
    </w:p>
    <w:tbl>
      <w:tblPr>
        <w:tblW w:w="6825" w:type="dxa"/>
        <w:jc w:val="left"/>
        <w:tblInd w:w="0" w:type="dxa"/>
        <w:tblLayout w:type="fixed"/>
        <w:tblCellMar>
          <w:top w:w="0" w:type="dxa"/>
          <w:left w:w="0" w:type="dxa"/>
          <w:bottom w:w="28" w:type="dxa"/>
          <w:right w:w="0" w:type="dxa"/>
        </w:tblCellMar>
      </w:tblPr>
      <w:tblGrid>
        <w:gridCol w:w="3440"/>
        <w:gridCol w:w="125"/>
        <w:gridCol w:w="650"/>
        <w:gridCol w:w="60"/>
        <w:gridCol w:w="125"/>
        <w:gridCol w:w="695"/>
        <w:gridCol w:w="60"/>
        <w:gridCol w:w="125"/>
        <w:gridCol w:w="650"/>
        <w:gridCol w:w="60"/>
        <w:gridCol w:w="125"/>
        <w:gridCol w:w="710"/>
      </w:tblGrid>
      <w:tr>
        <w:trPr/>
        <w:tc>
          <w:tcPr>
            <w:tcW w:w="6825" w:type="dxa"/>
            <w:gridSpan w:val="1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Fair Value as of July 31, 2026</w:t>
            </w:r>
          </w:p>
        </w:tc>
      </w:tr>
      <w:tr>
        <w:trPr/>
        <w:tc>
          <w:tcPr>
            <w:tcW w:w="3440" w:type="dxa"/>
            <w:tcBorders>
              <w:top w:val="single" w:sz="8" w:space="0" w:color="000000"/>
              <w:bottom w:val="single" w:sz="8" w:space="0" w:color="000000"/>
            </w:tcBorders>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 thousands)</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650" w:type="dxa"/>
            <w:tcBorders>
              <w:top w:val="single" w:sz="8" w:space="0" w:color="000000"/>
              <w:bottom w:val="single" w:sz="8" w:space="0" w:color="000000"/>
            </w:tcBorders>
            <w:tcMar>
              <w:top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Level 1</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695" w:type="dxa"/>
            <w:tcBorders>
              <w:top w:val="single" w:sz="8" w:space="0" w:color="000000"/>
              <w:bottom w:val="single" w:sz="8" w:space="0" w:color="000000"/>
            </w:tcBorders>
            <w:tcMar>
              <w:top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Level 2</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650" w:type="dxa"/>
            <w:tcBorders>
              <w:top w:val="single" w:sz="8" w:space="0" w:color="000000"/>
              <w:bottom w:val="single" w:sz="8" w:space="0" w:color="000000"/>
            </w:tcBorders>
            <w:tcMar>
              <w:top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Level 3</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710" w:type="dxa"/>
            <w:tcBorders>
              <w:top w:val="single" w:sz="8" w:space="0" w:color="000000"/>
              <w:bottom w:val="single" w:sz="8" w:space="0" w:color="000000"/>
            </w:tcBorders>
            <w:tcMar>
              <w:top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Total</w:t>
            </w:r>
          </w:p>
        </w:tc>
      </w:tr>
      <w:tr>
        <w:trPr/>
        <w:tc>
          <w:tcPr>
            <w:tcW w:w="3440" w:type="dxa"/>
            <w:tcBorders>
              <w:top w:val="single" w:sz="8" w:space="0" w:color="000000"/>
            </w:tcBorders>
            <w:shd w:fill="CCEEFF" w:val="clear"/>
            <w:tcMar>
              <w:top w:w="28" w:type="dxa"/>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Senior Notes:</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650" w:type="dxa"/>
            <w:tcBorders>
              <w:top w:val="single" w:sz="8" w:space="0" w:color="000000"/>
            </w:tcBorders>
            <w:shd w:fill="CCEEFF" w:val="clear"/>
            <w:tcMar>
              <w:top w:w="28" w:type="dxa"/>
              <w:bottom w:w="0" w:type="dxa"/>
            </w:tcMar>
            <w:vAlign w:val="center"/>
          </w:tcPr>
          <w:p>
            <w:pPr>
              <w:pStyle w:val="TableContents"/>
              <w:bidi w:val="0"/>
              <w:spacing w:before="0" w:after="0"/>
              <w:jc w:val="righ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695" w:type="dxa"/>
            <w:tcBorders>
              <w:top w:val="single" w:sz="8" w:space="0" w:color="000000"/>
            </w:tcBorders>
            <w:shd w:fill="CCEEFF" w:val="clear"/>
            <w:tcMar>
              <w:top w:w="28" w:type="dxa"/>
              <w:bottom w:w="0" w:type="dxa"/>
            </w:tcMar>
            <w:vAlign w:val="center"/>
          </w:tcPr>
          <w:p>
            <w:pPr>
              <w:pStyle w:val="TableContents"/>
              <w:bidi w:val="0"/>
              <w:spacing w:before="0" w:after="0"/>
              <w:jc w:val="righ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650" w:type="dxa"/>
            <w:tcBorders>
              <w:top w:val="single" w:sz="8" w:space="0" w:color="000000"/>
            </w:tcBorders>
            <w:shd w:fill="CCEEFF" w:val="clear"/>
            <w:tcMar>
              <w:top w:w="28" w:type="dxa"/>
              <w:bottom w:w="0" w:type="dxa"/>
            </w:tcMar>
            <w:vAlign w:val="center"/>
          </w:tcPr>
          <w:p>
            <w:pPr>
              <w:pStyle w:val="TableContents"/>
              <w:bidi w:val="0"/>
              <w:spacing w:before="0" w:after="0"/>
              <w:jc w:val="righ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710" w:type="dxa"/>
            <w:tcBorders>
              <w:top w:val="single" w:sz="8" w:space="0" w:color="000000"/>
            </w:tcBorders>
            <w:shd w:fill="CCEEFF" w:val="clear"/>
            <w:tcMar>
              <w:top w:w="28" w:type="dxa"/>
              <w:bottom w:w="0" w:type="dxa"/>
            </w:tcMar>
            <w:vAlign w:val="center"/>
          </w:tcPr>
          <w:p>
            <w:pPr>
              <w:pStyle w:val="TableContents"/>
              <w:bidi w:val="0"/>
              <w:spacing w:before="0" w:after="0"/>
              <w:jc w:val="right"/>
              <w:rPr/>
            </w:pPr>
            <w:r>
              <w:rPr/>
              <w:t> </w:t>
            </w:r>
          </w:p>
        </w:tc>
      </w:tr>
      <w:tr>
        <w:trPr/>
        <w:tc>
          <w:tcPr>
            <w:tcW w:w="3440" w:type="dxa"/>
            <w:tcBorders/>
            <w:shd w:fill="FFFF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8.0% Senior Notes due April 1, 2031</w:t>
            </w:r>
          </w:p>
        </w:tc>
        <w:tc>
          <w:tcPr>
            <w:tcW w:w="125" w:type="dxa"/>
            <w:tcBorders/>
            <w:shd w:fill="FFFFFF" w:val="clear"/>
            <w:tcMar>
              <w:bottom w:w="0" w:type="dxa"/>
            </w:tcMar>
            <w:vAlign w:val="center"/>
          </w:tcPr>
          <w:p>
            <w:pPr>
              <w:pStyle w:val="TableContents"/>
              <w:bidi w:val="0"/>
              <w:spacing w:before="0" w:after="0"/>
              <w:jc w:val="left"/>
              <w:rPr/>
            </w:pPr>
            <w:r>
              <w:rPr/>
              <w:t> </w:t>
            </w:r>
          </w:p>
        </w:tc>
        <w:tc>
          <w:tcPr>
            <w:tcW w:w="65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69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460,485</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65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71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460,485</w:t>
            </w:r>
          </w:p>
        </w:tc>
      </w:tr>
      <w:tr>
        <w:trPr/>
        <w:tc>
          <w:tcPr>
            <w:tcW w:w="3440" w:type="dxa"/>
            <w:tcBorders/>
            <w:shd w:fill="CCEEFF" w:val="clear"/>
            <w:tcMar>
              <w:bottom w:w="0" w:type="dxa"/>
            </w:tcMar>
            <w:vAlign w:val="center"/>
          </w:tcPr>
          <w:p>
            <w:pPr>
              <w:pStyle w:val="TableContents"/>
              <w:bidi w:val="0"/>
              <w:spacing w:before="0" w:after="0"/>
              <w:ind w:left="144" w:right="0" w:hanging="0"/>
              <w:jc w:val="left"/>
              <w:rPr>
                <w:sz w:val="20"/>
              </w:rPr>
            </w:pPr>
            <w:r>
              <w:rPr>
                <w:rFonts w:ascii="Times New Roman" w:hAnsi="Times New Roman"/>
                <w:sz w:val="20"/>
              </w:rPr>
              <w:t>8.375%</w:t>
            </w:r>
            <w:r>
              <w:rPr>
                <w:sz w:val="20"/>
              </w:rPr>
              <w:t> </w:t>
            </w:r>
            <w:r>
              <w:rPr>
                <w:rFonts w:ascii="Times New Roman" w:hAnsi="Times New Roman"/>
                <w:sz w:val="20"/>
              </w:rPr>
              <w:t>Senior Notes due</w:t>
            </w:r>
            <w:r>
              <w:rPr>
                <w:sz w:val="20"/>
              </w:rPr>
              <w:t> </w:t>
            </w:r>
            <w:r>
              <w:rPr>
                <w:rFonts w:ascii="Times New Roman" w:hAnsi="Times New Roman"/>
                <w:sz w:val="20"/>
              </w:rPr>
              <w:t>October 1, 2033</w:t>
            </w:r>
          </w:p>
        </w:tc>
        <w:tc>
          <w:tcPr>
            <w:tcW w:w="125" w:type="dxa"/>
            <w:tcBorders/>
            <w:shd w:fill="CCEEFF" w:val="clear"/>
            <w:tcMar>
              <w:bottom w:w="0" w:type="dxa"/>
            </w:tcMar>
            <w:vAlign w:val="center"/>
          </w:tcPr>
          <w:p>
            <w:pPr>
              <w:pStyle w:val="TableContents"/>
              <w:bidi w:val="0"/>
              <w:spacing w:before="0" w:after="0"/>
              <w:jc w:val="left"/>
              <w:rPr/>
            </w:pPr>
            <w:r>
              <w:rPr/>
              <w:t> </w:t>
            </w:r>
          </w:p>
        </w:tc>
        <w:tc>
          <w:tcPr>
            <w:tcW w:w="65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69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458,100</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65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71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458,100</w:t>
            </w:r>
          </w:p>
        </w:tc>
      </w:tr>
      <w:tr>
        <w:trPr/>
        <w:tc>
          <w:tcPr>
            <w:tcW w:w="3440" w:type="dxa"/>
            <w:tcBorders>
              <w:bottom w:val="single" w:sz="8" w:space="0" w:color="000000"/>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5.0% Senior Notes due February 1, 2040</w:t>
            </w:r>
          </w:p>
        </w:tc>
        <w:tc>
          <w:tcPr>
            <w:tcW w:w="125" w:type="dxa"/>
            <w:tcBorders>
              <w:bottom w:val="single" w:sz="8" w:space="0" w:color="000000"/>
            </w:tcBorders>
            <w:shd w:fill="FFFFFF" w:val="clear"/>
            <w:vAlign w:val="center"/>
          </w:tcPr>
          <w:p>
            <w:pPr>
              <w:pStyle w:val="TableContents"/>
              <w:bidi w:val="0"/>
              <w:spacing w:before="0" w:after="0"/>
              <w:jc w:val="left"/>
              <w:rPr/>
            </w:pPr>
            <w:r>
              <w:rPr/>
              <w:t> </w:t>
            </w:r>
          </w:p>
        </w:tc>
        <w:tc>
          <w:tcPr>
            <w:tcW w:w="650"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bottom w:val="single" w:sz="8" w:space="0" w:color="000000"/>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vAlign w:val="center"/>
          </w:tcPr>
          <w:p>
            <w:pPr>
              <w:pStyle w:val="TableContents"/>
              <w:bidi w:val="0"/>
              <w:spacing w:before="0" w:after="0"/>
              <w:jc w:val="left"/>
              <w:rPr/>
            </w:pPr>
            <w:r>
              <w:rPr/>
              <w:t> </w:t>
            </w:r>
          </w:p>
        </w:tc>
        <w:tc>
          <w:tcPr>
            <w:tcW w:w="695"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16,235</w:t>
            </w:r>
          </w:p>
        </w:tc>
        <w:tc>
          <w:tcPr>
            <w:tcW w:w="60" w:type="dxa"/>
            <w:tcBorders>
              <w:bottom w:val="single" w:sz="8" w:space="0" w:color="000000"/>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vAlign w:val="center"/>
          </w:tcPr>
          <w:p>
            <w:pPr>
              <w:pStyle w:val="TableContents"/>
              <w:bidi w:val="0"/>
              <w:spacing w:before="0" w:after="0"/>
              <w:jc w:val="left"/>
              <w:rPr/>
            </w:pPr>
            <w:r>
              <w:rPr/>
              <w:t> </w:t>
            </w:r>
          </w:p>
        </w:tc>
        <w:tc>
          <w:tcPr>
            <w:tcW w:w="650"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bottom w:val="single" w:sz="8" w:space="0" w:color="000000"/>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vAlign w:val="center"/>
          </w:tcPr>
          <w:p>
            <w:pPr>
              <w:pStyle w:val="TableContents"/>
              <w:bidi w:val="0"/>
              <w:spacing w:before="0" w:after="0"/>
              <w:jc w:val="left"/>
              <w:rPr/>
            </w:pPr>
            <w:r>
              <w:rPr/>
              <w:t> </w:t>
            </w:r>
          </w:p>
        </w:tc>
        <w:tc>
          <w:tcPr>
            <w:tcW w:w="710"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16,235</w:t>
            </w:r>
          </w:p>
        </w:tc>
      </w:tr>
      <w:tr>
        <w:trPr/>
        <w:tc>
          <w:tcPr>
            <w:tcW w:w="3440" w:type="dxa"/>
            <w:tcBorders>
              <w:top w:val="single" w:sz="8" w:space="0" w:color="000000"/>
              <w:bottom w:val="double" w:sz="6" w:space="0" w:color="000000"/>
            </w:tcBorders>
            <w:shd w:fill="CCEEFF" w:val="clear"/>
            <w:tcMar>
              <w:top w:w="28"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Total fair value</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934,820</w:t>
            </w:r>
          </w:p>
        </w:tc>
        <w:tc>
          <w:tcPr>
            <w:tcW w:w="6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934,820</w:t>
            </w:r>
          </w:p>
        </w:tc>
      </w:tr>
    </w:tbl>
    <w:p>
      <w:pPr>
        <w:pStyle w:val="TextBody"/>
        <w:bidi w:val="0"/>
        <w:spacing w:lineRule="atLeast" w:line="240" w:before="0" w:after="0"/>
        <w:ind w:left="0" w:right="0" w:firstLine="900"/>
        <w:jc w:val="left"/>
        <w:rPr/>
      </w:pPr>
      <w:r>
        <w:rPr/>
        <w:t> </w:t>
      </w:r>
    </w:p>
    <w:p>
      <w:pPr>
        <w:pStyle w:val="TextBody"/>
        <w:bidi w:val="0"/>
        <w:spacing w:before="0" w:after="0"/>
        <w:jc w:val="left"/>
        <w:rPr/>
      </w:pPr>
      <w:r>
        <w:rPr/>
        <w:t> </w:t>
      </w:r>
    </w:p>
    <w:p>
      <w:pPr>
        <w:pStyle w:val="TextBody"/>
        <w:bidi w:val="0"/>
        <w:spacing w:lineRule="atLeast" w:line="240" w:before="0" w:after="0"/>
        <w:jc w:val="left"/>
        <w:rPr/>
      </w:pPr>
      <w:r>
        <w:rPr/>
        <w:t> </w:t>
      </w:r>
    </w:p>
    <w:tbl>
      <w:tblPr>
        <w:tblW w:w="6825" w:type="dxa"/>
        <w:jc w:val="left"/>
        <w:tblInd w:w="0" w:type="dxa"/>
        <w:tblLayout w:type="fixed"/>
        <w:tblCellMar>
          <w:top w:w="0" w:type="dxa"/>
          <w:left w:w="0" w:type="dxa"/>
          <w:bottom w:w="28" w:type="dxa"/>
          <w:right w:w="0" w:type="dxa"/>
        </w:tblCellMar>
      </w:tblPr>
      <w:tblGrid>
        <w:gridCol w:w="3440"/>
        <w:gridCol w:w="125"/>
        <w:gridCol w:w="650"/>
        <w:gridCol w:w="60"/>
        <w:gridCol w:w="125"/>
        <w:gridCol w:w="695"/>
        <w:gridCol w:w="60"/>
        <w:gridCol w:w="125"/>
        <w:gridCol w:w="650"/>
        <w:gridCol w:w="60"/>
        <w:gridCol w:w="125"/>
        <w:gridCol w:w="710"/>
      </w:tblGrid>
      <w:tr>
        <w:trPr/>
        <w:tc>
          <w:tcPr>
            <w:tcW w:w="6825" w:type="dxa"/>
            <w:gridSpan w:val="1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Fair Value as of October 31, 2025</w:t>
            </w:r>
          </w:p>
        </w:tc>
      </w:tr>
      <w:tr>
        <w:trPr/>
        <w:tc>
          <w:tcPr>
            <w:tcW w:w="3440" w:type="dxa"/>
            <w:tcBorders>
              <w:top w:val="single" w:sz="8" w:space="0" w:color="000000"/>
              <w:bottom w:val="single" w:sz="8" w:space="0" w:color="000000"/>
            </w:tcBorders>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 thousands)</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650" w:type="dxa"/>
            <w:tcBorders>
              <w:top w:val="single" w:sz="8" w:space="0" w:color="000000"/>
              <w:bottom w:val="single" w:sz="8" w:space="0" w:color="000000"/>
            </w:tcBorders>
            <w:tcMar>
              <w:top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Level 1</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695" w:type="dxa"/>
            <w:tcBorders>
              <w:top w:val="single" w:sz="8" w:space="0" w:color="000000"/>
              <w:bottom w:val="single" w:sz="8" w:space="0" w:color="000000"/>
            </w:tcBorders>
            <w:tcMar>
              <w:top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Level 2</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650" w:type="dxa"/>
            <w:tcBorders>
              <w:top w:val="single" w:sz="8" w:space="0" w:color="000000"/>
              <w:bottom w:val="single" w:sz="8" w:space="0" w:color="000000"/>
            </w:tcBorders>
            <w:tcMar>
              <w:top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Level 3</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710" w:type="dxa"/>
            <w:tcBorders>
              <w:top w:val="single" w:sz="8" w:space="0" w:color="000000"/>
              <w:bottom w:val="single" w:sz="8" w:space="0" w:color="000000"/>
            </w:tcBorders>
            <w:tcMar>
              <w:top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Total</w:t>
            </w:r>
          </w:p>
        </w:tc>
      </w:tr>
      <w:tr>
        <w:trPr/>
        <w:tc>
          <w:tcPr>
            <w:tcW w:w="3440" w:type="dxa"/>
            <w:tcBorders>
              <w:top w:val="single" w:sz="8" w:space="0" w:color="000000"/>
            </w:tcBorders>
            <w:shd w:fill="CCEEFF" w:val="clear"/>
            <w:tcMar>
              <w:top w:w="28" w:type="dxa"/>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Senior Notes:</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650" w:type="dxa"/>
            <w:tcBorders>
              <w:top w:val="single" w:sz="8" w:space="0" w:color="000000"/>
            </w:tcBorders>
            <w:shd w:fill="CCEEFF" w:val="clear"/>
            <w:tcMar>
              <w:top w:w="28" w:type="dxa"/>
              <w:bottom w:w="0" w:type="dxa"/>
            </w:tcMar>
            <w:vAlign w:val="center"/>
          </w:tcPr>
          <w:p>
            <w:pPr>
              <w:pStyle w:val="TableContents"/>
              <w:bidi w:val="0"/>
              <w:spacing w:before="0" w:after="0"/>
              <w:jc w:val="righ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695" w:type="dxa"/>
            <w:tcBorders>
              <w:top w:val="single" w:sz="8" w:space="0" w:color="000000"/>
            </w:tcBorders>
            <w:shd w:fill="CCEEFF" w:val="clear"/>
            <w:tcMar>
              <w:top w:w="28" w:type="dxa"/>
              <w:bottom w:w="0" w:type="dxa"/>
            </w:tcMar>
            <w:vAlign w:val="center"/>
          </w:tcPr>
          <w:p>
            <w:pPr>
              <w:pStyle w:val="TableContents"/>
              <w:bidi w:val="0"/>
              <w:spacing w:before="0" w:after="0"/>
              <w:jc w:val="righ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650" w:type="dxa"/>
            <w:tcBorders>
              <w:top w:val="single" w:sz="8" w:space="0" w:color="000000"/>
            </w:tcBorders>
            <w:shd w:fill="CCEEFF" w:val="clear"/>
            <w:tcMar>
              <w:top w:w="28" w:type="dxa"/>
              <w:bottom w:w="0" w:type="dxa"/>
            </w:tcMar>
            <w:vAlign w:val="center"/>
          </w:tcPr>
          <w:p>
            <w:pPr>
              <w:pStyle w:val="TableContents"/>
              <w:bidi w:val="0"/>
              <w:spacing w:before="0" w:after="0"/>
              <w:jc w:val="righ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710" w:type="dxa"/>
            <w:tcBorders>
              <w:top w:val="single" w:sz="8" w:space="0" w:color="000000"/>
            </w:tcBorders>
            <w:shd w:fill="CCEEFF" w:val="clear"/>
            <w:tcMar>
              <w:top w:w="28" w:type="dxa"/>
              <w:bottom w:w="0" w:type="dxa"/>
            </w:tcMar>
            <w:vAlign w:val="center"/>
          </w:tcPr>
          <w:p>
            <w:pPr>
              <w:pStyle w:val="TableContents"/>
              <w:bidi w:val="0"/>
              <w:spacing w:before="0" w:after="0"/>
              <w:jc w:val="right"/>
              <w:rPr/>
            </w:pPr>
            <w:r>
              <w:rPr/>
              <w:t> </w:t>
            </w:r>
          </w:p>
        </w:tc>
      </w:tr>
      <w:tr>
        <w:trPr/>
        <w:tc>
          <w:tcPr>
            <w:tcW w:w="3440" w:type="dxa"/>
            <w:tcBorders/>
            <w:shd w:fill="FFFF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8.0% Senior Notes due April 1, 2031</w:t>
            </w:r>
          </w:p>
        </w:tc>
        <w:tc>
          <w:tcPr>
            <w:tcW w:w="125" w:type="dxa"/>
            <w:tcBorders/>
            <w:shd w:fill="FFFFFF" w:val="clear"/>
            <w:tcMar>
              <w:bottom w:w="0" w:type="dxa"/>
            </w:tcMar>
            <w:vAlign w:val="center"/>
          </w:tcPr>
          <w:p>
            <w:pPr>
              <w:pStyle w:val="TableContents"/>
              <w:bidi w:val="0"/>
              <w:spacing w:before="0" w:after="0"/>
              <w:jc w:val="left"/>
              <w:rPr/>
            </w:pPr>
            <w:r>
              <w:rPr/>
              <w:t> </w:t>
            </w:r>
          </w:p>
        </w:tc>
        <w:tc>
          <w:tcPr>
            <w:tcW w:w="65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69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459,972</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65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71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459,972</w:t>
            </w:r>
          </w:p>
        </w:tc>
      </w:tr>
      <w:tr>
        <w:trPr/>
        <w:tc>
          <w:tcPr>
            <w:tcW w:w="3440" w:type="dxa"/>
            <w:tcBorders/>
            <w:shd w:fill="CCEE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8.375% Senior Notes due October 1, 2033</w:t>
            </w:r>
          </w:p>
        </w:tc>
        <w:tc>
          <w:tcPr>
            <w:tcW w:w="125" w:type="dxa"/>
            <w:tcBorders/>
            <w:shd w:fill="CCEEFF" w:val="clear"/>
            <w:tcMar>
              <w:bottom w:w="0" w:type="dxa"/>
            </w:tcMar>
            <w:vAlign w:val="center"/>
          </w:tcPr>
          <w:p>
            <w:pPr>
              <w:pStyle w:val="TableContents"/>
              <w:bidi w:val="0"/>
              <w:spacing w:before="0" w:after="0"/>
              <w:jc w:val="left"/>
              <w:rPr/>
            </w:pPr>
            <w:r>
              <w:rPr/>
              <w:t> </w:t>
            </w:r>
          </w:p>
        </w:tc>
        <w:tc>
          <w:tcPr>
            <w:tcW w:w="65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69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461,192</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65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71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461,192</w:t>
            </w:r>
          </w:p>
        </w:tc>
      </w:tr>
      <w:tr>
        <w:trPr/>
        <w:tc>
          <w:tcPr>
            <w:tcW w:w="3440" w:type="dxa"/>
            <w:tcBorders>
              <w:bottom w:val="single" w:sz="8" w:space="0" w:color="000000"/>
            </w:tcBorders>
            <w:shd w:fill="FFFFFF" w:val="clear"/>
            <w:vAlign w:val="center"/>
          </w:tcPr>
          <w:p>
            <w:pPr>
              <w:pStyle w:val="TableContents"/>
              <w:bidi w:val="0"/>
              <w:spacing w:before="0" w:after="0"/>
              <w:ind w:left="144" w:right="0" w:hanging="0"/>
              <w:jc w:val="left"/>
              <w:rPr>
                <w:sz w:val="20"/>
              </w:rPr>
            </w:pPr>
            <w:r>
              <w:rPr>
                <w:rFonts w:ascii="Times New Roman" w:hAnsi="Times New Roman"/>
                <w:sz w:val="20"/>
              </w:rPr>
              <w:t>5.0% Senior Notes due</w:t>
            </w:r>
            <w:r>
              <w:rPr>
                <w:sz w:val="20"/>
              </w:rPr>
              <w:t> </w:t>
            </w:r>
            <w:r>
              <w:rPr>
                <w:rFonts w:ascii="Times New Roman" w:hAnsi="Times New Roman"/>
                <w:sz w:val="20"/>
              </w:rPr>
              <w:t>February 1, 2040</w:t>
            </w:r>
          </w:p>
        </w:tc>
        <w:tc>
          <w:tcPr>
            <w:tcW w:w="125" w:type="dxa"/>
            <w:tcBorders>
              <w:bottom w:val="single" w:sz="8" w:space="0" w:color="000000"/>
            </w:tcBorders>
            <w:shd w:fill="FFFFFF" w:val="clear"/>
            <w:vAlign w:val="center"/>
          </w:tcPr>
          <w:p>
            <w:pPr>
              <w:pStyle w:val="TableContents"/>
              <w:bidi w:val="0"/>
              <w:spacing w:before="0" w:after="0"/>
              <w:jc w:val="left"/>
              <w:rPr/>
            </w:pPr>
            <w:r>
              <w:rPr/>
              <w:t> </w:t>
            </w:r>
          </w:p>
        </w:tc>
        <w:tc>
          <w:tcPr>
            <w:tcW w:w="650"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bottom w:val="single" w:sz="8" w:space="0" w:color="000000"/>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vAlign w:val="center"/>
          </w:tcPr>
          <w:p>
            <w:pPr>
              <w:pStyle w:val="TableContents"/>
              <w:bidi w:val="0"/>
              <w:spacing w:before="0" w:after="0"/>
              <w:jc w:val="left"/>
              <w:rPr/>
            </w:pPr>
            <w:r>
              <w:rPr/>
              <w:t> </w:t>
            </w:r>
          </w:p>
        </w:tc>
        <w:tc>
          <w:tcPr>
            <w:tcW w:w="695"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16,492</w:t>
            </w:r>
          </w:p>
        </w:tc>
        <w:tc>
          <w:tcPr>
            <w:tcW w:w="60" w:type="dxa"/>
            <w:tcBorders>
              <w:bottom w:val="single" w:sz="8" w:space="0" w:color="000000"/>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vAlign w:val="center"/>
          </w:tcPr>
          <w:p>
            <w:pPr>
              <w:pStyle w:val="TableContents"/>
              <w:bidi w:val="0"/>
              <w:spacing w:before="0" w:after="0"/>
              <w:jc w:val="left"/>
              <w:rPr/>
            </w:pPr>
            <w:r>
              <w:rPr/>
              <w:t> </w:t>
            </w:r>
          </w:p>
        </w:tc>
        <w:tc>
          <w:tcPr>
            <w:tcW w:w="650"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bottom w:val="single" w:sz="8" w:space="0" w:color="000000"/>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vAlign w:val="center"/>
          </w:tcPr>
          <w:p>
            <w:pPr>
              <w:pStyle w:val="TableContents"/>
              <w:bidi w:val="0"/>
              <w:spacing w:before="0" w:after="0"/>
              <w:jc w:val="left"/>
              <w:rPr/>
            </w:pPr>
            <w:r>
              <w:rPr/>
              <w:t> </w:t>
            </w:r>
          </w:p>
        </w:tc>
        <w:tc>
          <w:tcPr>
            <w:tcW w:w="710"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16,492</w:t>
            </w:r>
          </w:p>
        </w:tc>
      </w:tr>
      <w:tr>
        <w:trPr/>
        <w:tc>
          <w:tcPr>
            <w:tcW w:w="3440" w:type="dxa"/>
            <w:tcBorders>
              <w:top w:val="single" w:sz="8" w:space="0" w:color="000000"/>
              <w:bottom w:val="double" w:sz="6" w:space="0" w:color="000000"/>
            </w:tcBorders>
            <w:shd w:fill="CCEEFF" w:val="clear"/>
            <w:tcMar>
              <w:top w:w="28"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Total fair value</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937,656</w:t>
            </w:r>
          </w:p>
        </w:tc>
        <w:tc>
          <w:tcPr>
            <w:tcW w:w="6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937,656</w:t>
            </w:r>
          </w:p>
        </w:tc>
      </w:tr>
    </w:tbl>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rFonts w:ascii="Times New Roman" w:hAnsi="Times New Roman"/>
          <w:sz w:val="20"/>
        </w:rPr>
        <w:t>The Senior Secured Revolving Credit Facility is not included in the above tables because there were no</w:t>
      </w:r>
      <w:r>
        <w:rPr/>
        <w:t xml:space="preserve"> </w:t>
      </w:r>
      <w:r>
        <w:rPr>
          <w:rFonts w:ascii="Times New Roman" w:hAnsi="Times New Roman"/>
          <w:sz w:val="20"/>
        </w:rPr>
        <w:t>borrowings outstanding thereunder at July 31, 2026</w:t>
      </w:r>
      <w:r>
        <w:rPr/>
        <w:t xml:space="preserve"> </w:t>
      </w:r>
      <w:r>
        <w:rPr>
          <w:rFonts w:ascii="Times New Roman" w:hAnsi="Times New Roman"/>
          <w:sz w:val="20"/>
        </w:rPr>
        <w:t>and October 31, 2025.</w:t>
      </w:r>
    </w:p>
    <w:p>
      <w:pPr>
        <w:pStyle w:val="TextBody"/>
        <w:bidi w:val="0"/>
        <w:spacing w:lineRule="atLeast" w:line="240" w:before="0" w:after="0"/>
        <w:jc w:val="left"/>
        <w:rPr/>
      </w:pPr>
      <w:r>
        <w:rPr/>
        <w:t> </w:t>
      </w:r>
    </w:p>
    <w:tbl>
      <w:tblPr>
        <w:tblW w:w="3175" w:type="dxa"/>
        <w:jc w:val="left"/>
        <w:tblInd w:w="0" w:type="dxa"/>
        <w:tblLayout w:type="fixed"/>
        <w:tblCellMar>
          <w:top w:w="0" w:type="dxa"/>
          <w:left w:w="0" w:type="dxa"/>
          <w:bottom w:w="0" w:type="dxa"/>
          <w:right w:w="0" w:type="dxa"/>
        </w:tblCellMar>
      </w:tblPr>
      <w:tblGrid>
        <w:gridCol w:w="290"/>
        <w:gridCol w:w="2885"/>
      </w:tblGrid>
      <w:tr>
        <w:trPr/>
        <w:tc>
          <w:tcPr>
            <w:tcW w:w="290" w:type="dxa"/>
            <w:tcBorders/>
            <w:vAlign w:val="center"/>
          </w:tcPr>
          <w:p>
            <w:pPr>
              <w:pStyle w:val="TableContents"/>
              <w:bidi w:val="0"/>
              <w:spacing w:lineRule="atLeast" w:line="240" w:before="0" w:after="0"/>
              <w:jc w:val="left"/>
              <w:rPr>
                <w:rFonts w:ascii="Times New Roman" w:hAnsi="Times New Roman"/>
                <w:b/>
                <w:sz w:val="20"/>
              </w:rPr>
            </w:pPr>
            <w:r>
              <w:rPr>
                <w:rFonts w:ascii="Times New Roman" w:hAnsi="Times New Roman"/>
                <w:b/>
                <w:sz w:val="20"/>
              </w:rPr>
              <w:t>21.</w:t>
            </w:r>
          </w:p>
        </w:tc>
        <w:tc>
          <w:tcPr>
            <w:tcW w:w="28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Transactions with Related Parties</w:t>
            </w:r>
          </w:p>
        </w:tc>
      </w:tr>
    </w:tbl>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rFonts w:ascii="Times New Roman" w:hAnsi="Times New Roman"/>
          <w:sz w:val="20"/>
        </w:rPr>
        <w:t>From time to time,</w:t>
      </w:r>
      <w:r>
        <w:rPr/>
        <w:t> </w:t>
      </w:r>
      <w:r>
        <w:rPr>
          <w:rFonts w:ascii="Times New Roman" w:hAnsi="Times New Roman"/>
          <w:sz w:val="20"/>
        </w:rPr>
        <w:t>an engineering firm owned by Tavit Najarian, a relative of Ara K. Hovnanian, our Chairman and Chief Executive Officer, and Alexander Hovnanian, our President, provides services to the Company. During the three months ended July 31, 2026</w:t>
      </w:r>
      <w:r>
        <w:rPr/>
        <w:t xml:space="preserve"> </w:t>
      </w:r>
      <w:r>
        <w:rPr>
          <w:rFonts w:ascii="Times New Roman" w:hAnsi="Times New Roman"/>
          <w:sz w:val="20"/>
        </w:rPr>
        <w:t>and 2025, the services provided by such engineering firm to the Company totaled $0.3</w:t>
      </w:r>
      <w:r>
        <w:rPr/>
        <w:t xml:space="preserve"> </w:t>
      </w:r>
      <w:r>
        <w:rPr>
          <w:rFonts w:ascii="Times New Roman" w:hAnsi="Times New Roman"/>
          <w:sz w:val="20"/>
        </w:rPr>
        <w:t>million and $0.1</w:t>
      </w:r>
      <w:r>
        <w:rPr/>
        <w:t xml:space="preserve"> </w:t>
      </w:r>
      <w:r>
        <w:rPr>
          <w:rFonts w:ascii="Times New Roman" w:hAnsi="Times New Roman"/>
          <w:sz w:val="20"/>
        </w:rPr>
        <w:t>million, respectively. During the nine months ended July 31, 2026</w:t>
      </w:r>
      <w:r>
        <w:rPr/>
        <w:t xml:space="preserve"> </w:t>
      </w:r>
      <w:r>
        <w:rPr>
          <w:rFonts w:ascii="Times New Roman" w:hAnsi="Times New Roman"/>
          <w:sz w:val="20"/>
        </w:rPr>
        <w:t>and 2025, the services provided by such engineering firm to the Company totaled $1.1</w:t>
      </w:r>
      <w:r>
        <w:rPr/>
        <w:t xml:space="preserve"> </w:t>
      </w:r>
      <w:r>
        <w:rPr>
          <w:rFonts w:ascii="Times New Roman" w:hAnsi="Times New Roman"/>
          <w:sz w:val="20"/>
        </w:rPr>
        <w:t>million and $0.5</w:t>
      </w:r>
      <w:r>
        <w:rPr/>
        <w:t xml:space="preserve"> </w:t>
      </w:r>
      <w:r>
        <w:rPr>
          <w:rFonts w:ascii="Times New Roman" w:hAnsi="Times New Roman"/>
          <w:sz w:val="20"/>
        </w:rPr>
        <w:t>million, respectively.</w:t>
      </w:r>
      <w:r>
        <w:rPr/>
        <w:t> </w:t>
      </w:r>
      <w:r>
        <w:rPr>
          <w:rFonts w:ascii="Times New Roman" w:hAnsi="Times New Roman"/>
          <w:sz w:val="20"/>
        </w:rPr>
        <w:t>Neither the Company nor</w:t>
      </w:r>
      <w:r>
        <w:rPr/>
        <w:t> </w:t>
      </w:r>
      <w:r>
        <w:rPr>
          <w:rFonts w:ascii="Times New Roman" w:hAnsi="Times New Roman"/>
          <w:sz w:val="20"/>
        </w:rPr>
        <w:t>Messrs.</w:t>
      </w:r>
      <w:r>
        <w:rPr/>
        <w:t> </w:t>
      </w:r>
      <w:r>
        <w:rPr>
          <w:rFonts w:ascii="Times New Roman" w:hAnsi="Times New Roman"/>
          <w:sz w:val="20"/>
        </w:rPr>
        <w:t>Hovnanian</w:t>
      </w:r>
      <w:r>
        <w:rPr/>
        <w:t> </w:t>
      </w:r>
      <w:r>
        <w:rPr>
          <w:rFonts w:ascii="Times New Roman" w:hAnsi="Times New Roman"/>
          <w:sz w:val="20"/>
        </w:rPr>
        <w:t>have a financial interest in the relative’s company from whom the services were provided.</w:t>
      </w:r>
    </w:p>
    <w:p>
      <w:pPr>
        <w:pStyle w:val="TextBody"/>
        <w:bidi w:val="0"/>
        <w:spacing w:before="0" w:after="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r>
        <w:br w:type="page"/>
      </w:r>
    </w:p>
    <w:p>
      <w:pPr>
        <w:pStyle w:val="TextBody"/>
        <w:bidi w:val="0"/>
        <w:spacing w:before="0" w:after="0"/>
        <w:jc w:val="left"/>
        <w:rPr/>
      </w:pPr>
      <w:hyperlink w:anchor="TOC">
        <w:r>
          <w:rPr>
            <w:rStyle w:val="InternetLink"/>
            <w:strike w:val="false"/>
            <w:dstrike w:val="false"/>
            <w:sz w:val="20"/>
            <w:u w:val="single"/>
            <w:effect w:val="none"/>
          </w:rPr>
          <w:t>Table of Contents</w:t>
        </w:r>
      </w:hyperlink>
    </w:p>
    <w:p>
      <w:pPr>
        <w:pStyle w:val="TextBody"/>
        <w:bidi w:val="0"/>
        <w:spacing w:lineRule="atLeast" w:line="240" w:before="0" w:after="0"/>
        <w:jc w:val="left"/>
        <w:rPr/>
      </w:pPr>
      <w:r>
        <w:rPr/>
        <w:t> </w:t>
      </w:r>
    </w:p>
    <w:p>
      <w:pPr>
        <w:pStyle w:val="TextBody"/>
        <w:bidi w:val="0"/>
        <w:spacing w:lineRule="atLeast" w:line="240" w:before="0" w:after="0"/>
        <w:jc w:val="left"/>
        <w:rPr/>
      </w:pPr>
      <w:hyperlink w:anchor="TOC">
        <w:bookmarkStart w:id="10" w:name="bm_0ff3c6e5fac6f8ee"/>
        <w:bookmarkEnd w:id="10"/>
        <w:r>
          <w:rPr>
            <w:rStyle w:val="InternetLink"/>
            <w:b/>
            <w:strike w:val="false"/>
            <w:dstrike w:val="false"/>
            <w:color w:val="000000"/>
            <w:sz w:val="20"/>
            <w:u w:val="none"/>
            <w:effect w:val="none"/>
          </w:rPr>
          <w:t>ITEM 2. MANAGEMENT'S DISCUSSION AND ANALYSIS OF FINANCIAL CONDITION AND RESULTS OF OPERATIONS</w:t>
        </w:r>
      </w:hyperlink>
    </w:p>
    <w:p>
      <w:pPr>
        <w:pStyle w:val="TextBody"/>
        <w:bidi w:val="0"/>
        <w:spacing w:lineRule="atLeast" w:line="240" w:before="200" w:after="0"/>
        <w:ind w:left="0" w:right="0" w:firstLine="900"/>
        <w:jc w:val="left"/>
        <w:rPr>
          <w:sz w:val="20"/>
        </w:rPr>
      </w:pPr>
      <w:r>
        <w:rPr>
          <w:sz w:val="20"/>
        </w:rPr>
        <w:t>Hovnanian Enterprises, Inc. (“HEI”) conducts all of its homebuilding and financial services operations through its consolidated subsidiaries (references herein to the “Company,” “we,” “us” or “our” refer to HEI and its consolidated subsidiaries and should be understood to reflect the consolidated business of HEI’s subsidiaries).</w:t>
      </w:r>
    </w:p>
    <w:p>
      <w:pPr>
        <w:pStyle w:val="TextBody"/>
        <w:bidi w:val="0"/>
        <w:spacing w:lineRule="atLeast" w:line="240" w:before="200" w:after="200"/>
        <w:jc w:val="left"/>
        <w:rPr>
          <w:b/>
          <w:sz w:val="20"/>
        </w:rPr>
      </w:pPr>
      <w:r>
        <w:rPr>
          <w:b/>
          <w:sz w:val="20"/>
        </w:rPr>
        <w:t>Key Performance Indicators</w:t>
      </w:r>
    </w:p>
    <w:p>
      <w:pPr>
        <w:pStyle w:val="TextBody"/>
        <w:bidi w:val="0"/>
        <w:spacing w:lineRule="atLeast" w:line="240" w:before="0" w:after="200"/>
        <w:ind w:left="0" w:right="0" w:firstLine="900"/>
        <w:jc w:val="left"/>
        <w:rPr>
          <w:sz w:val="20"/>
        </w:rPr>
      </w:pPr>
      <w:r>
        <w:rPr>
          <w:sz w:val="20"/>
        </w:rPr>
        <w:t>The following key performance indicators are commonly used in the homebuilding industry and by management as a means to better understand our operating performance and trends affecting our business and compare our performance with the performance of other homebuilders. We believe these key performance indicators also provide useful information to investors in analyzing our performance:</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xml:space="preserve">● </w:t>
            </w:r>
          </w:p>
        </w:tc>
        <w:tc>
          <w:tcPr>
            <w:tcW w:w="9941" w:type="dxa"/>
            <w:tcBorders/>
            <w:vAlign w:val="center"/>
          </w:tcPr>
          <w:p>
            <w:pPr>
              <w:pStyle w:val="TableContents"/>
              <w:bidi w:val="0"/>
              <w:spacing w:before="0" w:after="0"/>
              <w:jc w:val="left"/>
              <w:rPr>
                <w:sz w:val="20"/>
              </w:rPr>
            </w:pPr>
            <w:r>
              <w:rPr>
                <w:i/>
                <w:sz w:val="20"/>
              </w:rPr>
              <w:t xml:space="preserve">Net contracts </w:t>
            </w:r>
            <w:r>
              <w:rPr>
                <w:sz w:val="20"/>
              </w:rPr>
              <w:t>is a volume indicator which represents the number of new contracts executed during the period for the purchase of homes, less cancellations of contracts in the same period. The dollar value of net contracts represents the dollars associated with net contracts executed in the period. These values are an indicator of potential future revenues;</w:t>
            </w:r>
          </w:p>
        </w:tc>
      </w:tr>
      <w:tr>
        <w:trPr/>
        <w:tc>
          <w:tcPr>
            <w:tcW w:w="75"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9941" w:type="dxa"/>
            <w:tcBorders/>
            <w:vAlign w:val="center"/>
          </w:tcPr>
          <w:p>
            <w:pPr>
              <w:pStyle w:val="TableContents"/>
              <w:bidi w:val="0"/>
              <w:spacing w:before="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0"/>
              <w:jc w:val="left"/>
              <w:rPr/>
            </w:pPr>
            <w:r>
              <w:rPr/>
              <w:t> </w:t>
            </w:r>
          </w:p>
        </w:tc>
        <w:tc>
          <w:tcPr>
            <w:tcW w:w="193" w:type="dxa"/>
            <w:tcBorders/>
            <w:vAlign w:val="center"/>
          </w:tcPr>
          <w:p>
            <w:pPr>
              <w:pStyle w:val="TableContents"/>
              <w:bidi w:val="0"/>
              <w:spacing w:before="0" w:after="0"/>
              <w:jc w:val="left"/>
              <w:rPr/>
            </w:pPr>
            <w:r>
              <w:rPr/>
              <w:t xml:space="preserve">● </w:t>
            </w:r>
          </w:p>
        </w:tc>
        <w:tc>
          <w:tcPr>
            <w:tcW w:w="9937" w:type="dxa"/>
            <w:tcBorders/>
            <w:vAlign w:val="center"/>
          </w:tcPr>
          <w:p>
            <w:pPr>
              <w:pStyle w:val="TableContents"/>
              <w:bidi w:val="0"/>
              <w:spacing w:before="0" w:after="0"/>
              <w:jc w:val="left"/>
              <w:rPr>
                <w:sz w:val="20"/>
              </w:rPr>
            </w:pPr>
            <w:r>
              <w:rPr>
                <w:i/>
                <w:sz w:val="20"/>
              </w:rPr>
              <w:t>Contract backlog</w:t>
            </w:r>
            <w:r>
              <w:rPr>
                <w:sz w:val="20"/>
              </w:rPr>
              <w:t xml:space="preserve"> is a volume indicator which represents the number of homes that are under contract but not yet delivered as of the stated date. The dollar value of contract backlog represents the dollar amount of the homes in contract backlog. These values are an indicator of potential future revenues;</w:t>
            </w:r>
          </w:p>
        </w:tc>
      </w:tr>
      <w:tr>
        <w:trPr/>
        <w:tc>
          <w:tcPr>
            <w:tcW w:w="75" w:type="dxa"/>
            <w:tcBorders/>
            <w:vAlign w:val="center"/>
          </w:tcPr>
          <w:p>
            <w:pPr>
              <w:pStyle w:val="TableContents"/>
              <w:bidi w:val="0"/>
              <w:spacing w:before="0" w:after="0"/>
              <w:jc w:val="left"/>
              <w:rPr/>
            </w:pPr>
            <w:r>
              <w:rPr/>
              <w:t> </w:t>
            </w:r>
          </w:p>
        </w:tc>
        <w:tc>
          <w:tcPr>
            <w:tcW w:w="193" w:type="dxa"/>
            <w:tcBorders/>
            <w:vAlign w:val="center"/>
          </w:tcPr>
          <w:p>
            <w:pPr>
              <w:pStyle w:val="TableContents"/>
              <w:bidi w:val="0"/>
              <w:spacing w:before="0" w:after="0"/>
              <w:jc w:val="left"/>
              <w:rPr/>
            </w:pPr>
            <w:r>
              <w:rPr/>
              <w:t> </w:t>
            </w:r>
          </w:p>
        </w:tc>
        <w:tc>
          <w:tcPr>
            <w:tcW w:w="9937" w:type="dxa"/>
            <w:tcBorders/>
            <w:vAlign w:val="center"/>
          </w:tcPr>
          <w:p>
            <w:pPr>
              <w:pStyle w:val="TableContents"/>
              <w:bidi w:val="0"/>
              <w:spacing w:before="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xml:space="preserve">● </w:t>
            </w:r>
          </w:p>
        </w:tc>
        <w:tc>
          <w:tcPr>
            <w:tcW w:w="9941" w:type="dxa"/>
            <w:tcBorders/>
            <w:vAlign w:val="center"/>
          </w:tcPr>
          <w:p>
            <w:pPr>
              <w:pStyle w:val="TableContents"/>
              <w:bidi w:val="0"/>
              <w:spacing w:before="0" w:after="0"/>
              <w:jc w:val="left"/>
              <w:rPr>
                <w:sz w:val="20"/>
              </w:rPr>
            </w:pPr>
            <w:r>
              <w:rPr>
                <w:i/>
                <w:sz w:val="20"/>
              </w:rPr>
              <w:t>Active selling communities</w:t>
            </w:r>
            <w:r>
              <w:rPr>
                <w:sz w:val="20"/>
              </w:rPr>
              <w:t xml:space="preserve"> is a volume indicator which represents the number of communities which are open for sale with ten or more home sites available as of the end of a period. We identify communities based on product type; therefore, at times there are multiple communities at one land site. These values are an indicator of potential revenues;</w:t>
            </w:r>
          </w:p>
        </w:tc>
      </w:tr>
      <w:tr>
        <w:trPr/>
        <w:tc>
          <w:tcPr>
            <w:tcW w:w="75"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9941" w:type="dxa"/>
            <w:tcBorders/>
            <w:vAlign w:val="center"/>
          </w:tcPr>
          <w:p>
            <w:pPr>
              <w:pStyle w:val="TableContents"/>
              <w:bidi w:val="0"/>
              <w:spacing w:before="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xml:space="preserve">● </w:t>
            </w:r>
          </w:p>
        </w:tc>
        <w:tc>
          <w:tcPr>
            <w:tcW w:w="9941" w:type="dxa"/>
            <w:tcBorders/>
            <w:vAlign w:val="center"/>
          </w:tcPr>
          <w:p>
            <w:pPr>
              <w:pStyle w:val="TableContents"/>
              <w:bidi w:val="0"/>
              <w:spacing w:before="0" w:after="0"/>
              <w:jc w:val="left"/>
              <w:rPr>
                <w:sz w:val="20"/>
              </w:rPr>
            </w:pPr>
            <w:r>
              <w:rPr>
                <w:i/>
                <w:sz w:val="20"/>
              </w:rPr>
              <w:t>Net contracts per active selling community</w:t>
            </w:r>
            <w:r>
              <w:rPr>
                <w:sz w:val="20"/>
              </w:rPr>
              <w:t xml:space="preserve"> is used to indicate the pace at which homes are being sold (put into contract) in active selling communities and is calculated by dividing the number of net contracts in a period by the number of active selling communities in the same period. Sales pace is an indicator of market strength and demand; and</w:t>
            </w:r>
          </w:p>
        </w:tc>
      </w:tr>
      <w:tr>
        <w:trPr/>
        <w:tc>
          <w:tcPr>
            <w:tcW w:w="75" w:type="dxa"/>
            <w:tcBorders/>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9941" w:type="dxa"/>
            <w:tcBorders/>
            <w:vAlign w:val="center"/>
          </w:tcPr>
          <w:p>
            <w:pPr>
              <w:pStyle w:val="TableContents"/>
              <w:bidi w:val="0"/>
              <w:spacing w:before="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xml:space="preserve">● </w:t>
            </w:r>
          </w:p>
        </w:tc>
        <w:tc>
          <w:tcPr>
            <w:tcW w:w="9946" w:type="dxa"/>
            <w:tcBorders/>
            <w:vAlign w:val="center"/>
          </w:tcPr>
          <w:p>
            <w:pPr>
              <w:pStyle w:val="TableContents"/>
              <w:bidi w:val="0"/>
              <w:spacing w:before="0" w:after="0"/>
              <w:jc w:val="left"/>
              <w:rPr>
                <w:sz w:val="20"/>
              </w:rPr>
            </w:pPr>
            <w:r>
              <w:rPr>
                <w:i/>
                <w:sz w:val="20"/>
              </w:rPr>
              <w:t>Contract cancellation rates</w:t>
            </w:r>
            <w:r>
              <w:rPr>
                <w:sz w:val="20"/>
              </w:rPr>
              <w:t xml:space="preserve"> is a volume indicator which represents the number of sales contracts cancelled in the period divided by the number of gross sales contracts executed during the period. Contract cancellation rates as a percentage of backlog is calculated by dividing the number of cancelled contracts in the period by the contract backlog at the beginning of the period. Cancellation rates as compared to prior periods can be an indicator of market strength or weakness.</w:t>
            </w:r>
          </w:p>
        </w:tc>
      </w:tr>
    </w:tbl>
    <w:p>
      <w:pPr>
        <w:pStyle w:val="TextBody"/>
        <w:bidi w:val="0"/>
        <w:spacing w:lineRule="atLeast" w:line="240" w:before="200" w:after="0"/>
        <w:ind w:left="0" w:right="0" w:firstLine="907"/>
        <w:jc w:val="left"/>
        <w:rPr/>
      </w:pPr>
      <w:r>
        <w:rPr>
          <w:sz w:val="20"/>
        </w:rPr>
        <w:t>On January 1, 2026, we acquired a controlling interest in a previously unconsolidated joint venture in the Kingdom of Saudi Arabia ("KSA"), that operates and markets itself under the trade name HOV Global. Beginning in the first quarter of fiscal 2026, the results from KSA are included in our consolidated financial statements.</w:t>
      </w:r>
      <w:r>
        <w:rPr/>
        <w:t> </w:t>
      </w:r>
      <w:r>
        <w:rPr>
          <w:sz w:val="20"/>
        </w:rPr>
        <w:t xml:space="preserve">Consistent with our historical presentation, we will continue to exclude the results of our KSA operations from these key performance indicators generally (unless otherwise indicated) because such operations are not expected to have a material impact on our financial results for fiscal </w:t>
      </w:r>
      <w:r>
        <w:rPr>
          <w:rFonts w:ascii="Times New Roman" w:hAnsi="Times New Roman"/>
          <w:sz w:val="20"/>
        </w:rPr>
        <w:t>2026</w:t>
      </w:r>
      <w:r>
        <w:rPr>
          <w:sz w:val="20"/>
        </w:rPr>
        <w:t>.</w:t>
      </w:r>
      <w:r>
        <w:rPr/>
        <w:t> </w:t>
      </w:r>
      <w:r>
        <w:rPr>
          <w:sz w:val="20"/>
        </w:rPr>
        <w:t>Where we have excluded the KSA operations, we refer to such metrics as being for our “domestic” operations.</w:t>
      </w:r>
    </w:p>
    <w:p>
      <w:pPr>
        <w:pStyle w:val="TextBody"/>
        <w:bidi w:val="0"/>
        <w:spacing w:lineRule="atLeast" w:line="240" w:before="200" w:after="200"/>
        <w:jc w:val="left"/>
        <w:rPr>
          <w:b/>
          <w:sz w:val="20"/>
        </w:rPr>
      </w:pPr>
      <w:r>
        <w:rPr>
          <w:b/>
          <w:sz w:val="20"/>
        </w:rPr>
        <w:t xml:space="preserve">Overview </w:t>
      </w:r>
    </w:p>
    <w:p>
      <w:pPr>
        <w:pStyle w:val="TextBody"/>
        <w:bidi w:val="0"/>
        <w:spacing w:lineRule="atLeast" w:line="240" w:before="0" w:after="0"/>
        <w:jc w:val="left"/>
        <w:rPr>
          <w:i/>
          <w:sz w:val="20"/>
        </w:rPr>
      </w:pPr>
      <w:r>
        <w:rPr>
          <w:i/>
          <w:sz w:val="20"/>
        </w:rPr>
        <w:t>Market Conditions and Operating Results</w:t>
      </w:r>
    </w:p>
    <w:p>
      <w:pPr>
        <w:pStyle w:val="TextBody"/>
        <w:bidi w:val="0"/>
        <w:spacing w:lineRule="atLeast" w:line="240" w:before="200" w:after="0"/>
        <w:ind w:left="0" w:right="0" w:firstLine="907"/>
        <w:jc w:val="left"/>
        <w:rPr>
          <w:sz w:val="20"/>
        </w:rPr>
      </w:pPr>
      <w:r>
        <w:rPr>
          <w:sz w:val="20"/>
        </w:rPr>
        <w:t>The demand for new and existing homes is dependent on a variety of demographic and economic factors, including job and wage growth, household formation, consumer confidence, mortgage financing, interest rates, inflation and overall housing affordability.</w:t>
      </w:r>
    </w:p>
    <w:p>
      <w:pPr>
        <w:pStyle w:val="TextBody"/>
        <w:bidi w:val="0"/>
        <w:spacing w:lineRule="atLeast" w:line="240" w:before="200" w:after="0"/>
        <w:ind w:left="0" w:right="0" w:firstLine="907"/>
        <w:jc w:val="left"/>
        <w:rPr/>
      </w:pPr>
      <w:r>
        <w:rPr>
          <w:sz w:val="20"/>
        </w:rPr>
        <w:t xml:space="preserve">During fiscal </w:t>
      </w:r>
      <w:r>
        <w:rPr>
          <w:rFonts w:ascii="Times New Roman" w:hAnsi="Times New Roman"/>
          <w:sz w:val="20"/>
        </w:rPr>
        <w:t>2025</w:t>
      </w:r>
      <w:r>
        <w:rPr/>
        <w:t xml:space="preserve"> </w:t>
      </w:r>
      <w:r>
        <w:rPr>
          <w:sz w:val="20"/>
        </w:rPr>
        <w:t>and continuing through the</w:t>
      </w:r>
      <w:r>
        <w:rPr/>
        <w:t> </w:t>
      </w:r>
      <w:r>
        <w:rPr>
          <w:sz w:val="20"/>
        </w:rPr>
        <w:t>first nine months</w:t>
      </w:r>
      <w:r>
        <w:rPr/>
        <w:t> </w:t>
      </w:r>
      <w:r>
        <w:rPr>
          <w:sz w:val="20"/>
        </w:rPr>
        <w:t xml:space="preserve">of fiscal </w:t>
      </w:r>
      <w:r>
        <w:rPr>
          <w:rFonts w:ascii="Times New Roman" w:hAnsi="Times New Roman"/>
          <w:sz w:val="20"/>
        </w:rPr>
        <w:t>2026</w:t>
      </w:r>
      <w:r>
        <w:rPr>
          <w:sz w:val="20"/>
        </w:rPr>
        <w:t>, mortgage rates have fluctuated but still remain at a persistently high level. As a result, affordability generally remains challenging for homebuyers.</w:t>
      </w:r>
      <w:r>
        <w:rPr/>
        <w:t xml:space="preserve"> </w:t>
      </w:r>
      <w:r>
        <w:rPr>
          <w:sz w:val="20"/>
        </w:rPr>
        <w:t>We have stayed aggressive in our pricing, incentives and concessions in order to align with the current market.</w:t>
      </w:r>
    </w:p>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pPr>
      <w:hyperlink w:anchor="TOC_TableofContent">
        <w:r>
          <w:rPr>
            <w:rStyle w:val="InternetLink"/>
            <w:strike w:val="false"/>
            <w:dstrike w:val="false"/>
            <w:color w:val="0000FF"/>
            <w:sz w:val="20"/>
            <w:u w:val="single"/>
            <w:effect w:val="none"/>
          </w:rPr>
          <w:t>Table of Contents</w:t>
        </w:r>
      </w:hyperlink>
    </w:p>
    <w:p>
      <w:pPr>
        <w:pStyle w:val="TextBody"/>
        <w:bidi w:val="0"/>
        <w:spacing w:lineRule="atLeast" w:line="240" w:before="0" w:after="0"/>
        <w:jc w:val="left"/>
        <w:rPr/>
      </w:pPr>
      <w:r>
        <w:rPr/>
        <w:t> </w:t>
      </w:r>
    </w:p>
    <w:p>
      <w:pPr>
        <w:pStyle w:val="TextBody"/>
        <w:bidi w:val="0"/>
        <w:spacing w:lineRule="atLeast" w:line="240" w:before="0" w:after="200"/>
        <w:ind w:left="0" w:right="0" w:firstLine="900"/>
        <w:jc w:val="left"/>
        <w:rPr>
          <w:sz w:val="20"/>
        </w:rPr>
      </w:pPr>
      <w:r>
        <w:rPr>
          <w:sz w:val="20"/>
        </w:rPr>
        <w:t>We continue to use our inventory of quick move-in homes ("QMI homes") to help meet buyers’ needs for more affordable housing in the existing uncertain interest rate environment. The time between contract signing and closing is shorter with a QMI home as compared to a to be built home, which provides customers with more certainty on their mortgage pricing. The availability of QMI homes also allows us to offer mortgage interest rate buydown assistance, which is a tool we offer through our wholly-owned mortgage banking subsidiary ("K. Hovnanian Mortgage"), to help ease the impact of higher monthly payments from rising interest rates. We pay the cost of interest rate buydowns for customers that qualify through K. Hovnanian Mortgage and decide to use the program. The level of interest rate based incentives utilized differs across our markets and is one of several available options we use to drive sales and close homes.</w:t>
      </w:r>
    </w:p>
    <w:p>
      <w:pPr>
        <w:pStyle w:val="TextBody"/>
        <w:bidi w:val="0"/>
        <w:spacing w:lineRule="atLeast" w:line="240" w:before="0" w:after="200"/>
        <w:ind w:left="0" w:right="0" w:firstLine="900"/>
        <w:jc w:val="left"/>
        <w:rPr/>
      </w:pPr>
      <w:r>
        <w:rPr>
          <w:sz w:val="20"/>
        </w:rPr>
        <w:t>Our focus remains on driving sales pace rather than price. However, higher mortgage rates and concerns about global instability continued to weigh on the housing market contributing to a 4.6% decrease in domestic net</w:t>
      </w:r>
      <w:r>
        <w:rPr/>
        <w:t> </w:t>
      </w:r>
      <w:r>
        <w:rPr>
          <w:sz w:val="20"/>
        </w:rPr>
        <w:t>contracts in the</w:t>
      </w:r>
      <w:r>
        <w:rPr/>
        <w:t> </w:t>
      </w:r>
      <w:r>
        <w:rPr>
          <w:rFonts w:ascii="Times New Roman" w:hAnsi="Times New Roman"/>
          <w:sz w:val="20"/>
        </w:rPr>
        <w:t>third quarter</w:t>
      </w:r>
      <w:r>
        <w:rPr/>
        <w:t xml:space="preserve"> </w:t>
      </w:r>
      <w:r>
        <w:rPr>
          <w:sz w:val="20"/>
        </w:rPr>
        <w:t xml:space="preserve">of fiscal </w:t>
      </w:r>
      <w:r>
        <w:rPr>
          <w:rFonts w:ascii="Times New Roman" w:hAnsi="Times New Roman"/>
          <w:sz w:val="20"/>
        </w:rPr>
        <w:t>2026</w:t>
      </w:r>
      <w:r>
        <w:rPr/>
        <w:t xml:space="preserve"> </w:t>
      </w:r>
      <w:r>
        <w:rPr>
          <w:sz w:val="20"/>
        </w:rPr>
        <w:t xml:space="preserve">compared with the prior year third quarter and a 0.1% decrease for the </w:t>
      </w:r>
      <w:r>
        <w:rPr>
          <w:rFonts w:ascii="Times New Roman" w:hAnsi="Times New Roman"/>
          <w:sz w:val="20"/>
        </w:rPr>
        <w:t>nine months ended July 31, 2026</w:t>
      </w:r>
      <w:r>
        <w:rPr/>
        <w:t xml:space="preserve"> </w:t>
      </w:r>
      <w:r>
        <w:rPr>
          <w:sz w:val="20"/>
        </w:rPr>
        <w:t>compared with the same period in the prior year. During the nine-month period ended July 31, 2026, net contracts varied by month, reflecting changing market conditions</w:t>
      </w:r>
      <w:r>
        <w:rPr/>
        <w:t> </w:t>
      </w:r>
      <w:r>
        <w:rPr>
          <w:sz w:val="20"/>
        </w:rPr>
        <w:t>and consumer sentiment, including increased buyer hesitancy that we believe was partially attributable to the Iran war.</w:t>
      </w:r>
      <w:r>
        <w:rPr/>
        <w:t> </w:t>
      </w:r>
      <w:r>
        <w:rPr>
          <w:sz w:val="20"/>
        </w:rPr>
        <w:t>Despite broader political and economic volatility and continued affordability constraints, we raised</w:t>
      </w:r>
      <w:r>
        <w:rPr/>
        <w:t> </w:t>
      </w:r>
      <w:r>
        <w:rPr>
          <w:sz w:val="20"/>
        </w:rPr>
        <w:t xml:space="preserve">prices or reduced incentives in approximately 31% of our domestic communities during the </w:t>
      </w:r>
      <w:r>
        <w:rPr>
          <w:rFonts w:ascii="Times New Roman" w:hAnsi="Times New Roman"/>
          <w:sz w:val="20"/>
        </w:rPr>
        <w:t>third quarter</w:t>
      </w:r>
      <w:r>
        <w:rPr/>
        <w:t> </w:t>
      </w:r>
      <w:r>
        <w:rPr>
          <w:sz w:val="20"/>
        </w:rPr>
        <w:t xml:space="preserve">of fiscal </w:t>
      </w:r>
      <w:r>
        <w:rPr>
          <w:rFonts w:ascii="Times New Roman" w:hAnsi="Times New Roman"/>
          <w:sz w:val="20"/>
        </w:rPr>
        <w:t>2026</w:t>
      </w:r>
      <w:r>
        <w:rPr>
          <w:sz w:val="20"/>
        </w:rPr>
        <w:t>.</w:t>
      </w:r>
    </w:p>
    <w:p>
      <w:pPr>
        <w:pStyle w:val="TextBody"/>
        <w:bidi w:val="0"/>
        <w:spacing w:lineRule="atLeast" w:line="240" w:before="200" w:after="0"/>
        <w:ind w:left="0" w:right="0" w:firstLine="900"/>
        <w:jc w:val="left"/>
        <w:rPr/>
      </w:pPr>
      <w:r>
        <w:rPr>
          <w:sz w:val="20"/>
        </w:rPr>
        <w:t>Although the long-term fundamentals of the new home market remain favorable, significant uncertainty persists due to inflation, tariffs, the potential for an economic recession, employment risk, geopolitical events and the possibility of further increases in mortgage rates. While some supply chain issues continue, we remain focused on shortening construction cycle times and advancing our national initiatives to reduce costs with our materials providers and trade partners. Given changing conditions in the housing market and the broader economy, it remains difficult to predict the extent to which these external factors will affect our business for the remainder of fiscal 2026</w:t>
      </w:r>
      <w:r>
        <w:rPr/>
        <w:t> </w:t>
      </w:r>
      <w:r>
        <w:rPr>
          <w:sz w:val="20"/>
        </w:rPr>
        <w:t>and beyond.</w:t>
      </w:r>
    </w:p>
    <w:p>
      <w:pPr>
        <w:pStyle w:val="TextBody"/>
        <w:bidi w:val="0"/>
        <w:spacing w:lineRule="atLeast" w:line="240" w:before="200" w:after="0"/>
        <w:ind w:left="0" w:right="0" w:firstLine="900"/>
        <w:jc w:val="left"/>
        <w:rPr/>
      </w:pPr>
      <w:r>
        <w:rPr>
          <w:sz w:val="20"/>
        </w:rPr>
        <w:t xml:space="preserve">During the </w:t>
      </w:r>
      <w:r>
        <w:rPr>
          <w:rFonts w:ascii="Times New Roman" w:hAnsi="Times New Roman"/>
          <w:sz w:val="20"/>
        </w:rPr>
        <w:t>nine months ended July 31, 2026</w:t>
      </w:r>
      <w:r>
        <w:rPr>
          <w:sz w:val="20"/>
        </w:rPr>
        <w:t>, our cash position allowed us to spend $644.9 million on domestic land purchases and land development for long-term growth and repurchase $18.5</w:t>
      </w:r>
      <w:r>
        <w:rPr/>
        <w:t> </w:t>
      </w:r>
      <w:r>
        <w:rPr>
          <w:sz w:val="20"/>
        </w:rPr>
        <w:t>million of our common stock</w:t>
      </w:r>
      <w:r>
        <w:rPr/>
        <w:t> </w:t>
      </w:r>
      <w:r>
        <w:rPr>
          <w:sz w:val="20"/>
        </w:rPr>
        <w:t>and still have total liquidity of $</w:t>
      </w:r>
      <w:r>
        <w:rPr>
          <w:rFonts w:ascii="Times New Roman" w:hAnsi="Times New Roman"/>
          <w:sz w:val="20"/>
        </w:rPr>
        <w:t>379.8</w:t>
      </w:r>
      <w:r>
        <w:rPr/>
        <w:t> </w:t>
      </w:r>
      <w:r>
        <w:rPr>
          <w:sz w:val="20"/>
        </w:rPr>
        <w:t>million, including $</w:t>
      </w:r>
      <w:r>
        <w:rPr>
          <w:rFonts w:ascii="Times New Roman" w:hAnsi="Times New Roman"/>
          <w:sz w:val="20"/>
        </w:rPr>
        <w:t>249.1</w:t>
      </w:r>
      <w:r>
        <w:rPr/>
        <w:t> </w:t>
      </w:r>
      <w:r>
        <w:rPr>
          <w:sz w:val="20"/>
        </w:rPr>
        <w:t xml:space="preserve">million of homebuilding cash and cash equivalents and $125.0 million of borrowing capacity under our senior secured revolving credit facility as of </w:t>
      </w:r>
      <w:r>
        <w:rPr>
          <w:rFonts w:ascii="Times New Roman" w:hAnsi="Times New Roman"/>
          <w:sz w:val="20"/>
        </w:rPr>
        <w:t>July 31, 2026</w:t>
      </w:r>
      <w:r>
        <w:rPr>
          <w:sz w:val="20"/>
        </w:rPr>
        <w:t>.</w:t>
      </w:r>
    </w:p>
    <w:p>
      <w:pPr>
        <w:pStyle w:val="TextBody"/>
        <w:bidi w:val="0"/>
        <w:spacing w:lineRule="atLeast" w:line="240" w:before="200" w:after="200"/>
        <w:ind w:left="0" w:right="0" w:firstLine="900"/>
        <w:jc w:val="left"/>
        <w:rPr/>
      </w:pPr>
      <w:r>
        <w:rPr>
          <w:sz w:val="20"/>
        </w:rPr>
        <w:t xml:space="preserve">Information on our operating results for the </w:t>
      </w:r>
      <w:r>
        <w:rPr>
          <w:rFonts w:ascii="Times New Roman" w:hAnsi="Times New Roman"/>
          <w:sz w:val="20"/>
        </w:rPr>
        <w:t>three and nine</w:t>
      </w:r>
      <w:r>
        <w:rPr/>
        <w:t xml:space="preserve"> </w:t>
      </w:r>
      <w:r>
        <w:rPr>
          <w:sz w:val="20"/>
        </w:rPr>
        <w:t xml:space="preserve">months ended </w:t>
      </w:r>
      <w:r>
        <w:rPr>
          <w:rFonts w:ascii="Times New Roman" w:hAnsi="Times New Roman"/>
          <w:sz w:val="20"/>
        </w:rPr>
        <w:t>July 31, 2026</w:t>
      </w:r>
      <w:r>
        <w:rPr/>
        <w:t xml:space="preserve"> </w:t>
      </w:r>
      <w:r>
        <w:rPr>
          <w:sz w:val="20"/>
        </w:rPr>
        <w:t>are as follows:</w:t>
      </w:r>
    </w:p>
    <w:p>
      <w:pPr>
        <w:pStyle w:val="TextBody"/>
        <w:bidi w:val="0"/>
        <w:spacing w:lineRule="atLeast" w:line="240" w:before="0" w:after="0"/>
        <w:ind w:left="1860" w:right="0" w:hanging="0"/>
        <w:jc w:val="left"/>
        <w:rPr/>
      </w:pPr>
      <w:r>
        <w:rPr/>
        <w:t xml:space="preserve">● </w:t>
      </w:r>
      <w:r>
        <w:rPr>
          <w:sz w:val="20"/>
        </w:rPr>
        <w:t xml:space="preserve">Sale of homes revenues </w:t>
      </w:r>
      <w:r>
        <w:rPr>
          <w:rFonts w:ascii="Times New Roman" w:hAnsi="Times New Roman"/>
          <w:sz w:val="20"/>
        </w:rPr>
        <w:t>decreased</w:t>
      </w:r>
      <w:r>
        <w:rPr/>
        <w:t xml:space="preserve"> </w:t>
      </w:r>
      <w:r>
        <w:rPr>
          <w:sz w:val="20"/>
        </w:rPr>
        <w:t>to $</w:t>
      </w:r>
      <w:r>
        <w:rPr>
          <w:rFonts w:ascii="Times New Roman" w:hAnsi="Times New Roman"/>
          <w:sz w:val="20"/>
        </w:rPr>
        <w:t>679.0</w:t>
      </w:r>
      <w:r>
        <w:rPr/>
        <w:t xml:space="preserve"> </w:t>
      </w:r>
      <w:r>
        <w:rPr>
          <w:sz w:val="20"/>
        </w:rPr>
        <w:t xml:space="preserve">million for the </w:t>
      </w:r>
      <w:r>
        <w:rPr>
          <w:rFonts w:ascii="Times New Roman" w:hAnsi="Times New Roman"/>
          <w:sz w:val="20"/>
        </w:rPr>
        <w:t>three months ended July 31, 2026</w:t>
      </w:r>
      <w:r>
        <w:rPr/>
        <w:t xml:space="preserve"> </w:t>
      </w:r>
      <w:r>
        <w:rPr>
          <w:sz w:val="20"/>
        </w:rPr>
        <w:t>from $</w:t>
      </w:r>
      <w:r>
        <w:rPr>
          <w:rFonts w:ascii="Times New Roman" w:hAnsi="Times New Roman"/>
          <w:sz w:val="20"/>
        </w:rPr>
        <w:t>769.1</w:t>
      </w:r>
      <w:r>
        <w:rPr/>
        <w:t xml:space="preserve"> </w:t>
      </w:r>
      <w:r>
        <w:rPr>
          <w:sz w:val="20"/>
        </w:rPr>
        <w:t>million for same period in 2025. For the</w:t>
      </w:r>
      <w:r>
        <w:rPr/>
        <w:t> </w:t>
      </w:r>
      <w:r>
        <w:rPr>
          <w:rFonts w:ascii="Times New Roman" w:hAnsi="Times New Roman"/>
          <w:sz w:val="20"/>
        </w:rPr>
        <w:t>nine months ended July 31, 2026</w:t>
      </w:r>
      <w:r>
        <w:rPr>
          <w:sz w:val="20"/>
        </w:rPr>
        <w:t>, sale of homes revenues were $</w:t>
      </w:r>
      <w:r>
        <w:rPr>
          <w:rFonts w:ascii="Times New Roman" w:hAnsi="Times New Roman"/>
          <w:sz w:val="20"/>
        </w:rPr>
        <w:t>1.9</w:t>
      </w:r>
      <w:r>
        <w:rPr/>
        <w:t> </w:t>
      </w:r>
      <w:r>
        <w:rPr>
          <w:sz w:val="20"/>
        </w:rPr>
        <w:t>billion compared with $</w:t>
      </w:r>
      <w:r>
        <w:rPr>
          <w:rFonts w:ascii="Times New Roman" w:hAnsi="Times New Roman"/>
          <w:sz w:val="20"/>
        </w:rPr>
        <w:t>2.1</w:t>
      </w:r>
      <w:r>
        <w:rPr/>
        <w:t> </w:t>
      </w:r>
      <w:r>
        <w:rPr>
          <w:sz w:val="20"/>
        </w:rPr>
        <w:t>billion in the prior year period.</w:t>
      </w:r>
      <w:r>
        <w:rPr/>
        <w:t> </w:t>
      </w:r>
      <w:r>
        <w:rPr>
          <w:sz w:val="20"/>
        </w:rPr>
        <w:t>The decreases were primarily due to a</w:t>
      </w:r>
      <w:r>
        <w:rPr/>
        <w:t> </w:t>
      </w:r>
      <w:r>
        <w:rPr>
          <w:rFonts w:ascii="Times New Roman" w:hAnsi="Times New Roman"/>
          <w:sz w:val="20"/>
        </w:rPr>
        <w:t>12.0</w:t>
      </w:r>
      <w:r>
        <w:rPr>
          <w:sz w:val="20"/>
        </w:rPr>
        <w:t xml:space="preserve">% decline in home deliveries for both the </w:t>
      </w:r>
      <w:r>
        <w:rPr>
          <w:rFonts w:ascii="Times New Roman" w:hAnsi="Times New Roman"/>
          <w:sz w:val="20"/>
        </w:rPr>
        <w:t>three and nine</w:t>
      </w:r>
      <w:r>
        <w:rPr/>
        <w:t xml:space="preserve"> </w:t>
      </w:r>
      <w:r>
        <w:rPr>
          <w:sz w:val="20"/>
        </w:rPr>
        <w:t xml:space="preserve">month periods of 2026, partially offset by increases in average sales price of </w:t>
      </w:r>
      <w:r>
        <w:rPr>
          <w:rFonts w:ascii="Times New Roman" w:hAnsi="Times New Roman"/>
          <w:sz w:val="20"/>
        </w:rPr>
        <w:t>0.4</w:t>
      </w:r>
      <w:r>
        <w:rPr>
          <w:sz w:val="20"/>
        </w:rPr>
        <w:t xml:space="preserve">% and </w:t>
      </w:r>
      <w:r>
        <w:rPr>
          <w:rFonts w:ascii="Times New Roman" w:hAnsi="Times New Roman"/>
          <w:sz w:val="20"/>
        </w:rPr>
        <w:t>2.3</w:t>
      </w:r>
      <w:r>
        <w:rPr>
          <w:sz w:val="20"/>
        </w:rPr>
        <w:t>%, respectively.</w:t>
      </w:r>
      <w:r>
        <w:rPr/>
        <w:t> </w:t>
      </w:r>
    </w:p>
    <w:p>
      <w:pPr>
        <w:pStyle w:val="TextBody"/>
        <w:bidi w:val="0"/>
        <w:spacing w:lineRule="atLeast" w:line="240" w:before="200" w:after="0"/>
        <w:ind w:left="1860" w:right="0" w:hanging="0"/>
        <w:jc w:val="left"/>
        <w:rPr/>
      </w:pPr>
      <w:r>
        <w:rPr/>
        <w:t xml:space="preserve">● </w:t>
      </w:r>
      <w:r>
        <w:rPr>
          <w:sz w:val="20"/>
        </w:rPr>
        <w:t xml:space="preserve">Gross margin dollars decreased </w:t>
      </w:r>
      <w:r>
        <w:rPr>
          <w:rFonts w:ascii="Times New Roman" w:hAnsi="Times New Roman"/>
          <w:sz w:val="20"/>
        </w:rPr>
        <w:t>11.4</w:t>
      </w:r>
      <w:r>
        <w:rPr>
          <w:sz w:val="20"/>
        </w:rPr>
        <w:t xml:space="preserve">% and </w:t>
      </w:r>
      <w:r>
        <w:rPr>
          <w:rFonts w:ascii="Times New Roman" w:hAnsi="Times New Roman"/>
          <w:sz w:val="20"/>
        </w:rPr>
        <w:t>28.0</w:t>
      </w:r>
      <w:r>
        <w:rPr>
          <w:sz w:val="20"/>
        </w:rPr>
        <w:t xml:space="preserve">% for the </w:t>
      </w:r>
      <w:r>
        <w:rPr>
          <w:rFonts w:ascii="Times New Roman" w:hAnsi="Times New Roman"/>
          <w:sz w:val="20"/>
        </w:rPr>
        <w:t>three and nine</w:t>
      </w:r>
      <w:r>
        <w:rPr/>
        <w:t xml:space="preserve"> </w:t>
      </w:r>
      <w:r>
        <w:rPr>
          <w:sz w:val="20"/>
        </w:rPr>
        <w:t xml:space="preserve">months ended </w:t>
      </w:r>
      <w:r>
        <w:rPr>
          <w:rFonts w:ascii="Times New Roman" w:hAnsi="Times New Roman"/>
          <w:sz w:val="20"/>
        </w:rPr>
        <w:t>July 31, 2026</w:t>
      </w:r>
      <w:r>
        <w:rPr>
          <w:sz w:val="20"/>
        </w:rPr>
        <w:t xml:space="preserve">, respectively, compared with the same periods in the prior year, primarily due to a reduction in delivery volume. Gross margin percentage was </w:t>
      </w:r>
      <w:r>
        <w:rPr>
          <w:rFonts w:ascii="Times New Roman" w:hAnsi="Times New Roman"/>
          <w:sz w:val="20"/>
        </w:rPr>
        <w:t>11.8</w:t>
      </w:r>
      <w:r>
        <w:rPr>
          <w:sz w:val="20"/>
        </w:rPr>
        <w:t xml:space="preserve">% and 10.8% for the </w:t>
      </w:r>
      <w:r>
        <w:rPr>
          <w:rFonts w:ascii="Times New Roman" w:hAnsi="Times New Roman"/>
          <w:sz w:val="20"/>
        </w:rPr>
        <w:t>three and nine</w:t>
      </w:r>
      <w:r>
        <w:rPr/>
        <w:t xml:space="preserve"> </w:t>
      </w:r>
      <w:r>
        <w:rPr>
          <w:sz w:val="20"/>
        </w:rPr>
        <w:t xml:space="preserve">months ended </w:t>
      </w:r>
      <w:r>
        <w:rPr>
          <w:rFonts w:ascii="Times New Roman" w:hAnsi="Times New Roman"/>
          <w:sz w:val="20"/>
        </w:rPr>
        <w:t>July 31, 2026</w:t>
      </w:r>
      <w:r>
        <w:rPr>
          <w:sz w:val="20"/>
        </w:rPr>
        <w:t xml:space="preserve">, respectively, compared with </w:t>
      </w:r>
      <w:r>
        <w:rPr>
          <w:rFonts w:ascii="Times New Roman" w:hAnsi="Times New Roman"/>
          <w:sz w:val="20"/>
        </w:rPr>
        <w:t>11.7</w:t>
      </w:r>
      <w:r>
        <w:rPr>
          <w:sz w:val="20"/>
        </w:rPr>
        <w:t>%</w:t>
      </w:r>
      <w:r>
        <w:rPr/>
        <w:t> </w:t>
      </w:r>
      <w:r>
        <w:rPr>
          <w:sz w:val="20"/>
        </w:rPr>
        <w:t xml:space="preserve">and </w:t>
      </w:r>
      <w:r>
        <w:rPr>
          <w:rFonts w:ascii="Times New Roman" w:hAnsi="Times New Roman"/>
          <w:sz w:val="20"/>
        </w:rPr>
        <w:t>13.5</w:t>
      </w:r>
      <w:r>
        <w:rPr>
          <w:sz w:val="20"/>
        </w:rPr>
        <w:t>% for</w:t>
      </w:r>
      <w:r>
        <w:rPr/>
        <w:t> </w:t>
      </w:r>
      <w:r>
        <w:rPr>
          <w:sz w:val="20"/>
        </w:rPr>
        <w:t>the</w:t>
      </w:r>
      <w:r>
        <w:rPr/>
        <w:t> </w:t>
      </w:r>
      <w:r>
        <w:rPr>
          <w:sz w:val="20"/>
        </w:rPr>
        <w:t>corresponding periods in 2025, respectively.</w:t>
      </w:r>
      <w:r>
        <w:rPr/>
        <w:t> </w:t>
      </w:r>
      <w:r>
        <w:rPr>
          <w:sz w:val="20"/>
        </w:rPr>
        <w:t>Gross margin percentage, before cost of sales interest expense and land charges, decreased to</w:t>
      </w:r>
      <w:r>
        <w:rPr/>
        <w:t> </w:t>
      </w:r>
      <w:r>
        <w:rPr>
          <w:rFonts w:ascii="Times New Roman" w:hAnsi="Times New Roman"/>
          <w:sz w:val="20"/>
        </w:rPr>
        <w:t>14.6</w:t>
      </w:r>
      <w:r>
        <w:rPr>
          <w:sz w:val="20"/>
        </w:rPr>
        <w:t xml:space="preserve">% for the </w:t>
      </w:r>
      <w:r>
        <w:rPr>
          <w:rFonts w:ascii="Times New Roman" w:hAnsi="Times New Roman"/>
          <w:sz w:val="20"/>
        </w:rPr>
        <w:t>three months ended July 31, 2026</w:t>
      </w:r>
      <w:r>
        <w:rPr/>
        <w:t> </w:t>
      </w:r>
      <w:r>
        <w:rPr>
          <w:sz w:val="20"/>
        </w:rPr>
        <w:t>from</w:t>
      </w:r>
      <w:r>
        <w:rPr/>
        <w:t> </w:t>
      </w:r>
      <w:r>
        <w:rPr>
          <w:rFonts w:ascii="Times New Roman" w:hAnsi="Times New Roman"/>
          <w:sz w:val="20"/>
        </w:rPr>
        <w:t>17.3</w:t>
      </w:r>
      <w:r>
        <w:rPr>
          <w:sz w:val="20"/>
        </w:rPr>
        <w:t>% in the prior year period and to</w:t>
      </w:r>
      <w:r>
        <w:rPr/>
        <w:t> </w:t>
      </w:r>
      <w:r>
        <w:rPr>
          <w:rFonts w:ascii="Times New Roman" w:hAnsi="Times New Roman"/>
          <w:sz w:val="20"/>
        </w:rPr>
        <w:t>14.2</w:t>
      </w:r>
      <w:r>
        <w:rPr>
          <w:sz w:val="20"/>
        </w:rPr>
        <w:t xml:space="preserve">% for the </w:t>
      </w:r>
      <w:r>
        <w:rPr>
          <w:rFonts w:ascii="Times New Roman" w:hAnsi="Times New Roman"/>
          <w:sz w:val="20"/>
        </w:rPr>
        <w:t>nine months ended July 31, 2026</w:t>
      </w:r>
      <w:r>
        <w:rPr/>
        <w:t> </w:t>
      </w:r>
      <w:r>
        <w:rPr>
          <w:sz w:val="20"/>
        </w:rPr>
        <w:t>from</w:t>
      </w:r>
      <w:r>
        <w:rPr/>
        <w:t> </w:t>
      </w:r>
      <w:r>
        <w:rPr>
          <w:rFonts w:ascii="Times New Roman" w:hAnsi="Times New Roman"/>
          <w:sz w:val="20"/>
        </w:rPr>
        <w:t>17.6</w:t>
      </w:r>
      <w:r>
        <w:rPr>
          <w:sz w:val="20"/>
        </w:rPr>
        <w:t>% in the prior year period. The decreases were primarily due to increased use of incentives and concessions, including additional mortgage interest rate buydowns, to improve affordability.</w:t>
      </w:r>
      <w:r>
        <w:rPr/>
        <w:t> </w:t>
      </w:r>
      <w:r>
        <w:rPr>
          <w:sz w:val="20"/>
        </w:rPr>
        <w:t xml:space="preserve">In the current homebuilding environment, we remain focused on driving financial performance by increasing sales pace rather than achieving a higher gross margin. </w:t>
      </w:r>
    </w:p>
    <w:p>
      <w:pPr>
        <w:pStyle w:val="TextBody"/>
        <w:bidi w:val="0"/>
        <w:spacing w:lineRule="atLeast" w:line="240" w:before="200" w:after="0"/>
        <w:ind w:left="1860" w:right="0" w:hanging="0"/>
        <w:jc w:val="left"/>
        <w:rPr/>
      </w:pPr>
      <w:r>
        <w:rPr/>
        <w:t xml:space="preserve">● </w:t>
      </w:r>
      <w:r>
        <w:rPr>
          <w:sz w:val="20"/>
        </w:rPr>
        <w:t>Selling, general and administrative costs, including corporate general and administrative expenses, ("Total SGA")</w:t>
      </w:r>
      <w:r>
        <w:rPr/>
        <w:t> </w:t>
      </w:r>
      <w:r>
        <w:rPr>
          <w:sz w:val="20"/>
        </w:rPr>
        <w:t>were $</w:t>
      </w:r>
      <w:r>
        <w:rPr>
          <w:rFonts w:ascii="Times New Roman" w:hAnsi="Times New Roman"/>
          <w:sz w:val="20"/>
        </w:rPr>
        <w:t>86.9</w:t>
      </w:r>
      <w:r>
        <w:rPr/>
        <w:t> </w:t>
      </w:r>
      <w:r>
        <w:rPr>
          <w:sz w:val="20"/>
        </w:rPr>
        <w:t xml:space="preserve">million, or </w:t>
      </w:r>
      <w:r>
        <w:rPr>
          <w:rFonts w:ascii="Times New Roman" w:hAnsi="Times New Roman"/>
          <w:sz w:val="20"/>
        </w:rPr>
        <w:t>12.3</w:t>
      </w:r>
      <w:r>
        <w:rPr>
          <w:sz w:val="20"/>
        </w:rPr>
        <w:t>%</w:t>
      </w:r>
      <w:r>
        <w:rPr/>
        <w:t> </w:t>
      </w:r>
      <w:r>
        <w:rPr>
          <w:sz w:val="20"/>
        </w:rPr>
        <w:t>of total revenues, for the</w:t>
      </w:r>
      <w:r>
        <w:rPr/>
        <w:t> </w:t>
      </w:r>
      <w:r>
        <w:rPr>
          <w:rFonts w:ascii="Times New Roman" w:hAnsi="Times New Roman"/>
          <w:sz w:val="20"/>
        </w:rPr>
        <w:t>three months ended July 31, 2026</w:t>
      </w:r>
      <w:r>
        <w:rPr/>
        <w:t xml:space="preserve"> </w:t>
      </w:r>
      <w:r>
        <w:rPr>
          <w:sz w:val="20"/>
        </w:rPr>
        <w:t>compared with $</w:t>
      </w:r>
      <w:r>
        <w:rPr>
          <w:rFonts w:ascii="Times New Roman" w:hAnsi="Times New Roman"/>
          <w:sz w:val="20"/>
        </w:rPr>
        <w:t>90.8</w:t>
      </w:r>
      <w:r>
        <w:rPr/>
        <w:t> </w:t>
      </w:r>
      <w:r>
        <w:rPr>
          <w:sz w:val="20"/>
        </w:rPr>
        <w:t>million, or</w:t>
      </w:r>
      <w:r>
        <w:rPr/>
        <w:t> </w:t>
      </w:r>
      <w:r>
        <w:rPr>
          <w:rFonts w:ascii="Times New Roman" w:hAnsi="Times New Roman"/>
          <w:sz w:val="20"/>
        </w:rPr>
        <w:t>11.3</w:t>
      </w:r>
      <w:r>
        <w:rPr>
          <w:sz w:val="20"/>
        </w:rPr>
        <w:t>% of total revenues, in the prior year period. For the nine months ended July 31, 2026, Total SGA was $</w:t>
      </w:r>
      <w:r>
        <w:rPr>
          <w:rFonts w:ascii="Times New Roman" w:hAnsi="Times New Roman"/>
          <w:sz w:val="20"/>
        </w:rPr>
        <w:t>254.9</w:t>
      </w:r>
      <w:r>
        <w:rPr/>
        <w:t> </w:t>
      </w:r>
      <w:r>
        <w:rPr>
          <w:sz w:val="20"/>
        </w:rPr>
        <w:t xml:space="preserve">million, or </w:t>
      </w:r>
      <w:r>
        <w:rPr>
          <w:rFonts w:ascii="Times New Roman" w:hAnsi="Times New Roman"/>
          <w:sz w:val="20"/>
        </w:rPr>
        <w:t>12.7</w:t>
      </w:r>
      <w:r>
        <w:rPr>
          <w:sz w:val="20"/>
        </w:rPr>
        <w:t>%</w:t>
      </w:r>
      <w:r>
        <w:rPr/>
        <w:t> </w:t>
      </w:r>
      <w:r>
        <w:rPr>
          <w:sz w:val="20"/>
        </w:rPr>
        <w:t>of total revenues, compared with $</w:t>
      </w:r>
      <w:r>
        <w:rPr>
          <w:rFonts w:ascii="Times New Roman" w:hAnsi="Times New Roman"/>
          <w:sz w:val="20"/>
        </w:rPr>
        <w:t>258.3</w:t>
      </w:r>
      <w:r>
        <w:rPr/>
        <w:t> </w:t>
      </w:r>
      <w:r>
        <w:rPr>
          <w:sz w:val="20"/>
        </w:rPr>
        <w:t>million, or</w:t>
      </w:r>
      <w:r>
        <w:rPr/>
        <w:t> </w:t>
      </w:r>
      <w:r>
        <w:rPr>
          <w:rFonts w:ascii="Times New Roman" w:hAnsi="Times New Roman"/>
          <w:sz w:val="20"/>
        </w:rPr>
        <w:t>12.0</w:t>
      </w:r>
      <w:r>
        <w:rPr>
          <w:sz w:val="20"/>
        </w:rPr>
        <w:t>% of total revenues, in the prior year period. The increase in Total SGA as a percentage of revenues was primarily due to lower sale of homes revenues compared with the prior year periods.</w:t>
      </w:r>
    </w:p>
    <w:p>
      <w:pPr>
        <w:pStyle w:val="TextBody"/>
        <w:bidi w:val="0"/>
        <w:spacing w:lineRule="atLeast" w:line="240" w:before="0" w:after="0"/>
        <w:ind w:left="1860" w:right="0" w:hanging="0"/>
        <w:jc w:val="left"/>
        <w:rPr/>
      </w:pPr>
      <w:r>
        <w:rPr/>
        <w:t> </w:t>
      </w:r>
    </w:p>
    <w:p>
      <w:pPr>
        <w:pStyle w:val="TextBody"/>
        <w:bidi w:val="0"/>
        <w:spacing w:lineRule="atLeast" w:line="240" w:before="0" w:after="0"/>
        <w:ind w:left="1860" w:right="0" w:hanging="0"/>
        <w:jc w:val="left"/>
        <w:rPr/>
      </w:pPr>
      <w:r>
        <w:rPr/>
        <w:t xml:space="preserve">● </w:t>
      </w:r>
      <w:r>
        <w:rPr>
          <w:sz w:val="20"/>
        </w:rPr>
        <w:t>Loss before income taxes</w:t>
      </w:r>
      <w:r>
        <w:rPr/>
        <w:t> </w:t>
      </w:r>
      <w:r>
        <w:rPr>
          <w:sz w:val="20"/>
        </w:rPr>
        <w:t>was $</w:t>
      </w:r>
      <w:r>
        <w:rPr>
          <w:rFonts w:ascii="Times New Roman" w:hAnsi="Times New Roman"/>
          <w:sz w:val="20"/>
        </w:rPr>
        <w:t>2.8</w:t>
      </w:r>
      <w:r>
        <w:rPr/>
        <w:t> </w:t>
      </w:r>
      <w:r>
        <w:rPr>
          <w:sz w:val="20"/>
        </w:rPr>
        <w:t>million for the</w:t>
      </w:r>
      <w:r>
        <w:rPr/>
        <w:t> </w:t>
      </w:r>
      <w:r>
        <w:rPr>
          <w:rFonts w:ascii="Times New Roman" w:hAnsi="Times New Roman"/>
          <w:sz w:val="20"/>
        </w:rPr>
        <w:t>three months ended July 31, 2026</w:t>
      </w:r>
      <w:r>
        <w:rPr/>
        <w:t> </w:t>
      </w:r>
      <w:r>
        <w:rPr>
          <w:sz w:val="20"/>
        </w:rPr>
        <w:t>compared with income before income taxes of $</w:t>
      </w:r>
      <w:r>
        <w:rPr>
          <w:rFonts w:ascii="Times New Roman" w:hAnsi="Times New Roman"/>
          <w:sz w:val="20"/>
        </w:rPr>
        <w:t>23.8</w:t>
      </w:r>
      <w:r>
        <w:rPr/>
        <w:t> </w:t>
      </w:r>
      <w:r>
        <w:rPr>
          <w:sz w:val="20"/>
        </w:rPr>
        <w:t>million in the prior year period. For the nine months ended July 31, 2026, income before income taxes</w:t>
      </w:r>
      <w:r>
        <w:rPr/>
        <w:t> </w:t>
      </w:r>
      <w:r>
        <w:rPr>
          <w:rFonts w:ascii="Times New Roman" w:hAnsi="Times New Roman"/>
          <w:sz w:val="20"/>
        </w:rPr>
        <w:t>decreased</w:t>
      </w:r>
      <w:r>
        <w:rPr/>
        <w:t> </w:t>
      </w:r>
      <w:r>
        <w:rPr>
          <w:sz w:val="20"/>
        </w:rPr>
        <w:t>to $</w:t>
      </w:r>
      <w:r>
        <w:rPr>
          <w:rFonts w:ascii="Times New Roman" w:hAnsi="Times New Roman"/>
          <w:sz w:val="20"/>
        </w:rPr>
        <w:t>26.3</w:t>
      </w:r>
      <w:r>
        <w:rPr/>
        <w:t> </w:t>
      </w:r>
      <w:r>
        <w:rPr>
          <w:sz w:val="20"/>
        </w:rPr>
        <w:t>million from $</w:t>
      </w:r>
      <w:r>
        <w:rPr>
          <w:rFonts w:ascii="Times New Roman" w:hAnsi="Times New Roman"/>
          <w:sz w:val="20"/>
        </w:rPr>
        <w:t>90.2</w:t>
      </w:r>
      <w:r>
        <w:rPr/>
        <w:t> </w:t>
      </w:r>
      <w:r>
        <w:rPr>
          <w:sz w:val="20"/>
        </w:rPr>
        <w:t>million for the same period in the prior year. Net loss available to common stockholders was $4.5 million, or $0.70 per diluted common share, for the three months ended July 31, 2026, compared with net income available to common stockholders of $13.9 million, or $1.99 per diluted common share, for the same period in the prior year. For the nine months ended July 31, 2026, net income available to common shareholders was $10.8 million, or $1.55 per diluted common share, compared with net income available to common stockholders of $56.5 million, or $7.94 per diluted common share, for the same period in the prior year. Basic earnings per share was a loss of $</w:t>
      </w:r>
      <w:r>
        <w:rPr>
          <w:rFonts w:ascii="Times New Roman" w:hAnsi="Times New Roman"/>
          <w:sz w:val="20"/>
        </w:rPr>
        <w:t>0.70</w:t>
      </w:r>
      <w:r>
        <w:rPr/>
        <w:t xml:space="preserve"> </w:t>
      </w:r>
      <w:r>
        <w:rPr>
          <w:sz w:val="20"/>
        </w:rPr>
        <w:t>for the three months ended July 31, 2026, compared with basic earnings per share of $</w:t>
      </w:r>
      <w:r>
        <w:rPr>
          <w:rFonts w:ascii="Times New Roman" w:hAnsi="Times New Roman"/>
          <w:sz w:val="20"/>
        </w:rPr>
        <w:t>2.14</w:t>
      </w:r>
      <w:r>
        <w:rPr/>
        <w:t xml:space="preserve"> </w:t>
      </w:r>
      <w:r>
        <w:rPr>
          <w:sz w:val="20"/>
        </w:rPr>
        <w:t>in the prior year period. For the nine months ended July 31, 2026, basic earnings per share decreased to $</w:t>
      </w:r>
      <w:r>
        <w:rPr>
          <w:rFonts w:ascii="Times New Roman" w:hAnsi="Times New Roman"/>
          <w:sz w:val="20"/>
        </w:rPr>
        <w:t>1.65</w:t>
      </w:r>
      <w:r>
        <w:rPr/>
        <w:t> </w:t>
      </w:r>
      <w:r>
        <w:rPr>
          <w:sz w:val="20"/>
        </w:rPr>
        <w:t>from $</w:t>
      </w:r>
      <w:r>
        <w:rPr>
          <w:rFonts w:ascii="Times New Roman" w:hAnsi="Times New Roman"/>
          <w:sz w:val="20"/>
        </w:rPr>
        <w:t>8.55</w:t>
      </w:r>
      <w:r>
        <w:rPr/>
        <w:t> </w:t>
      </w:r>
      <w:r>
        <w:rPr>
          <w:sz w:val="20"/>
        </w:rPr>
        <w:t>in the prior year period. Income before income taxes for the</w:t>
      </w:r>
      <w:r>
        <w:rPr/>
        <w:t> </w:t>
      </w:r>
      <w:r>
        <w:rPr>
          <w:rFonts w:ascii="Times New Roman" w:hAnsi="Times New Roman"/>
          <w:sz w:val="20"/>
        </w:rPr>
        <w:t>nine months ended July 31, 2026</w:t>
      </w:r>
      <w:r>
        <w:rPr/>
        <w:t> </w:t>
      </w:r>
      <w:r>
        <w:rPr>
          <w:sz w:val="20"/>
        </w:rPr>
        <w:t xml:space="preserve">and </w:t>
      </w:r>
      <w:r>
        <w:rPr>
          <w:rFonts w:ascii="Times New Roman" w:hAnsi="Times New Roman"/>
          <w:sz w:val="20"/>
        </w:rPr>
        <w:t>2025</w:t>
      </w:r>
      <w:r>
        <w:rPr/>
        <w:t xml:space="preserve"> </w:t>
      </w:r>
      <w:r>
        <w:rPr>
          <w:sz w:val="20"/>
        </w:rPr>
        <w:t>included a $26.8 million gain on consolidation of joint ventures and a $22.7</w:t>
      </w:r>
      <w:r>
        <w:rPr/>
        <w:t> </w:t>
      </w:r>
      <w:r>
        <w:rPr>
          <w:sz w:val="20"/>
        </w:rPr>
        <w:t>million</w:t>
      </w:r>
      <w:r>
        <w:rPr/>
        <w:t> </w:t>
      </w:r>
      <w:r>
        <w:rPr>
          <w:sz w:val="20"/>
        </w:rPr>
        <w:t>gain on the contribution of assets to a new joint venture, respectively, as well as land sales of $68.2 million and $20.6 million, respectively.</w:t>
      </w:r>
      <w:r>
        <w:rPr/>
        <w:t> </w:t>
      </w:r>
    </w:p>
    <w:p>
      <w:pPr>
        <w:pStyle w:val="TextBody"/>
        <w:bidi w:val="0"/>
        <w:spacing w:lineRule="atLeast" w:line="288"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spacing w:lineRule="atLeast" w:line="288" w:before="0" w:after="0"/>
        <w:jc w:val="left"/>
        <w:rPr/>
      </w:pPr>
      <w:hyperlink w:anchor="TOC_TableofContent">
        <w:r>
          <w:rPr>
            <w:rStyle w:val="InternetLink"/>
            <w:strike w:val="false"/>
            <w:dstrike w:val="false"/>
            <w:color w:val="0000FF"/>
            <w:sz w:val="20"/>
            <w:u w:val="single"/>
            <w:effect w:val="none"/>
          </w:rPr>
          <w:t>Table of Contents</w:t>
        </w:r>
      </w:hyperlink>
    </w:p>
    <w:p>
      <w:pPr>
        <w:pStyle w:val="TextBody"/>
        <w:bidi w:val="0"/>
        <w:spacing w:lineRule="atLeast" w:line="240" w:before="0" w:after="0"/>
        <w:ind w:left="1860" w:right="0" w:hanging="0"/>
        <w:jc w:val="left"/>
        <w:rPr/>
      </w:pPr>
      <w:r>
        <w:rPr/>
        <w:t> </w:t>
      </w:r>
    </w:p>
    <w:p>
      <w:pPr>
        <w:pStyle w:val="TextBody"/>
        <w:bidi w:val="0"/>
        <w:spacing w:lineRule="atLeast" w:line="240" w:before="0" w:after="0"/>
        <w:ind w:left="1860" w:right="0" w:hanging="0"/>
        <w:jc w:val="left"/>
        <w:rPr/>
      </w:pPr>
      <w:r>
        <w:rPr/>
        <w:t xml:space="preserve">● </w:t>
      </w:r>
      <w:r>
        <w:rPr>
          <w:sz w:val="20"/>
        </w:rPr>
        <w:t xml:space="preserve">Net domestic contracts decreased </w:t>
      </w:r>
      <w:r>
        <w:rPr>
          <w:rFonts w:ascii="Times New Roman" w:hAnsi="Times New Roman"/>
          <w:sz w:val="20"/>
        </w:rPr>
        <w:t>4.6</w:t>
      </w:r>
      <w:r>
        <w:rPr>
          <w:sz w:val="20"/>
        </w:rPr>
        <w:t xml:space="preserve">% and </w:t>
      </w:r>
      <w:r>
        <w:rPr>
          <w:rFonts w:ascii="Times New Roman" w:hAnsi="Times New Roman"/>
          <w:sz w:val="20"/>
        </w:rPr>
        <w:t>0.1</w:t>
      </w:r>
      <w:r>
        <w:rPr>
          <w:sz w:val="20"/>
        </w:rPr>
        <w:t xml:space="preserve">% for the </w:t>
      </w:r>
      <w:r>
        <w:rPr>
          <w:rFonts w:ascii="Times New Roman" w:hAnsi="Times New Roman"/>
          <w:sz w:val="20"/>
        </w:rPr>
        <w:t>three and nine</w:t>
      </w:r>
      <w:r>
        <w:rPr/>
        <w:t xml:space="preserve"> </w:t>
      </w:r>
      <w:r>
        <w:rPr>
          <w:sz w:val="20"/>
        </w:rPr>
        <w:t xml:space="preserve">months ended </w:t>
      </w:r>
      <w:r>
        <w:rPr>
          <w:rFonts w:ascii="Times New Roman" w:hAnsi="Times New Roman"/>
          <w:sz w:val="20"/>
        </w:rPr>
        <w:t>July 31, 2026</w:t>
      </w:r>
      <w:r>
        <w:rPr>
          <w:sz w:val="20"/>
        </w:rPr>
        <w:t>, respectively,</w:t>
      </w:r>
      <w:r>
        <w:rPr/>
        <w:t> </w:t>
      </w:r>
      <w:r>
        <w:rPr>
          <w:sz w:val="20"/>
        </w:rPr>
        <w:t>compared with the same periods in the prior year.</w:t>
      </w:r>
      <w:r>
        <w:rPr/>
        <w:t> </w:t>
      </w:r>
      <w:r>
        <w:rPr>
          <w:sz w:val="20"/>
        </w:rPr>
        <w:t>The decreases were primarily driven by more cautious buyer behavior resulting from affordability concerns and an uncertain macroeconomic environment.</w:t>
      </w:r>
    </w:p>
    <w:p>
      <w:pPr>
        <w:pStyle w:val="TextBody"/>
        <w:bidi w:val="0"/>
        <w:spacing w:lineRule="atLeast" w:line="288" w:before="0" w:after="0"/>
        <w:jc w:val="left"/>
        <w:rPr/>
      </w:pPr>
      <w:r>
        <w:rPr/>
        <w:t> </w:t>
      </w:r>
    </w:p>
    <w:p>
      <w:pPr>
        <w:pStyle w:val="TextBody"/>
        <w:bidi w:val="0"/>
        <w:spacing w:lineRule="atLeast" w:line="240" w:before="0" w:after="0"/>
        <w:ind w:left="1858" w:right="0" w:hanging="0"/>
        <w:jc w:val="left"/>
        <w:rPr/>
      </w:pPr>
      <w:r>
        <w:rPr/>
        <w:t xml:space="preserve">● </w:t>
      </w:r>
      <w:r>
        <w:rPr>
          <w:sz w:val="20"/>
        </w:rPr>
        <w:t xml:space="preserve">Net domestic contracts per active selling community decreased to </w:t>
      </w:r>
      <w:r>
        <w:rPr>
          <w:rFonts w:ascii="Times New Roman" w:hAnsi="Times New Roman"/>
          <w:sz w:val="20"/>
        </w:rPr>
        <w:t>9.4</w:t>
      </w:r>
      <w:r>
        <w:rPr/>
        <w:t xml:space="preserve"> </w:t>
      </w:r>
      <w:r>
        <w:rPr>
          <w:sz w:val="20"/>
        </w:rPr>
        <w:t xml:space="preserve">for the three months ended </w:t>
      </w:r>
      <w:r>
        <w:rPr>
          <w:rFonts w:ascii="Times New Roman" w:hAnsi="Times New Roman"/>
          <w:sz w:val="20"/>
        </w:rPr>
        <w:t>July 31, 2026</w:t>
      </w:r>
      <w:r>
        <w:rPr/>
        <w:t xml:space="preserve"> </w:t>
      </w:r>
      <w:r>
        <w:rPr>
          <w:sz w:val="20"/>
        </w:rPr>
        <w:t>compared to</w:t>
      </w:r>
      <w:r>
        <w:rPr/>
        <w:t> </w:t>
      </w:r>
      <w:r>
        <w:rPr>
          <w:rFonts w:ascii="Times New Roman" w:hAnsi="Times New Roman"/>
          <w:sz w:val="20"/>
        </w:rPr>
        <w:t>9.8</w:t>
      </w:r>
      <w:r>
        <w:rPr/>
        <w:t> </w:t>
      </w:r>
      <w:r>
        <w:rPr>
          <w:sz w:val="20"/>
        </w:rPr>
        <w:t xml:space="preserve">for the same period in the prior year and were relatively flat at 31.0 and </w:t>
      </w:r>
      <w:r>
        <w:rPr>
          <w:rFonts w:ascii="Times New Roman" w:hAnsi="Times New Roman"/>
          <w:sz w:val="20"/>
        </w:rPr>
        <w:t>30.8</w:t>
      </w:r>
      <w:r>
        <w:rPr/>
        <w:t xml:space="preserve"> </w:t>
      </w:r>
      <w:r>
        <w:rPr>
          <w:sz w:val="20"/>
        </w:rPr>
        <w:t>for the nine months ended July 31, 2026 and 2025, respectively.</w:t>
      </w:r>
    </w:p>
    <w:p>
      <w:pPr>
        <w:pStyle w:val="TextBody"/>
        <w:bidi w:val="0"/>
        <w:spacing w:lineRule="atLeast" w:line="240" w:before="0" w:after="0"/>
        <w:ind w:left="1858" w:right="0" w:hanging="0"/>
        <w:jc w:val="left"/>
        <w:rPr/>
      </w:pPr>
      <w:r>
        <w:rPr/>
        <w:t> </w:t>
      </w:r>
    </w:p>
    <w:p>
      <w:pPr>
        <w:pStyle w:val="TextBody"/>
        <w:bidi w:val="0"/>
        <w:spacing w:lineRule="atLeast" w:line="240" w:before="0" w:after="0"/>
        <w:ind w:left="1858" w:right="0" w:hanging="0"/>
        <w:jc w:val="left"/>
        <w:rPr/>
      </w:pPr>
      <w:r>
        <w:rPr/>
        <w:t xml:space="preserve">● </w:t>
      </w:r>
      <w:r>
        <w:rPr>
          <w:sz w:val="20"/>
        </w:rPr>
        <w:t>Domestic contract backlog increased</w:t>
      </w:r>
      <w:r>
        <w:rPr/>
        <w:t> </w:t>
      </w:r>
      <w:r>
        <w:rPr>
          <w:sz w:val="20"/>
        </w:rPr>
        <w:t xml:space="preserve">from </w:t>
      </w:r>
      <w:r>
        <w:rPr>
          <w:rFonts w:ascii="Times New Roman" w:hAnsi="Times New Roman"/>
          <w:sz w:val="20"/>
        </w:rPr>
        <w:t>1,491</w:t>
      </w:r>
      <w:r>
        <w:rPr/>
        <w:t> </w:t>
      </w:r>
      <w:r>
        <w:rPr>
          <w:sz w:val="20"/>
        </w:rPr>
        <w:t xml:space="preserve">homes at </w:t>
      </w:r>
      <w:r>
        <w:rPr>
          <w:rFonts w:ascii="Times New Roman" w:hAnsi="Times New Roman"/>
          <w:sz w:val="20"/>
        </w:rPr>
        <w:t>July 31, 2025</w:t>
      </w:r>
      <w:r>
        <w:rPr/>
        <w:t xml:space="preserve"> </w:t>
      </w:r>
      <w:r>
        <w:rPr>
          <w:sz w:val="20"/>
        </w:rPr>
        <w:t xml:space="preserve">to </w:t>
      </w:r>
      <w:r>
        <w:rPr>
          <w:rFonts w:ascii="Times New Roman" w:hAnsi="Times New Roman"/>
          <w:sz w:val="20"/>
        </w:rPr>
        <w:t>1,509</w:t>
      </w:r>
      <w:r>
        <w:rPr/>
        <w:t xml:space="preserve"> </w:t>
      </w:r>
      <w:r>
        <w:rPr>
          <w:sz w:val="20"/>
        </w:rPr>
        <w:t xml:space="preserve">homes at </w:t>
      </w:r>
      <w:r>
        <w:rPr>
          <w:rFonts w:ascii="Times New Roman" w:hAnsi="Times New Roman"/>
          <w:sz w:val="20"/>
        </w:rPr>
        <w:t>July 31, 2026</w:t>
      </w:r>
      <w:r>
        <w:rPr>
          <w:sz w:val="20"/>
        </w:rPr>
        <w:t xml:space="preserve">, and the dollar value of domestic contract backlog increased to $881.9 million, a 5.1% </w:t>
      </w:r>
      <w:r>
        <w:rPr>
          <w:rFonts w:ascii="Times New Roman" w:hAnsi="Times New Roman"/>
          <w:sz w:val="20"/>
        </w:rPr>
        <w:t>increase</w:t>
      </w:r>
      <w:r>
        <w:rPr/>
        <w:t xml:space="preserve"> </w:t>
      </w:r>
      <w:r>
        <w:rPr>
          <w:sz w:val="20"/>
        </w:rPr>
        <w:t>in dollar value compared to the prior year. Although</w:t>
      </w:r>
      <w:r>
        <w:rPr/>
        <w:t> </w:t>
      </w:r>
      <w:r>
        <w:rPr>
          <w:sz w:val="20"/>
        </w:rPr>
        <w:t>we remain focused on the sale of QMI homes, there has been a subtle shift toward more to-be-built home contracts, which in general have higher gross margins than QMI homes.</w:t>
      </w:r>
    </w:p>
    <w:p>
      <w:pPr>
        <w:pStyle w:val="TextBody"/>
        <w:bidi w:val="0"/>
        <w:spacing w:lineRule="atLeast" w:line="240" w:before="0" w:after="0"/>
        <w:ind w:left="1860" w:right="0" w:hanging="0"/>
        <w:jc w:val="left"/>
        <w:rPr/>
      </w:pPr>
      <w:r>
        <w:rPr/>
        <w:t> </w:t>
      </w:r>
    </w:p>
    <w:p>
      <w:pPr>
        <w:pStyle w:val="TextBody"/>
        <w:bidi w:val="0"/>
        <w:spacing w:lineRule="atLeast" w:line="240" w:before="0" w:after="0"/>
        <w:ind w:left="180" w:right="0" w:hanging="180"/>
        <w:jc w:val="left"/>
        <w:rPr>
          <w:b/>
          <w:sz w:val="20"/>
        </w:rPr>
      </w:pPr>
      <w:r>
        <w:rPr>
          <w:b/>
          <w:sz w:val="20"/>
        </w:rPr>
        <w:t xml:space="preserve">Results of Operations </w:t>
      </w:r>
    </w:p>
    <w:p>
      <w:pPr>
        <w:pStyle w:val="TextBody"/>
        <w:bidi w:val="0"/>
        <w:spacing w:lineRule="atLeast" w:line="240" w:before="200" w:after="200"/>
        <w:jc w:val="left"/>
        <w:rPr>
          <w:b/>
          <w:i/>
          <w:sz w:val="20"/>
        </w:rPr>
      </w:pPr>
      <w:r>
        <w:rPr>
          <w:b/>
          <w:i/>
          <w:sz w:val="20"/>
        </w:rPr>
        <w:t>Total Revenues</w:t>
      </w:r>
    </w:p>
    <w:p>
      <w:pPr>
        <w:pStyle w:val="TextBody"/>
        <w:bidi w:val="0"/>
        <w:spacing w:lineRule="atLeast" w:line="240" w:before="0" w:after="200"/>
        <w:ind w:left="0" w:right="0" w:firstLine="900"/>
        <w:jc w:val="left"/>
        <w:rPr/>
      </w:pPr>
      <w:r>
        <w:rPr>
          <w:sz w:val="20"/>
        </w:rPr>
        <w:t>Compared to the same period in the prior year, revenues (decreased)</w:t>
      </w:r>
      <w:r>
        <w:rPr/>
        <w:t> </w:t>
      </w:r>
      <w:r>
        <w:rPr>
          <w:sz w:val="20"/>
        </w:rPr>
        <w:t>increased as follows:</w:t>
      </w:r>
    </w:p>
    <w:tbl>
      <w:tblPr>
        <w:tblW w:w="5330" w:type="dxa"/>
        <w:jc w:val="left"/>
        <w:tblInd w:w="0" w:type="dxa"/>
        <w:tblLayout w:type="fixed"/>
        <w:tblCellMar>
          <w:top w:w="0" w:type="dxa"/>
          <w:left w:w="0" w:type="dxa"/>
          <w:bottom w:w="28" w:type="dxa"/>
          <w:right w:w="0" w:type="dxa"/>
        </w:tblCellMar>
      </w:tblPr>
      <w:tblGrid>
        <w:gridCol w:w="2510"/>
        <w:gridCol w:w="125"/>
        <w:gridCol w:w="695"/>
        <w:gridCol w:w="60"/>
        <w:gridCol w:w="143"/>
        <w:gridCol w:w="777"/>
        <w:gridCol w:w="185"/>
        <w:gridCol w:w="125"/>
        <w:gridCol w:w="710"/>
      </w:tblGrid>
      <w:tr>
        <w:trPr/>
        <w:tc>
          <w:tcPr>
            <w:tcW w:w="2510" w:type="dxa"/>
            <w:tcBorders>
              <w:bottom w:val="single" w:sz="8" w:space="0" w:color="000000"/>
            </w:tcBorders>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2695" w:type="dxa"/>
            <w:gridSpan w:val="7"/>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r>
      <w:tr>
        <w:trPr/>
        <w:tc>
          <w:tcPr>
            <w:tcW w:w="251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69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920" w:type="dxa"/>
            <w:gridSpan w:val="2"/>
            <w:tcBorders>
              <w:top w:val="single" w:sz="8" w:space="0" w:color="000000"/>
            </w:tcBorders>
            <w:tcMar>
              <w:top w:w="28" w:type="dxa"/>
              <w:bottom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Variance</w:t>
            </w:r>
          </w:p>
        </w:tc>
        <w:tc>
          <w:tcPr>
            <w:tcW w:w="18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710" w:type="dxa"/>
            <w:tcBorders>
              <w:top w:val="single" w:sz="8" w:space="0" w:color="000000"/>
            </w:tcBorders>
            <w:tcMar>
              <w:top w:w="28" w:type="dxa"/>
              <w:bottom w:w="0" w:type="dxa"/>
            </w:tcMar>
            <w:vAlign w:val="center"/>
          </w:tcPr>
          <w:p>
            <w:pPr>
              <w:pStyle w:val="TableContents"/>
              <w:bidi w:val="0"/>
              <w:spacing w:before="0" w:after="0"/>
              <w:jc w:val="left"/>
              <w:rPr/>
            </w:pPr>
            <w:r>
              <w:rPr/>
              <w:t> </w:t>
            </w:r>
          </w:p>
        </w:tc>
      </w:tr>
      <w:tr>
        <w:trPr/>
        <w:tc>
          <w:tcPr>
            <w:tcW w:w="2510" w:type="dxa"/>
            <w:tcBorders/>
            <w:tcMar>
              <w:bottom w:w="0" w:type="dxa"/>
            </w:tcMar>
            <w:vAlign w:val="center"/>
          </w:tcPr>
          <w:p>
            <w:pPr>
              <w:pStyle w:val="TableContents"/>
              <w:bidi w:val="0"/>
              <w:spacing w:before="0" w:after="0"/>
              <w:jc w:val="left"/>
              <w:rPr/>
            </w:pPr>
            <w:r>
              <w:rPr/>
              <w:t> </w:t>
            </w:r>
          </w:p>
        </w:tc>
        <w:tc>
          <w:tcPr>
            <w:tcW w:w="125" w:type="dxa"/>
            <w:tcBorders/>
            <w:tcMar>
              <w:bottom w:w="0" w:type="dxa"/>
            </w:tcMar>
            <w:vAlign w:val="center"/>
          </w:tcPr>
          <w:p>
            <w:pPr>
              <w:pStyle w:val="TableContents"/>
              <w:bidi w:val="0"/>
              <w:spacing w:before="0" w:after="0"/>
              <w:jc w:val="left"/>
              <w:rPr/>
            </w:pPr>
            <w:r>
              <w:rPr/>
              <w:t> </w:t>
            </w:r>
          </w:p>
        </w:tc>
        <w:tc>
          <w:tcPr>
            <w:tcW w:w="69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920" w:type="dxa"/>
            <w:gridSpan w:val="2"/>
            <w:tcBorders/>
            <w:tcMar>
              <w:bottom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85" w:type="dxa"/>
            <w:tcBorders/>
            <w:tcMar>
              <w:bottom w:w="0" w:type="dxa"/>
            </w:tcMar>
            <w:vAlign w:val="center"/>
          </w:tcPr>
          <w:p>
            <w:pPr>
              <w:pStyle w:val="TableContents"/>
              <w:bidi w:val="0"/>
              <w:spacing w:before="0" w:after="0"/>
              <w:jc w:val="left"/>
              <w:rPr/>
            </w:pPr>
            <w:r>
              <w:rPr/>
              <w:t> </w:t>
            </w:r>
          </w:p>
        </w:tc>
        <w:tc>
          <w:tcPr>
            <w:tcW w:w="125" w:type="dxa"/>
            <w:tcBorders/>
            <w:tcMar>
              <w:bottom w:w="0" w:type="dxa"/>
            </w:tcMar>
            <w:vAlign w:val="center"/>
          </w:tcPr>
          <w:p>
            <w:pPr>
              <w:pStyle w:val="TableContents"/>
              <w:bidi w:val="0"/>
              <w:spacing w:before="0" w:after="0"/>
              <w:jc w:val="left"/>
              <w:rPr/>
            </w:pPr>
            <w:r>
              <w:rPr/>
              <w:t> </w:t>
            </w:r>
          </w:p>
        </w:tc>
        <w:tc>
          <w:tcPr>
            <w:tcW w:w="710" w:type="dxa"/>
            <w:tcBorders/>
            <w:tcMar>
              <w:bottom w:w="0" w:type="dxa"/>
            </w:tcMar>
            <w:vAlign w:val="center"/>
          </w:tcPr>
          <w:p>
            <w:pPr>
              <w:pStyle w:val="TableContents"/>
              <w:bidi w:val="0"/>
              <w:spacing w:before="0" w:after="0"/>
              <w:jc w:val="left"/>
              <w:rPr/>
            </w:pPr>
            <w:r>
              <w:rPr/>
              <w:t> </w:t>
            </w:r>
          </w:p>
        </w:tc>
      </w:tr>
      <w:tr>
        <w:trPr/>
        <w:tc>
          <w:tcPr>
            <w:tcW w:w="2510" w:type="dxa"/>
            <w:tcBorders/>
            <w:tcMar>
              <w:bottom w:w="0" w:type="dxa"/>
            </w:tcMar>
            <w:vAlign w:val="center"/>
          </w:tcPr>
          <w:p>
            <w:pPr>
              <w:pStyle w:val="TableContents"/>
              <w:bidi w:val="0"/>
              <w:spacing w:before="0" w:after="0"/>
              <w:jc w:val="left"/>
              <w:rPr/>
            </w:pPr>
            <w:r>
              <w:rPr/>
              <w:t> </w:t>
            </w:r>
          </w:p>
        </w:tc>
        <w:tc>
          <w:tcPr>
            <w:tcW w:w="820" w:type="dxa"/>
            <w:gridSpan w:val="2"/>
            <w:tcBorders/>
            <w:tcMar>
              <w:bottom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July 31,</w:t>
            </w:r>
          </w:p>
        </w:tc>
        <w:tc>
          <w:tcPr>
            <w:tcW w:w="60" w:type="dxa"/>
            <w:tcBorders/>
            <w:tcMar>
              <w:bottom w:w="0" w:type="dxa"/>
            </w:tcMar>
            <w:vAlign w:val="center"/>
          </w:tcPr>
          <w:p>
            <w:pPr>
              <w:pStyle w:val="TableContents"/>
              <w:bidi w:val="0"/>
              <w:spacing w:before="0" w:after="0"/>
              <w:jc w:val="left"/>
              <w:rPr/>
            </w:pPr>
            <w:r>
              <w:rPr/>
              <w:t> </w:t>
            </w:r>
          </w:p>
        </w:tc>
        <w:tc>
          <w:tcPr>
            <w:tcW w:w="920" w:type="dxa"/>
            <w:gridSpan w:val="2"/>
            <w:tcBorders/>
            <w:tcMar>
              <w:bottom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Compared</w:t>
            </w:r>
          </w:p>
        </w:tc>
        <w:tc>
          <w:tcPr>
            <w:tcW w:w="185" w:type="dxa"/>
            <w:tcBorders/>
            <w:tcMar>
              <w:bottom w:w="0" w:type="dxa"/>
            </w:tcMar>
            <w:vAlign w:val="center"/>
          </w:tcPr>
          <w:p>
            <w:pPr>
              <w:pStyle w:val="TableContents"/>
              <w:bidi w:val="0"/>
              <w:spacing w:before="0" w:after="0"/>
              <w:jc w:val="left"/>
              <w:rPr/>
            </w:pPr>
            <w:r>
              <w:rPr/>
              <w:t> </w:t>
            </w:r>
          </w:p>
        </w:tc>
        <w:tc>
          <w:tcPr>
            <w:tcW w:w="835" w:type="dxa"/>
            <w:gridSpan w:val="2"/>
            <w:tcBorders/>
            <w:tcMar>
              <w:bottom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July 31,</w:t>
            </w:r>
          </w:p>
        </w:tc>
      </w:tr>
      <w:tr>
        <w:trPr/>
        <w:tc>
          <w:tcPr>
            <w:tcW w:w="2510" w:type="dxa"/>
            <w:tcBorders>
              <w:bottom w:val="single" w:sz="8" w:space="0" w:color="000000"/>
            </w:tcBorders>
            <w:vAlign w:val="center"/>
          </w:tcPr>
          <w:p>
            <w:pPr>
              <w:pStyle w:val="TableContents"/>
              <w:bidi w:val="0"/>
              <w:spacing w:before="0" w:after="0"/>
              <w:jc w:val="left"/>
              <w:rPr>
                <w:rFonts w:ascii="Times New Roman" w:hAnsi="Times New Roman"/>
                <w:sz w:val="20"/>
              </w:rPr>
            </w:pPr>
            <w:r>
              <w:rPr>
                <w:rFonts w:ascii="Times New Roman" w:hAnsi="Times New Roman"/>
                <w:sz w:val="20"/>
              </w:rPr>
              <w:t>(Dollars in thousands)</w:t>
            </w:r>
          </w:p>
        </w:tc>
        <w:tc>
          <w:tcPr>
            <w:tcW w:w="820" w:type="dxa"/>
            <w:gridSpan w:val="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0" w:type="dxa"/>
            <w:tcBorders>
              <w:bottom w:val="single" w:sz="8" w:space="0" w:color="000000"/>
            </w:tcBorders>
            <w:vAlign w:val="center"/>
          </w:tcPr>
          <w:p>
            <w:pPr>
              <w:pStyle w:val="TableContents"/>
              <w:bidi w:val="0"/>
              <w:spacing w:before="0" w:after="0"/>
              <w:jc w:val="left"/>
              <w:rPr/>
            </w:pPr>
            <w:r>
              <w:rPr/>
              <w:t> </w:t>
            </w:r>
          </w:p>
        </w:tc>
        <w:tc>
          <w:tcPr>
            <w:tcW w:w="920" w:type="dxa"/>
            <w:gridSpan w:val="2"/>
            <w:tcBorders>
              <w:bottom w:val="single" w:sz="8" w:space="0" w:color="000000"/>
            </w:tcBorders>
            <w:vAlign w:val="center"/>
          </w:tcPr>
          <w:p>
            <w:pPr>
              <w:pStyle w:val="TableContents"/>
              <w:bidi w:val="0"/>
              <w:spacing w:before="0" w:after="0"/>
              <w:jc w:val="center"/>
              <w:rPr>
                <w:sz w:val="20"/>
              </w:rPr>
            </w:pPr>
            <w:r>
              <w:rPr>
                <w:rFonts w:ascii="Times New Roman" w:hAnsi="Times New Roman"/>
                <w:b/>
                <w:sz w:val="20"/>
              </w:rPr>
              <w:t>to</w:t>
            </w:r>
            <w:r>
              <w:rPr>
                <w:sz w:val="20"/>
              </w:rPr>
              <w:t> </w:t>
            </w:r>
            <w:r>
              <w:rPr>
                <w:rFonts w:ascii="Times New Roman" w:hAnsi="Times New Roman"/>
                <w:b/>
                <w:sz w:val="20"/>
              </w:rPr>
              <w:t>2025</w:t>
            </w:r>
          </w:p>
        </w:tc>
        <w:tc>
          <w:tcPr>
            <w:tcW w:w="185" w:type="dxa"/>
            <w:tcBorders>
              <w:bottom w:val="single" w:sz="8" w:space="0" w:color="000000"/>
            </w:tcBorders>
            <w:vAlign w:val="center"/>
          </w:tcPr>
          <w:p>
            <w:pPr>
              <w:pStyle w:val="TableContents"/>
              <w:bidi w:val="0"/>
              <w:spacing w:before="0" w:after="0"/>
              <w:jc w:val="left"/>
              <w:rPr/>
            </w:pPr>
            <w:r>
              <w:rPr/>
              <w:t> </w:t>
            </w:r>
          </w:p>
        </w:tc>
        <w:tc>
          <w:tcPr>
            <w:tcW w:w="835" w:type="dxa"/>
            <w:gridSpan w:val="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r>
      <w:tr>
        <w:trPr/>
        <w:tc>
          <w:tcPr>
            <w:tcW w:w="2510"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Homebuilding:</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69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43"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777"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8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71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r>
      <w:tr>
        <w:trPr/>
        <w:tc>
          <w:tcPr>
            <w:tcW w:w="251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Sale of homes</w:t>
            </w:r>
          </w:p>
        </w:tc>
        <w:tc>
          <w:tcPr>
            <w:tcW w:w="12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679,042</w:t>
            </w:r>
          </w:p>
        </w:tc>
        <w:tc>
          <w:tcPr>
            <w:tcW w:w="60" w:type="dxa"/>
            <w:tcBorders/>
            <w:shd w:fill="FFFFFF" w:val="clear"/>
            <w:tcMar>
              <w:bottom w:w="0" w:type="dxa"/>
            </w:tcMar>
            <w:vAlign w:val="center"/>
          </w:tcPr>
          <w:p>
            <w:pPr>
              <w:pStyle w:val="TableContents"/>
              <w:bidi w:val="0"/>
              <w:spacing w:before="0" w:after="0"/>
              <w:jc w:val="right"/>
              <w:rPr/>
            </w:pPr>
            <w:r>
              <w:rPr/>
              <w:t> </w:t>
            </w:r>
          </w:p>
        </w:tc>
        <w:tc>
          <w:tcPr>
            <w:tcW w:w="143"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77"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(90,008)</w:t>
            </w:r>
          </w:p>
        </w:tc>
        <w:tc>
          <w:tcPr>
            <w:tcW w:w="185"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1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769,050</w:t>
            </w:r>
          </w:p>
        </w:tc>
      </w:tr>
      <w:tr>
        <w:trPr/>
        <w:tc>
          <w:tcPr>
            <w:tcW w:w="251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Land sales</w:t>
            </w:r>
          </w:p>
        </w:tc>
        <w:tc>
          <w:tcPr>
            <w:tcW w:w="125" w:type="dxa"/>
            <w:tcBorders/>
            <w:shd w:fill="CCEEFF" w:val="clear"/>
            <w:tcMar>
              <w:bottom w:w="0" w:type="dxa"/>
            </w:tcMar>
            <w:vAlign w:val="center"/>
          </w:tcPr>
          <w:p>
            <w:pPr>
              <w:pStyle w:val="TableContents"/>
              <w:bidi w:val="0"/>
              <w:spacing w:before="0" w:after="0"/>
              <w:jc w:val="left"/>
              <w:rPr/>
            </w:pPr>
            <w:r>
              <w:rPr/>
              <w:t> </w:t>
            </w:r>
          </w:p>
        </w:tc>
        <w:tc>
          <w:tcPr>
            <w:tcW w:w="69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60" w:type="dxa"/>
            <w:tcBorders/>
            <w:shd w:fill="CCEEFF" w:val="clear"/>
            <w:tcMar>
              <w:bottom w:w="0" w:type="dxa"/>
            </w:tcMar>
            <w:vAlign w:val="center"/>
          </w:tcPr>
          <w:p>
            <w:pPr>
              <w:pStyle w:val="TableContents"/>
              <w:bidi w:val="0"/>
              <w:spacing w:before="0" w:after="0"/>
              <w:jc w:val="right"/>
              <w:rPr/>
            </w:pPr>
            <w:r>
              <w:rPr/>
              <w:t> </w:t>
            </w:r>
          </w:p>
        </w:tc>
        <w:tc>
          <w:tcPr>
            <w:tcW w:w="143" w:type="dxa"/>
            <w:tcBorders/>
            <w:shd w:fill="CCEEFF" w:val="clear"/>
            <w:tcMar>
              <w:bottom w:w="0" w:type="dxa"/>
            </w:tcMar>
            <w:vAlign w:val="center"/>
          </w:tcPr>
          <w:p>
            <w:pPr>
              <w:pStyle w:val="TableContents"/>
              <w:bidi w:val="0"/>
              <w:spacing w:before="0" w:after="0"/>
              <w:jc w:val="right"/>
              <w:rPr/>
            </w:pPr>
            <w:r>
              <w:rPr/>
              <w:t> </w:t>
            </w:r>
          </w:p>
        </w:tc>
        <w:tc>
          <w:tcPr>
            <w:tcW w:w="777"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(1,183)</w:t>
            </w:r>
          </w:p>
        </w:tc>
        <w:tc>
          <w:tcPr>
            <w:tcW w:w="185"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0"/>
              <w:jc w:val="right"/>
              <w:rPr/>
            </w:pPr>
            <w:r>
              <w:rPr/>
              <w:t> </w:t>
            </w:r>
          </w:p>
        </w:tc>
        <w:tc>
          <w:tcPr>
            <w:tcW w:w="71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1,193</w:t>
            </w:r>
          </w:p>
        </w:tc>
      </w:tr>
      <w:tr>
        <w:trPr/>
        <w:tc>
          <w:tcPr>
            <w:tcW w:w="251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Other revenues</w:t>
            </w:r>
          </w:p>
        </w:tc>
        <w:tc>
          <w:tcPr>
            <w:tcW w:w="125" w:type="dxa"/>
            <w:tcBorders/>
            <w:shd w:fill="FFFFFF" w:val="clear"/>
            <w:tcMar>
              <w:bottom w:w="0" w:type="dxa"/>
            </w:tcMar>
            <w:vAlign w:val="center"/>
          </w:tcPr>
          <w:p>
            <w:pPr>
              <w:pStyle w:val="TableContents"/>
              <w:bidi w:val="0"/>
              <w:spacing w:before="0" w:after="0"/>
              <w:jc w:val="left"/>
              <w:rPr/>
            </w:pPr>
            <w:r>
              <w:rPr/>
              <w:t> </w:t>
            </w:r>
          </w:p>
        </w:tc>
        <w:tc>
          <w:tcPr>
            <w:tcW w:w="69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3,022</w:t>
            </w:r>
          </w:p>
        </w:tc>
        <w:tc>
          <w:tcPr>
            <w:tcW w:w="60" w:type="dxa"/>
            <w:tcBorders/>
            <w:shd w:fill="FFFFFF" w:val="clear"/>
            <w:tcMar>
              <w:bottom w:w="0" w:type="dxa"/>
            </w:tcMar>
            <w:vAlign w:val="center"/>
          </w:tcPr>
          <w:p>
            <w:pPr>
              <w:pStyle w:val="TableContents"/>
              <w:bidi w:val="0"/>
              <w:spacing w:before="0" w:after="0"/>
              <w:jc w:val="right"/>
              <w:rPr/>
            </w:pPr>
            <w:r>
              <w:rPr/>
              <w:t> </w:t>
            </w:r>
          </w:p>
        </w:tc>
        <w:tc>
          <w:tcPr>
            <w:tcW w:w="143" w:type="dxa"/>
            <w:tcBorders/>
            <w:shd w:fill="FFFFFF" w:val="clear"/>
            <w:tcMar>
              <w:bottom w:w="0" w:type="dxa"/>
            </w:tcMar>
            <w:vAlign w:val="center"/>
          </w:tcPr>
          <w:p>
            <w:pPr>
              <w:pStyle w:val="TableContents"/>
              <w:bidi w:val="0"/>
              <w:spacing w:before="0" w:after="0"/>
              <w:jc w:val="right"/>
              <w:rPr/>
            </w:pPr>
            <w:r>
              <w:rPr/>
              <w:t> </w:t>
            </w:r>
          </w:p>
        </w:tc>
        <w:tc>
          <w:tcPr>
            <w:tcW w:w="777"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1,248</w:t>
            </w:r>
          </w:p>
        </w:tc>
        <w:tc>
          <w:tcPr>
            <w:tcW w:w="185"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0"/>
              <w:jc w:val="right"/>
              <w:rPr/>
            </w:pPr>
            <w:r>
              <w:rPr/>
              <w:t> </w:t>
            </w:r>
          </w:p>
        </w:tc>
        <w:tc>
          <w:tcPr>
            <w:tcW w:w="71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1,774</w:t>
            </w:r>
          </w:p>
        </w:tc>
      </w:tr>
      <w:tr>
        <w:trPr/>
        <w:tc>
          <w:tcPr>
            <w:tcW w:w="2510" w:type="dxa"/>
            <w:tcBorders>
              <w:bottom w:val="single" w:sz="8" w:space="0" w:color="000000"/>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Financial services</w:t>
            </w:r>
          </w:p>
        </w:tc>
        <w:tc>
          <w:tcPr>
            <w:tcW w:w="125" w:type="dxa"/>
            <w:tcBorders>
              <w:bottom w:val="single" w:sz="8" w:space="0" w:color="000000"/>
            </w:tcBorders>
            <w:shd w:fill="CCEEFF" w:val="clear"/>
            <w:vAlign w:val="center"/>
          </w:tcPr>
          <w:p>
            <w:pPr>
              <w:pStyle w:val="TableContents"/>
              <w:bidi w:val="0"/>
              <w:spacing w:before="0" w:after="0"/>
              <w:jc w:val="left"/>
              <w:rPr/>
            </w:pPr>
            <w:r>
              <w:rPr/>
              <w:t> </w:t>
            </w:r>
          </w:p>
        </w:tc>
        <w:tc>
          <w:tcPr>
            <w:tcW w:w="695"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23,672</w:t>
            </w:r>
          </w:p>
        </w:tc>
        <w:tc>
          <w:tcPr>
            <w:tcW w:w="60" w:type="dxa"/>
            <w:tcBorders>
              <w:bottom w:val="single" w:sz="8" w:space="0" w:color="000000"/>
            </w:tcBorders>
            <w:shd w:fill="CCEEFF" w:val="clear"/>
            <w:vAlign w:val="center"/>
          </w:tcPr>
          <w:p>
            <w:pPr>
              <w:pStyle w:val="TableContents"/>
              <w:bidi w:val="0"/>
              <w:spacing w:before="0" w:after="0"/>
              <w:jc w:val="right"/>
              <w:rPr/>
            </w:pPr>
            <w:r>
              <w:rPr/>
              <w:t> </w:t>
            </w:r>
          </w:p>
        </w:tc>
        <w:tc>
          <w:tcPr>
            <w:tcW w:w="143" w:type="dxa"/>
            <w:tcBorders>
              <w:bottom w:val="single" w:sz="8" w:space="0" w:color="000000"/>
            </w:tcBorders>
            <w:shd w:fill="CCEEFF" w:val="clear"/>
            <w:vAlign w:val="center"/>
          </w:tcPr>
          <w:p>
            <w:pPr>
              <w:pStyle w:val="TableContents"/>
              <w:bidi w:val="0"/>
              <w:spacing w:before="0" w:after="0"/>
              <w:jc w:val="right"/>
              <w:rPr/>
            </w:pPr>
            <w:r>
              <w:rPr/>
              <w:t> </w:t>
            </w:r>
          </w:p>
        </w:tc>
        <w:tc>
          <w:tcPr>
            <w:tcW w:w="777"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(4,894)</w:t>
            </w:r>
          </w:p>
        </w:tc>
        <w:tc>
          <w:tcPr>
            <w:tcW w:w="185" w:type="dxa"/>
            <w:tcBorders>
              <w:bottom w:val="single" w:sz="8" w:space="0" w:color="000000"/>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vAlign w:val="center"/>
          </w:tcPr>
          <w:p>
            <w:pPr>
              <w:pStyle w:val="TableContents"/>
              <w:bidi w:val="0"/>
              <w:spacing w:before="0" w:after="0"/>
              <w:jc w:val="right"/>
              <w:rPr/>
            </w:pPr>
            <w:r>
              <w:rPr/>
              <w:t> </w:t>
            </w:r>
          </w:p>
        </w:tc>
        <w:tc>
          <w:tcPr>
            <w:tcW w:w="710"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28,566</w:t>
            </w:r>
          </w:p>
        </w:tc>
      </w:tr>
      <w:tr>
        <w:trPr/>
        <w:tc>
          <w:tcPr>
            <w:tcW w:w="251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change</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705,746</w:t>
            </w:r>
          </w:p>
        </w:tc>
        <w:tc>
          <w:tcPr>
            <w:tcW w:w="6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143"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77"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(94,837)</w:t>
            </w:r>
          </w:p>
        </w:tc>
        <w:tc>
          <w:tcPr>
            <w:tcW w:w="18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1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800,583</w:t>
            </w:r>
          </w:p>
        </w:tc>
      </w:tr>
      <w:tr>
        <w:trPr/>
        <w:tc>
          <w:tcPr>
            <w:tcW w:w="251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 percent change</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69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pPr>
            <w:r>
              <w:rPr/>
              <w:t> </w:t>
            </w:r>
          </w:p>
        </w:tc>
        <w:tc>
          <w:tcPr>
            <w:tcW w:w="6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pPr>
            <w:r>
              <w:rPr/>
              <w:t> </w:t>
            </w:r>
          </w:p>
        </w:tc>
        <w:tc>
          <w:tcPr>
            <w:tcW w:w="143"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pPr>
            <w:r>
              <w:rPr/>
              <w:t> </w:t>
            </w:r>
          </w:p>
        </w:tc>
        <w:tc>
          <w:tcPr>
            <w:tcW w:w="777"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(11.8)</w:t>
            </w:r>
          </w:p>
        </w:tc>
        <w:tc>
          <w:tcPr>
            <w:tcW w:w="18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pPr>
            <w:r>
              <w:rPr/>
              <w:t> </w:t>
            </w:r>
          </w:p>
        </w:tc>
        <w:tc>
          <w:tcPr>
            <w:tcW w:w="71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pPr>
            <w:r>
              <w:rPr/>
              <w:t> </w:t>
            </w:r>
          </w:p>
        </w:tc>
      </w:tr>
    </w:tbl>
    <w:p>
      <w:pPr>
        <w:pStyle w:val="TextBody"/>
        <w:shd w:fill="FFFFFF" w:val="clear"/>
        <w:bidi w:val="0"/>
        <w:spacing w:lineRule="atLeast" w:line="240" w:before="0" w:after="0"/>
        <w:jc w:val="left"/>
        <w:rPr/>
      </w:pPr>
      <w:r>
        <w:rPr/>
        <w:t> </w:t>
      </w:r>
    </w:p>
    <w:tbl>
      <w:tblPr>
        <w:tblW w:w="5650" w:type="dxa"/>
        <w:jc w:val="left"/>
        <w:tblInd w:w="0" w:type="dxa"/>
        <w:tblLayout w:type="fixed"/>
        <w:tblCellMar>
          <w:top w:w="0" w:type="dxa"/>
          <w:left w:w="0" w:type="dxa"/>
          <w:bottom w:w="28" w:type="dxa"/>
          <w:right w:w="0" w:type="dxa"/>
        </w:tblCellMar>
      </w:tblPr>
      <w:tblGrid>
        <w:gridCol w:w="2510"/>
        <w:gridCol w:w="125"/>
        <w:gridCol w:w="845"/>
        <w:gridCol w:w="60"/>
        <w:gridCol w:w="125"/>
        <w:gridCol w:w="815"/>
        <w:gridCol w:w="185"/>
        <w:gridCol w:w="125"/>
        <w:gridCol w:w="860"/>
      </w:tblGrid>
      <w:tr>
        <w:trPr/>
        <w:tc>
          <w:tcPr>
            <w:tcW w:w="2510" w:type="dxa"/>
            <w:tcBorders>
              <w:bottom w:val="single" w:sz="8" w:space="0" w:color="000000"/>
            </w:tcBorders>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3015" w:type="dxa"/>
            <w:gridSpan w:val="7"/>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Nine Months Ended</w:t>
            </w:r>
          </w:p>
        </w:tc>
      </w:tr>
      <w:tr>
        <w:trPr/>
        <w:tc>
          <w:tcPr>
            <w:tcW w:w="251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84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940" w:type="dxa"/>
            <w:gridSpan w:val="2"/>
            <w:tcBorders>
              <w:top w:val="single" w:sz="8" w:space="0" w:color="000000"/>
            </w:tcBorders>
            <w:tcMar>
              <w:top w:w="28" w:type="dxa"/>
              <w:bottom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Variance</w:t>
            </w:r>
          </w:p>
        </w:tc>
        <w:tc>
          <w:tcPr>
            <w:tcW w:w="18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860" w:type="dxa"/>
            <w:tcBorders>
              <w:top w:val="single" w:sz="8" w:space="0" w:color="000000"/>
            </w:tcBorders>
            <w:tcMar>
              <w:top w:w="28" w:type="dxa"/>
              <w:bottom w:w="0" w:type="dxa"/>
            </w:tcMar>
            <w:vAlign w:val="center"/>
          </w:tcPr>
          <w:p>
            <w:pPr>
              <w:pStyle w:val="TableContents"/>
              <w:bidi w:val="0"/>
              <w:spacing w:before="0" w:after="0"/>
              <w:jc w:val="left"/>
              <w:rPr/>
            </w:pPr>
            <w:r>
              <w:rPr/>
              <w:t> </w:t>
            </w:r>
          </w:p>
        </w:tc>
      </w:tr>
      <w:tr>
        <w:trPr/>
        <w:tc>
          <w:tcPr>
            <w:tcW w:w="2510" w:type="dxa"/>
            <w:tcBorders/>
            <w:tcMar>
              <w:bottom w:w="0" w:type="dxa"/>
            </w:tcMar>
            <w:vAlign w:val="center"/>
          </w:tcPr>
          <w:p>
            <w:pPr>
              <w:pStyle w:val="TableContents"/>
              <w:bidi w:val="0"/>
              <w:spacing w:before="0" w:after="0"/>
              <w:jc w:val="left"/>
              <w:rPr/>
            </w:pPr>
            <w:r>
              <w:rPr/>
              <w:t> </w:t>
            </w:r>
          </w:p>
        </w:tc>
        <w:tc>
          <w:tcPr>
            <w:tcW w:w="125" w:type="dxa"/>
            <w:tcBorders/>
            <w:tcMar>
              <w:bottom w:w="0" w:type="dxa"/>
            </w:tcMar>
            <w:vAlign w:val="center"/>
          </w:tcPr>
          <w:p>
            <w:pPr>
              <w:pStyle w:val="TableContents"/>
              <w:bidi w:val="0"/>
              <w:spacing w:before="0" w:after="0"/>
              <w:jc w:val="left"/>
              <w:rPr/>
            </w:pPr>
            <w:r>
              <w:rPr/>
              <w:t> </w:t>
            </w:r>
          </w:p>
        </w:tc>
        <w:tc>
          <w:tcPr>
            <w:tcW w:w="84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940" w:type="dxa"/>
            <w:gridSpan w:val="2"/>
            <w:tcBorders/>
            <w:tcMar>
              <w:bottom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85" w:type="dxa"/>
            <w:tcBorders/>
            <w:tcMar>
              <w:bottom w:w="0" w:type="dxa"/>
            </w:tcMar>
            <w:vAlign w:val="center"/>
          </w:tcPr>
          <w:p>
            <w:pPr>
              <w:pStyle w:val="TableContents"/>
              <w:bidi w:val="0"/>
              <w:spacing w:before="0" w:after="0"/>
              <w:jc w:val="left"/>
              <w:rPr/>
            </w:pPr>
            <w:r>
              <w:rPr/>
              <w:t> </w:t>
            </w:r>
          </w:p>
        </w:tc>
        <w:tc>
          <w:tcPr>
            <w:tcW w:w="125" w:type="dxa"/>
            <w:tcBorders/>
            <w:tcMar>
              <w:bottom w:w="0" w:type="dxa"/>
            </w:tcMar>
            <w:vAlign w:val="center"/>
          </w:tcPr>
          <w:p>
            <w:pPr>
              <w:pStyle w:val="TableContents"/>
              <w:bidi w:val="0"/>
              <w:spacing w:before="0" w:after="0"/>
              <w:jc w:val="left"/>
              <w:rPr/>
            </w:pPr>
            <w:r>
              <w:rPr/>
              <w:t> </w:t>
            </w:r>
          </w:p>
        </w:tc>
        <w:tc>
          <w:tcPr>
            <w:tcW w:w="860" w:type="dxa"/>
            <w:tcBorders/>
            <w:tcMar>
              <w:bottom w:w="0" w:type="dxa"/>
            </w:tcMar>
            <w:vAlign w:val="center"/>
          </w:tcPr>
          <w:p>
            <w:pPr>
              <w:pStyle w:val="TableContents"/>
              <w:bidi w:val="0"/>
              <w:spacing w:before="0" w:after="0"/>
              <w:jc w:val="left"/>
              <w:rPr/>
            </w:pPr>
            <w:r>
              <w:rPr/>
              <w:t> </w:t>
            </w:r>
          </w:p>
        </w:tc>
      </w:tr>
      <w:tr>
        <w:trPr/>
        <w:tc>
          <w:tcPr>
            <w:tcW w:w="2510" w:type="dxa"/>
            <w:tcBorders/>
            <w:tcMar>
              <w:bottom w:w="0" w:type="dxa"/>
            </w:tcMar>
            <w:vAlign w:val="center"/>
          </w:tcPr>
          <w:p>
            <w:pPr>
              <w:pStyle w:val="TableContents"/>
              <w:bidi w:val="0"/>
              <w:spacing w:before="0" w:after="0"/>
              <w:jc w:val="left"/>
              <w:rPr/>
            </w:pPr>
            <w:r>
              <w:rPr/>
              <w:t> </w:t>
            </w:r>
          </w:p>
        </w:tc>
        <w:tc>
          <w:tcPr>
            <w:tcW w:w="970" w:type="dxa"/>
            <w:gridSpan w:val="2"/>
            <w:tcBorders/>
            <w:tcMar>
              <w:bottom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July 31,</w:t>
            </w:r>
          </w:p>
        </w:tc>
        <w:tc>
          <w:tcPr>
            <w:tcW w:w="60" w:type="dxa"/>
            <w:tcBorders/>
            <w:tcMar>
              <w:bottom w:w="0" w:type="dxa"/>
            </w:tcMar>
            <w:vAlign w:val="center"/>
          </w:tcPr>
          <w:p>
            <w:pPr>
              <w:pStyle w:val="TableContents"/>
              <w:bidi w:val="0"/>
              <w:spacing w:before="0" w:after="0"/>
              <w:jc w:val="left"/>
              <w:rPr/>
            </w:pPr>
            <w:r>
              <w:rPr/>
              <w:t> </w:t>
            </w:r>
          </w:p>
        </w:tc>
        <w:tc>
          <w:tcPr>
            <w:tcW w:w="940" w:type="dxa"/>
            <w:gridSpan w:val="2"/>
            <w:tcBorders/>
            <w:tcMar>
              <w:bottom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Compared</w:t>
            </w:r>
          </w:p>
        </w:tc>
        <w:tc>
          <w:tcPr>
            <w:tcW w:w="185" w:type="dxa"/>
            <w:tcBorders/>
            <w:tcMar>
              <w:bottom w:w="0" w:type="dxa"/>
            </w:tcMar>
            <w:vAlign w:val="center"/>
          </w:tcPr>
          <w:p>
            <w:pPr>
              <w:pStyle w:val="TableContents"/>
              <w:bidi w:val="0"/>
              <w:spacing w:before="0" w:after="0"/>
              <w:jc w:val="left"/>
              <w:rPr/>
            </w:pPr>
            <w:r>
              <w:rPr/>
              <w:t> </w:t>
            </w:r>
          </w:p>
        </w:tc>
        <w:tc>
          <w:tcPr>
            <w:tcW w:w="985" w:type="dxa"/>
            <w:gridSpan w:val="2"/>
            <w:tcBorders/>
            <w:tcMar>
              <w:bottom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July 31,</w:t>
            </w:r>
          </w:p>
        </w:tc>
      </w:tr>
      <w:tr>
        <w:trPr/>
        <w:tc>
          <w:tcPr>
            <w:tcW w:w="2510" w:type="dxa"/>
            <w:tcBorders>
              <w:bottom w:val="single" w:sz="8" w:space="0" w:color="000000"/>
            </w:tcBorders>
            <w:vAlign w:val="center"/>
          </w:tcPr>
          <w:p>
            <w:pPr>
              <w:pStyle w:val="TableContents"/>
              <w:bidi w:val="0"/>
              <w:spacing w:before="0" w:after="0"/>
              <w:jc w:val="left"/>
              <w:rPr>
                <w:rFonts w:ascii="Times New Roman" w:hAnsi="Times New Roman"/>
                <w:sz w:val="20"/>
              </w:rPr>
            </w:pPr>
            <w:r>
              <w:rPr>
                <w:rFonts w:ascii="Times New Roman" w:hAnsi="Times New Roman"/>
                <w:sz w:val="20"/>
              </w:rPr>
              <w:t>(Dollars in thousands)</w:t>
            </w:r>
          </w:p>
        </w:tc>
        <w:tc>
          <w:tcPr>
            <w:tcW w:w="970" w:type="dxa"/>
            <w:gridSpan w:val="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0" w:type="dxa"/>
            <w:tcBorders>
              <w:bottom w:val="single" w:sz="8" w:space="0" w:color="000000"/>
            </w:tcBorders>
            <w:vAlign w:val="center"/>
          </w:tcPr>
          <w:p>
            <w:pPr>
              <w:pStyle w:val="TableContents"/>
              <w:bidi w:val="0"/>
              <w:spacing w:before="0" w:after="0"/>
              <w:jc w:val="left"/>
              <w:rPr/>
            </w:pPr>
            <w:r>
              <w:rPr/>
              <w:t> </w:t>
            </w:r>
          </w:p>
        </w:tc>
        <w:tc>
          <w:tcPr>
            <w:tcW w:w="940" w:type="dxa"/>
            <w:gridSpan w:val="2"/>
            <w:tcBorders>
              <w:bottom w:val="single" w:sz="8" w:space="0" w:color="000000"/>
            </w:tcBorders>
            <w:vAlign w:val="center"/>
          </w:tcPr>
          <w:p>
            <w:pPr>
              <w:pStyle w:val="TableContents"/>
              <w:bidi w:val="0"/>
              <w:spacing w:before="0" w:after="0"/>
              <w:jc w:val="center"/>
              <w:rPr>
                <w:sz w:val="20"/>
              </w:rPr>
            </w:pPr>
            <w:r>
              <w:rPr>
                <w:rFonts w:ascii="Times New Roman" w:hAnsi="Times New Roman"/>
                <w:b/>
                <w:sz w:val="20"/>
              </w:rPr>
              <w:t>to</w:t>
            </w:r>
            <w:r>
              <w:rPr>
                <w:sz w:val="20"/>
              </w:rPr>
              <w:t> </w:t>
            </w:r>
            <w:r>
              <w:rPr>
                <w:rFonts w:ascii="Times New Roman" w:hAnsi="Times New Roman"/>
                <w:b/>
                <w:sz w:val="20"/>
              </w:rPr>
              <w:t>2025</w:t>
            </w:r>
          </w:p>
        </w:tc>
        <w:tc>
          <w:tcPr>
            <w:tcW w:w="185" w:type="dxa"/>
            <w:tcBorders>
              <w:bottom w:val="single" w:sz="8" w:space="0" w:color="000000"/>
            </w:tcBorders>
            <w:vAlign w:val="center"/>
          </w:tcPr>
          <w:p>
            <w:pPr>
              <w:pStyle w:val="TableContents"/>
              <w:bidi w:val="0"/>
              <w:spacing w:before="0" w:after="0"/>
              <w:jc w:val="left"/>
              <w:rPr/>
            </w:pPr>
            <w:r>
              <w:rPr/>
              <w:t> </w:t>
            </w:r>
          </w:p>
        </w:tc>
        <w:tc>
          <w:tcPr>
            <w:tcW w:w="985" w:type="dxa"/>
            <w:gridSpan w:val="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r>
      <w:tr>
        <w:trPr/>
        <w:tc>
          <w:tcPr>
            <w:tcW w:w="2510"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Homebuilding:</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84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81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8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8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r>
      <w:tr>
        <w:trPr/>
        <w:tc>
          <w:tcPr>
            <w:tcW w:w="251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Sale of homes</w:t>
            </w:r>
          </w:p>
        </w:tc>
        <w:tc>
          <w:tcPr>
            <w:tcW w:w="12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1,858,989</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1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(207,289)</w:t>
            </w:r>
          </w:p>
        </w:tc>
        <w:tc>
          <w:tcPr>
            <w:tcW w:w="185"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6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2,066,278</w:t>
            </w:r>
          </w:p>
        </w:tc>
      </w:tr>
      <w:tr>
        <w:trPr/>
        <w:tc>
          <w:tcPr>
            <w:tcW w:w="251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Land sales</w:t>
            </w:r>
          </w:p>
        </w:tc>
        <w:tc>
          <w:tcPr>
            <w:tcW w:w="125" w:type="dxa"/>
            <w:tcBorders/>
            <w:shd w:fill="CCEEFF" w:val="clear"/>
            <w:tcMar>
              <w:bottom w:w="0" w:type="dxa"/>
            </w:tcMar>
            <w:vAlign w:val="center"/>
          </w:tcPr>
          <w:p>
            <w:pPr>
              <w:pStyle w:val="TableContents"/>
              <w:bidi w:val="0"/>
              <w:spacing w:before="0" w:after="0"/>
              <w:jc w:val="left"/>
              <w:rPr/>
            </w:pPr>
            <w:r>
              <w:rPr/>
              <w:t> </w:t>
            </w:r>
          </w:p>
        </w:tc>
        <w:tc>
          <w:tcPr>
            <w:tcW w:w="84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68,224</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0"/>
              <w:jc w:val="right"/>
              <w:rPr/>
            </w:pPr>
            <w:r>
              <w:rPr/>
              <w:t> </w:t>
            </w:r>
          </w:p>
        </w:tc>
        <w:tc>
          <w:tcPr>
            <w:tcW w:w="81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47,601</w:t>
            </w:r>
          </w:p>
        </w:tc>
        <w:tc>
          <w:tcPr>
            <w:tcW w:w="185"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0"/>
              <w:jc w:val="right"/>
              <w:rPr/>
            </w:pPr>
            <w:r>
              <w:rPr/>
              <w:t> </w:t>
            </w:r>
          </w:p>
        </w:tc>
        <w:tc>
          <w:tcPr>
            <w:tcW w:w="86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20,623</w:t>
            </w:r>
          </w:p>
        </w:tc>
      </w:tr>
      <w:tr>
        <w:trPr/>
        <w:tc>
          <w:tcPr>
            <w:tcW w:w="251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Other revenue</w:t>
            </w:r>
          </w:p>
        </w:tc>
        <w:tc>
          <w:tcPr>
            <w:tcW w:w="125" w:type="dxa"/>
            <w:tcBorders/>
            <w:shd w:fill="FFFFFF" w:val="clear"/>
            <w:tcMar>
              <w:bottom w:w="0" w:type="dxa"/>
            </w:tcMar>
            <w:vAlign w:val="center"/>
          </w:tcPr>
          <w:p>
            <w:pPr>
              <w:pStyle w:val="TableContents"/>
              <w:bidi w:val="0"/>
              <w:spacing w:before="0" w:after="0"/>
              <w:jc w:val="left"/>
              <w:rPr/>
            </w:pPr>
            <w:r>
              <w:rPr/>
              <w:t> </w:t>
            </w:r>
          </w:p>
        </w:tc>
        <w:tc>
          <w:tcPr>
            <w:tcW w:w="84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12,052</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0"/>
              <w:jc w:val="right"/>
              <w:rPr/>
            </w:pPr>
            <w:r>
              <w:rPr/>
              <w:t> </w:t>
            </w:r>
          </w:p>
        </w:tc>
        <w:tc>
          <w:tcPr>
            <w:tcW w:w="81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5,102</w:t>
            </w:r>
          </w:p>
        </w:tc>
        <w:tc>
          <w:tcPr>
            <w:tcW w:w="185"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0"/>
              <w:jc w:val="right"/>
              <w:rPr/>
            </w:pPr>
            <w:r>
              <w:rPr/>
              <w:t> </w:t>
            </w:r>
          </w:p>
        </w:tc>
        <w:tc>
          <w:tcPr>
            <w:tcW w:w="86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6,950</w:t>
            </w:r>
          </w:p>
        </w:tc>
      </w:tr>
      <w:tr>
        <w:trPr/>
        <w:tc>
          <w:tcPr>
            <w:tcW w:w="2510" w:type="dxa"/>
            <w:tcBorders>
              <w:bottom w:val="single" w:sz="8" w:space="0" w:color="000000"/>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Financial services</w:t>
            </w:r>
          </w:p>
        </w:tc>
        <w:tc>
          <w:tcPr>
            <w:tcW w:w="125" w:type="dxa"/>
            <w:tcBorders>
              <w:bottom w:val="single" w:sz="8" w:space="0" w:color="000000"/>
            </w:tcBorders>
            <w:shd w:fill="CCEEFF" w:val="clear"/>
            <w:vAlign w:val="center"/>
          </w:tcPr>
          <w:p>
            <w:pPr>
              <w:pStyle w:val="TableContents"/>
              <w:bidi w:val="0"/>
              <w:spacing w:before="0" w:after="0"/>
              <w:jc w:val="left"/>
              <w:rPr/>
            </w:pPr>
            <w:r>
              <w:rPr/>
              <w:t> </w:t>
            </w:r>
          </w:p>
        </w:tc>
        <w:tc>
          <w:tcPr>
            <w:tcW w:w="845"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66,078</w:t>
            </w:r>
          </w:p>
        </w:tc>
        <w:tc>
          <w:tcPr>
            <w:tcW w:w="60" w:type="dxa"/>
            <w:tcBorders>
              <w:bottom w:val="single" w:sz="8" w:space="0" w:color="000000"/>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vAlign w:val="center"/>
          </w:tcPr>
          <w:p>
            <w:pPr>
              <w:pStyle w:val="TableContents"/>
              <w:bidi w:val="0"/>
              <w:spacing w:before="0" w:after="0"/>
              <w:jc w:val="right"/>
              <w:rPr/>
            </w:pPr>
            <w:r>
              <w:rPr/>
              <w:t> </w:t>
            </w:r>
          </w:p>
        </w:tc>
        <w:tc>
          <w:tcPr>
            <w:tcW w:w="815"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(748)</w:t>
            </w:r>
          </w:p>
        </w:tc>
        <w:tc>
          <w:tcPr>
            <w:tcW w:w="185" w:type="dxa"/>
            <w:tcBorders>
              <w:bottom w:val="single" w:sz="8" w:space="0" w:color="000000"/>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vAlign w:val="center"/>
          </w:tcPr>
          <w:p>
            <w:pPr>
              <w:pStyle w:val="TableContents"/>
              <w:bidi w:val="0"/>
              <w:spacing w:before="0" w:after="0"/>
              <w:jc w:val="right"/>
              <w:rPr/>
            </w:pPr>
            <w:r>
              <w:rPr/>
              <w:t> </w:t>
            </w:r>
          </w:p>
        </w:tc>
        <w:tc>
          <w:tcPr>
            <w:tcW w:w="860"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66,826</w:t>
            </w:r>
          </w:p>
        </w:tc>
      </w:tr>
      <w:tr>
        <w:trPr/>
        <w:tc>
          <w:tcPr>
            <w:tcW w:w="251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change</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2,005,343</w:t>
            </w:r>
          </w:p>
        </w:tc>
        <w:tc>
          <w:tcPr>
            <w:tcW w:w="6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1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(155,334)</w:t>
            </w:r>
          </w:p>
        </w:tc>
        <w:tc>
          <w:tcPr>
            <w:tcW w:w="18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6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2,160,677</w:t>
            </w:r>
          </w:p>
        </w:tc>
      </w:tr>
      <w:tr>
        <w:trPr/>
        <w:tc>
          <w:tcPr>
            <w:tcW w:w="251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 percent change</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pPr>
            <w:r>
              <w:rPr/>
              <w:t> </w:t>
            </w:r>
          </w:p>
        </w:tc>
        <w:tc>
          <w:tcPr>
            <w:tcW w:w="84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pPr>
            <w:r>
              <w:rPr/>
              <w:t> </w:t>
            </w:r>
          </w:p>
        </w:tc>
        <w:tc>
          <w:tcPr>
            <w:tcW w:w="6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pPr>
            <w:r>
              <w:rPr/>
              <w:t> </w:t>
            </w:r>
          </w:p>
        </w:tc>
        <w:tc>
          <w:tcPr>
            <w:tcW w:w="81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(7.2)</w:t>
            </w:r>
          </w:p>
        </w:tc>
        <w:tc>
          <w:tcPr>
            <w:tcW w:w="18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pPr>
            <w:r>
              <w:rPr/>
              <w:t> </w:t>
            </w:r>
          </w:p>
        </w:tc>
        <w:tc>
          <w:tcPr>
            <w:tcW w:w="860"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pPr>
            <w:r>
              <w:rPr/>
              <w:t> </w:t>
            </w:r>
          </w:p>
        </w:tc>
      </w:tr>
    </w:tbl>
    <w:p>
      <w:pPr>
        <w:pStyle w:val="TextBody"/>
        <w:shd w:fill="FFFFFF" w:val="clear"/>
        <w:bidi w:val="0"/>
        <w:spacing w:lineRule="atLeast" w:line="240" w:before="0" w:after="0"/>
        <w:jc w:val="left"/>
        <w:rPr/>
      </w:pPr>
      <w:r>
        <w:rPr/>
        <w:t> </w:t>
      </w:r>
    </w:p>
    <w:p>
      <w:pPr>
        <w:pStyle w:val="TextBody"/>
        <w:shd w:fill="FFFFFF" w:val="clear"/>
        <w:bidi w:val="0"/>
        <w:spacing w:lineRule="atLeast" w:line="240" w:before="0" w:after="0"/>
        <w:jc w:val="left"/>
        <w:rPr>
          <w:b/>
          <w:i/>
          <w:sz w:val="20"/>
        </w:rPr>
      </w:pPr>
      <w:r>
        <w:rPr>
          <w:b/>
          <w:i/>
          <w:sz w:val="20"/>
        </w:rPr>
        <w:t>Homebuilding: Sale of Homes</w:t>
      </w:r>
    </w:p>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sz w:val="20"/>
        </w:rPr>
        <w:t>For the three</w:t>
      </w:r>
      <w:r>
        <w:rPr/>
        <w:t> </w:t>
      </w:r>
      <w:r>
        <w:rPr>
          <w:sz w:val="20"/>
        </w:rPr>
        <w:t xml:space="preserve">months ended </w:t>
      </w:r>
      <w:r>
        <w:rPr>
          <w:rFonts w:ascii="Times New Roman" w:hAnsi="Times New Roman"/>
          <w:sz w:val="20"/>
        </w:rPr>
        <w:t>July 31, 2026</w:t>
      </w:r>
      <w:r>
        <w:rPr>
          <w:sz w:val="20"/>
        </w:rPr>
        <w:t xml:space="preserve">, sale of homes revenues </w:t>
      </w:r>
      <w:r>
        <w:rPr>
          <w:rFonts w:ascii="Times New Roman" w:hAnsi="Times New Roman"/>
          <w:sz w:val="20"/>
        </w:rPr>
        <w:t>decreased</w:t>
      </w:r>
      <w:r>
        <w:rPr/>
        <w:t xml:space="preserve"> </w:t>
      </w:r>
      <w:r>
        <w:rPr>
          <w:rFonts w:ascii="Times New Roman" w:hAnsi="Times New Roman"/>
          <w:sz w:val="20"/>
        </w:rPr>
        <w:t>11.7</w:t>
      </w:r>
      <w:r>
        <w:rPr>
          <w:sz w:val="20"/>
        </w:rPr>
        <w:t>% compared with the prior year period. Sale of homes revenue decreased</w:t>
      </w:r>
      <w:r>
        <w:rPr/>
        <w:t> </w:t>
      </w:r>
      <w:r>
        <w:rPr>
          <w:sz w:val="20"/>
        </w:rPr>
        <w:t>primarily due to a 12.0%</w:t>
      </w:r>
      <w:r>
        <w:rPr/>
        <w:t> </w:t>
      </w:r>
      <w:r>
        <w:rPr>
          <w:sz w:val="20"/>
        </w:rPr>
        <w:t>decrease in homes delivered, partially offset by a 0.4%</w:t>
      </w:r>
      <w:r>
        <w:rPr/>
        <w:t> </w:t>
      </w:r>
      <w:r>
        <w:rPr>
          <w:sz w:val="20"/>
        </w:rPr>
        <w:t>increase in average sales price compared with the prior year period.</w:t>
      </w:r>
      <w:r>
        <w:rPr/>
        <w:t> </w:t>
      </w:r>
      <w:r>
        <w:rPr>
          <w:sz w:val="20"/>
        </w:rPr>
        <w:t>Average price per home increased to $</w:t>
      </w:r>
      <w:r>
        <w:rPr>
          <w:rFonts w:ascii="Times New Roman" w:hAnsi="Times New Roman"/>
          <w:sz w:val="20"/>
        </w:rPr>
        <w:t>539,350</w:t>
      </w:r>
      <w:r>
        <w:rPr/>
        <w:t xml:space="preserve"> </w:t>
      </w:r>
      <w:r>
        <w:rPr>
          <w:sz w:val="20"/>
        </w:rPr>
        <w:t xml:space="preserve">in the three months ended </w:t>
      </w:r>
      <w:r>
        <w:rPr>
          <w:rFonts w:ascii="Times New Roman" w:hAnsi="Times New Roman"/>
          <w:sz w:val="20"/>
        </w:rPr>
        <w:t>July 31, 2026</w:t>
      </w:r>
      <w:r>
        <w:rPr/>
        <w:t xml:space="preserve"> </w:t>
      </w:r>
      <w:r>
        <w:rPr>
          <w:sz w:val="20"/>
        </w:rPr>
        <w:t>from $</w:t>
      </w:r>
      <w:r>
        <w:rPr>
          <w:rFonts w:ascii="Times New Roman" w:hAnsi="Times New Roman"/>
          <w:sz w:val="20"/>
        </w:rPr>
        <w:t>537,421</w:t>
      </w:r>
      <w:r>
        <w:rPr/>
        <w:t> </w:t>
      </w:r>
      <w:r>
        <w:rPr>
          <w:sz w:val="20"/>
        </w:rPr>
        <w:t xml:space="preserve">in the three months ended </w:t>
      </w:r>
      <w:r>
        <w:rPr>
          <w:rFonts w:ascii="Times New Roman" w:hAnsi="Times New Roman"/>
          <w:sz w:val="20"/>
        </w:rPr>
        <w:t>July 31, 2025</w:t>
      </w:r>
      <w:r>
        <w:rPr>
          <w:sz w:val="20"/>
        </w:rPr>
        <w:t>.</w:t>
      </w:r>
      <w:r>
        <w:rPr/>
        <w:t> </w:t>
      </w:r>
      <w:r>
        <w:rPr>
          <w:sz w:val="20"/>
        </w:rPr>
        <w:t xml:space="preserve">For the </w:t>
      </w:r>
      <w:r>
        <w:rPr>
          <w:rFonts w:ascii="Times New Roman" w:hAnsi="Times New Roman"/>
          <w:sz w:val="20"/>
        </w:rPr>
        <w:t>nine months ended July 31, 2026</w:t>
      </w:r>
      <w:r>
        <w:rPr>
          <w:sz w:val="20"/>
        </w:rPr>
        <w:t xml:space="preserve">, sale of homes revenues </w:t>
      </w:r>
      <w:r>
        <w:rPr>
          <w:rFonts w:ascii="Times New Roman" w:hAnsi="Times New Roman"/>
          <w:sz w:val="20"/>
        </w:rPr>
        <w:t>decreased</w:t>
      </w:r>
      <w:r>
        <w:rPr/>
        <w:t xml:space="preserve"> </w:t>
      </w:r>
      <w:r>
        <w:rPr>
          <w:rFonts w:ascii="Times New Roman" w:hAnsi="Times New Roman"/>
          <w:sz w:val="20"/>
        </w:rPr>
        <w:t>10.0</w:t>
      </w:r>
      <w:r>
        <w:rPr>
          <w:sz w:val="20"/>
        </w:rPr>
        <w:t>% compared with the prior year period. Sale of homes revenues decreased primarily due to a 12.0% decrease in homes delivered, partially offset by a 2.3% increase in average sales price compared with the prior year period. Average price per home increased</w:t>
      </w:r>
      <w:r>
        <w:rPr/>
        <w:t> </w:t>
      </w:r>
      <w:r>
        <w:rPr>
          <w:sz w:val="20"/>
        </w:rPr>
        <w:t>to $</w:t>
      </w:r>
      <w:r>
        <w:rPr>
          <w:rFonts w:ascii="Times New Roman" w:hAnsi="Times New Roman"/>
          <w:sz w:val="20"/>
        </w:rPr>
        <w:t>532,357</w:t>
      </w:r>
      <w:r>
        <w:rPr/>
        <w:t> </w:t>
      </w:r>
      <w:r>
        <w:rPr>
          <w:sz w:val="20"/>
        </w:rPr>
        <w:t>in the</w:t>
      </w:r>
      <w:r>
        <w:rPr/>
        <w:t> </w:t>
      </w:r>
      <w:r>
        <w:rPr>
          <w:rFonts w:ascii="Times New Roman" w:hAnsi="Times New Roman"/>
          <w:sz w:val="20"/>
        </w:rPr>
        <w:t>nine months ended July 31, 2026</w:t>
      </w:r>
      <w:r>
        <w:rPr/>
        <w:t> </w:t>
      </w:r>
      <w:r>
        <w:rPr>
          <w:sz w:val="20"/>
        </w:rPr>
        <w:t>from $</w:t>
      </w:r>
      <w:r>
        <w:rPr>
          <w:rFonts w:ascii="Times New Roman" w:hAnsi="Times New Roman"/>
          <w:sz w:val="20"/>
        </w:rPr>
        <w:t>520,473</w:t>
      </w:r>
      <w:r>
        <w:rPr/>
        <w:t> </w:t>
      </w:r>
      <w:r>
        <w:rPr>
          <w:sz w:val="20"/>
        </w:rPr>
        <w:t>in the</w:t>
      </w:r>
      <w:r>
        <w:rPr/>
        <w:t> </w:t>
      </w:r>
      <w:r>
        <w:rPr>
          <w:rFonts w:ascii="Times New Roman" w:hAnsi="Times New Roman"/>
          <w:sz w:val="20"/>
        </w:rPr>
        <w:t>nine months ended July 31, 2025</w:t>
      </w:r>
      <w:r>
        <w:rPr>
          <w:sz w:val="20"/>
        </w:rPr>
        <w:t>. The increase in average price was the result of the geographic and community mix of our deliveries. For further detail on changes in segment revenues see “Homebuilding: Operations by Segment” below. For further detail on land sales and other revenues, see “Homebuilding: Land Sales and Other Revenues” below.</w:t>
      </w:r>
    </w:p>
    <w:p>
      <w:pPr>
        <w:pStyle w:val="TextBody"/>
        <w:bidi w:val="0"/>
        <w:spacing w:lineRule="atLeast" w:line="240" w:before="0" w:after="0"/>
        <w:ind w:left="0" w:right="0" w:firstLine="90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TableofContent">
        <w:r>
          <w:rPr>
            <w:rStyle w:val="InternetLink"/>
            <w:strike w:val="false"/>
            <w:dstrike w:val="false"/>
            <w:color w:val="0000FF"/>
            <w:sz w:val="20"/>
            <w:u w:val="single"/>
            <w:effect w:val="none"/>
          </w:rPr>
          <w:t>Table of Contents</w:t>
        </w:r>
      </w:hyperlink>
    </w:p>
    <w:p>
      <w:pPr>
        <w:pStyle w:val="TextBody"/>
        <w:bidi w:val="0"/>
        <w:spacing w:before="0" w:after="0"/>
        <w:jc w:val="left"/>
        <w:rPr/>
      </w:pPr>
      <w:r>
        <w:rPr/>
        <w:t> </w:t>
      </w:r>
    </w:p>
    <w:p>
      <w:pPr>
        <w:pStyle w:val="TextBody"/>
        <w:bidi w:val="0"/>
        <w:spacing w:lineRule="atLeast" w:line="240" w:before="0" w:after="200"/>
        <w:ind w:left="0" w:right="0" w:firstLine="900"/>
        <w:jc w:val="left"/>
        <w:rPr>
          <w:sz w:val="20"/>
        </w:rPr>
      </w:pPr>
      <w:r>
        <w:rPr>
          <w:sz w:val="20"/>
        </w:rPr>
        <w:t>Information on the sale of homes is set forth in the table below:</w:t>
      </w:r>
    </w:p>
    <w:tbl>
      <w:tblPr>
        <w:tblW w:w="8981" w:type="dxa"/>
        <w:jc w:val="left"/>
        <w:tblInd w:w="0" w:type="dxa"/>
        <w:tblLayout w:type="fixed"/>
        <w:tblCellMar>
          <w:top w:w="0" w:type="dxa"/>
          <w:left w:w="0" w:type="dxa"/>
          <w:bottom w:w="28" w:type="dxa"/>
          <w:right w:w="0" w:type="dxa"/>
        </w:tblCellMar>
      </w:tblPr>
      <w:tblGrid>
        <w:gridCol w:w="4010"/>
        <w:gridCol w:w="184"/>
        <w:gridCol w:w="1026"/>
        <w:gridCol w:w="88"/>
        <w:gridCol w:w="184"/>
        <w:gridCol w:w="1026"/>
        <w:gridCol w:w="60"/>
        <w:gridCol w:w="149"/>
        <w:gridCol w:w="1008"/>
        <w:gridCol w:w="71"/>
        <w:gridCol w:w="149"/>
        <w:gridCol w:w="1026"/>
      </w:tblGrid>
      <w:tr>
        <w:trPr/>
        <w:tc>
          <w:tcPr>
            <w:tcW w:w="4010" w:type="dxa"/>
            <w:tcBorders>
              <w:bottom w:val="single" w:sz="8" w:space="0" w:color="000000"/>
            </w:tcBorders>
            <w:vAlign w:val="center"/>
          </w:tcPr>
          <w:p>
            <w:pPr>
              <w:pStyle w:val="TableContents"/>
              <w:bidi w:val="0"/>
              <w:spacing w:before="0" w:after="0"/>
              <w:jc w:val="left"/>
              <w:rPr/>
            </w:pPr>
            <w:r>
              <w:rPr/>
              <w:t> </w:t>
            </w:r>
          </w:p>
        </w:tc>
        <w:tc>
          <w:tcPr>
            <w:tcW w:w="2508" w:type="dxa"/>
            <w:gridSpan w:val="5"/>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Three Months Ended July 31,</w:t>
            </w:r>
          </w:p>
        </w:tc>
        <w:tc>
          <w:tcPr>
            <w:tcW w:w="60" w:type="dxa"/>
            <w:tcBorders>
              <w:bottom w:val="single" w:sz="8" w:space="0" w:color="000000"/>
            </w:tcBorders>
            <w:vAlign w:val="center"/>
          </w:tcPr>
          <w:p>
            <w:pPr>
              <w:pStyle w:val="TableContents"/>
              <w:bidi w:val="0"/>
              <w:spacing w:before="0" w:after="0"/>
              <w:jc w:val="left"/>
              <w:rPr/>
            </w:pPr>
            <w:r>
              <w:rPr/>
              <w:t> </w:t>
            </w:r>
          </w:p>
        </w:tc>
        <w:tc>
          <w:tcPr>
            <w:tcW w:w="2403" w:type="dxa"/>
            <w:gridSpan w:val="5"/>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Nine Months Ended July 31,</w:t>
            </w:r>
          </w:p>
        </w:tc>
      </w:tr>
      <w:tr>
        <w:trPr/>
        <w:tc>
          <w:tcPr>
            <w:tcW w:w="4010" w:type="dxa"/>
            <w:tcBorders>
              <w:top w:val="single" w:sz="8" w:space="0" w:color="000000"/>
              <w:bottom w:val="single" w:sz="8" w:space="0" w:color="000000"/>
            </w:tcBorders>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(Dollars in thousands, except average sales price)</w:t>
            </w:r>
          </w:p>
        </w:tc>
        <w:tc>
          <w:tcPr>
            <w:tcW w:w="1210" w:type="dxa"/>
            <w:gridSpan w:val="2"/>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8"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210" w:type="dxa"/>
            <w:gridSpan w:val="2"/>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157" w:type="dxa"/>
            <w:gridSpan w:val="2"/>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71"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175" w:type="dxa"/>
            <w:gridSpan w:val="2"/>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r>
      <w:tr>
        <w:trPr/>
        <w:tc>
          <w:tcPr>
            <w:tcW w:w="4010"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Consolidated total:</w:t>
            </w:r>
          </w:p>
        </w:tc>
        <w:tc>
          <w:tcPr>
            <w:tcW w:w="184"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88"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84"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49"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008"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71"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49"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026"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r>
      <w:tr>
        <w:trPr/>
        <w:tc>
          <w:tcPr>
            <w:tcW w:w="401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Housing revenues</w:t>
            </w:r>
          </w:p>
        </w:tc>
        <w:tc>
          <w:tcPr>
            <w:tcW w:w="184"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6"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679,042</w:t>
            </w:r>
          </w:p>
        </w:tc>
        <w:tc>
          <w:tcPr>
            <w:tcW w:w="88" w:type="dxa"/>
            <w:tcBorders/>
            <w:shd w:fill="FFFFFF" w:val="clear"/>
            <w:tcMar>
              <w:bottom w:w="0" w:type="dxa"/>
            </w:tcMar>
            <w:vAlign w:val="center"/>
          </w:tcPr>
          <w:p>
            <w:pPr>
              <w:pStyle w:val="TableContents"/>
              <w:bidi w:val="0"/>
              <w:spacing w:before="0" w:after="0"/>
              <w:jc w:val="right"/>
              <w:rPr/>
            </w:pPr>
            <w:r>
              <w:rPr/>
              <w:t> </w:t>
            </w:r>
          </w:p>
        </w:tc>
        <w:tc>
          <w:tcPr>
            <w:tcW w:w="184"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6"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769,050</w:t>
            </w:r>
          </w:p>
        </w:tc>
        <w:tc>
          <w:tcPr>
            <w:tcW w:w="60" w:type="dxa"/>
            <w:tcBorders/>
            <w:shd w:fill="FFFFFF" w:val="clear"/>
            <w:tcMar>
              <w:bottom w:w="0" w:type="dxa"/>
            </w:tcMar>
            <w:vAlign w:val="center"/>
          </w:tcPr>
          <w:p>
            <w:pPr>
              <w:pStyle w:val="TableContents"/>
              <w:bidi w:val="0"/>
              <w:spacing w:before="0" w:after="0"/>
              <w:jc w:val="right"/>
              <w:rPr/>
            </w:pPr>
            <w:r>
              <w:rPr/>
              <w:t> </w:t>
            </w:r>
          </w:p>
        </w:tc>
        <w:tc>
          <w:tcPr>
            <w:tcW w:w="149"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8"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1,858,989</w:t>
            </w:r>
          </w:p>
        </w:tc>
        <w:tc>
          <w:tcPr>
            <w:tcW w:w="71" w:type="dxa"/>
            <w:tcBorders/>
            <w:shd w:fill="FFFFFF" w:val="clear"/>
            <w:tcMar>
              <w:bottom w:w="0" w:type="dxa"/>
            </w:tcMar>
            <w:vAlign w:val="center"/>
          </w:tcPr>
          <w:p>
            <w:pPr>
              <w:pStyle w:val="TableContents"/>
              <w:bidi w:val="0"/>
              <w:spacing w:before="0" w:after="0"/>
              <w:jc w:val="right"/>
              <w:rPr/>
            </w:pPr>
            <w:r>
              <w:rPr/>
              <w:t> </w:t>
            </w:r>
          </w:p>
        </w:tc>
        <w:tc>
          <w:tcPr>
            <w:tcW w:w="149"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6"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2,066,278</w:t>
            </w:r>
          </w:p>
        </w:tc>
      </w:tr>
      <w:tr>
        <w:trPr/>
        <w:tc>
          <w:tcPr>
            <w:tcW w:w="401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Homes delivered</w:t>
            </w:r>
          </w:p>
        </w:tc>
        <w:tc>
          <w:tcPr>
            <w:tcW w:w="184" w:type="dxa"/>
            <w:tcBorders/>
            <w:shd w:fill="CCEEFF" w:val="clear"/>
            <w:tcMar>
              <w:bottom w:w="0" w:type="dxa"/>
            </w:tcMar>
            <w:vAlign w:val="center"/>
          </w:tcPr>
          <w:p>
            <w:pPr>
              <w:pStyle w:val="TableContents"/>
              <w:bidi w:val="0"/>
              <w:spacing w:before="0" w:after="0"/>
              <w:jc w:val="left"/>
              <w:rPr/>
            </w:pPr>
            <w:r>
              <w:rPr/>
              <w:t> </w:t>
            </w:r>
          </w:p>
        </w:tc>
        <w:tc>
          <w:tcPr>
            <w:tcW w:w="1026"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1,259</w:t>
            </w:r>
          </w:p>
        </w:tc>
        <w:tc>
          <w:tcPr>
            <w:tcW w:w="88" w:type="dxa"/>
            <w:tcBorders/>
            <w:shd w:fill="CCEEFF" w:val="clear"/>
            <w:tcMar>
              <w:bottom w:w="0" w:type="dxa"/>
            </w:tcMar>
            <w:vAlign w:val="center"/>
          </w:tcPr>
          <w:p>
            <w:pPr>
              <w:pStyle w:val="TableContents"/>
              <w:bidi w:val="0"/>
              <w:spacing w:before="0" w:after="0"/>
              <w:jc w:val="right"/>
              <w:rPr/>
            </w:pPr>
            <w:r>
              <w:rPr/>
              <w:t> </w:t>
            </w:r>
          </w:p>
        </w:tc>
        <w:tc>
          <w:tcPr>
            <w:tcW w:w="184" w:type="dxa"/>
            <w:tcBorders/>
            <w:shd w:fill="CCEEFF" w:val="clear"/>
            <w:tcMar>
              <w:bottom w:w="0" w:type="dxa"/>
            </w:tcMar>
            <w:vAlign w:val="center"/>
          </w:tcPr>
          <w:p>
            <w:pPr>
              <w:pStyle w:val="TableContents"/>
              <w:bidi w:val="0"/>
              <w:spacing w:before="0" w:after="0"/>
              <w:jc w:val="left"/>
              <w:rPr/>
            </w:pPr>
            <w:r>
              <w:rPr/>
              <w:t> </w:t>
            </w:r>
          </w:p>
        </w:tc>
        <w:tc>
          <w:tcPr>
            <w:tcW w:w="1026"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1,431</w:t>
            </w:r>
          </w:p>
        </w:tc>
        <w:tc>
          <w:tcPr>
            <w:tcW w:w="60" w:type="dxa"/>
            <w:tcBorders/>
            <w:shd w:fill="CCEEFF" w:val="clear"/>
            <w:tcMar>
              <w:bottom w:w="0" w:type="dxa"/>
            </w:tcMar>
            <w:vAlign w:val="center"/>
          </w:tcPr>
          <w:p>
            <w:pPr>
              <w:pStyle w:val="TableContents"/>
              <w:bidi w:val="0"/>
              <w:spacing w:before="0" w:after="0"/>
              <w:jc w:val="right"/>
              <w:rPr/>
            </w:pPr>
            <w:r>
              <w:rPr/>
              <w:t> </w:t>
            </w:r>
          </w:p>
        </w:tc>
        <w:tc>
          <w:tcPr>
            <w:tcW w:w="149" w:type="dxa"/>
            <w:tcBorders/>
            <w:shd w:fill="CCEEFF" w:val="clear"/>
            <w:tcMar>
              <w:bottom w:w="0" w:type="dxa"/>
            </w:tcMar>
            <w:vAlign w:val="center"/>
          </w:tcPr>
          <w:p>
            <w:pPr>
              <w:pStyle w:val="TableContents"/>
              <w:bidi w:val="0"/>
              <w:spacing w:before="0" w:after="0"/>
              <w:jc w:val="left"/>
              <w:rPr/>
            </w:pPr>
            <w:r>
              <w:rPr/>
              <w:t> </w:t>
            </w:r>
          </w:p>
        </w:tc>
        <w:tc>
          <w:tcPr>
            <w:tcW w:w="1008"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3,492</w:t>
            </w:r>
          </w:p>
        </w:tc>
        <w:tc>
          <w:tcPr>
            <w:tcW w:w="71" w:type="dxa"/>
            <w:tcBorders/>
            <w:shd w:fill="CCEEFF" w:val="clear"/>
            <w:tcMar>
              <w:bottom w:w="0" w:type="dxa"/>
            </w:tcMar>
            <w:vAlign w:val="center"/>
          </w:tcPr>
          <w:p>
            <w:pPr>
              <w:pStyle w:val="TableContents"/>
              <w:bidi w:val="0"/>
              <w:spacing w:before="0" w:after="0"/>
              <w:jc w:val="right"/>
              <w:rPr/>
            </w:pPr>
            <w:r>
              <w:rPr/>
              <w:t> </w:t>
            </w:r>
          </w:p>
        </w:tc>
        <w:tc>
          <w:tcPr>
            <w:tcW w:w="149" w:type="dxa"/>
            <w:tcBorders/>
            <w:shd w:fill="CCEEFF" w:val="clear"/>
            <w:tcMar>
              <w:bottom w:w="0" w:type="dxa"/>
            </w:tcMar>
            <w:vAlign w:val="center"/>
          </w:tcPr>
          <w:p>
            <w:pPr>
              <w:pStyle w:val="TableContents"/>
              <w:bidi w:val="0"/>
              <w:spacing w:before="0" w:after="0"/>
              <w:jc w:val="left"/>
              <w:rPr/>
            </w:pPr>
            <w:r>
              <w:rPr/>
              <w:t> </w:t>
            </w:r>
          </w:p>
        </w:tc>
        <w:tc>
          <w:tcPr>
            <w:tcW w:w="1026"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3,970</w:t>
            </w:r>
          </w:p>
        </w:tc>
      </w:tr>
      <w:tr>
        <w:trPr/>
        <w:tc>
          <w:tcPr>
            <w:tcW w:w="401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Average sales price</w:t>
            </w:r>
          </w:p>
        </w:tc>
        <w:tc>
          <w:tcPr>
            <w:tcW w:w="184"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6"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539,350</w:t>
            </w:r>
          </w:p>
        </w:tc>
        <w:tc>
          <w:tcPr>
            <w:tcW w:w="88" w:type="dxa"/>
            <w:tcBorders/>
            <w:shd w:fill="FFFFFF" w:val="clear"/>
            <w:tcMar>
              <w:bottom w:w="0" w:type="dxa"/>
            </w:tcMar>
            <w:vAlign w:val="center"/>
          </w:tcPr>
          <w:p>
            <w:pPr>
              <w:pStyle w:val="TableContents"/>
              <w:bidi w:val="0"/>
              <w:spacing w:before="0" w:after="0"/>
              <w:jc w:val="right"/>
              <w:rPr/>
            </w:pPr>
            <w:r>
              <w:rPr/>
              <w:t> </w:t>
            </w:r>
          </w:p>
        </w:tc>
        <w:tc>
          <w:tcPr>
            <w:tcW w:w="184"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6"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537,421</w:t>
            </w:r>
          </w:p>
        </w:tc>
        <w:tc>
          <w:tcPr>
            <w:tcW w:w="60" w:type="dxa"/>
            <w:tcBorders/>
            <w:shd w:fill="FFFFFF" w:val="clear"/>
            <w:tcMar>
              <w:bottom w:w="0" w:type="dxa"/>
            </w:tcMar>
            <w:vAlign w:val="center"/>
          </w:tcPr>
          <w:p>
            <w:pPr>
              <w:pStyle w:val="TableContents"/>
              <w:bidi w:val="0"/>
              <w:spacing w:before="0" w:after="0"/>
              <w:jc w:val="right"/>
              <w:rPr/>
            </w:pPr>
            <w:r>
              <w:rPr/>
              <w:t> </w:t>
            </w:r>
          </w:p>
        </w:tc>
        <w:tc>
          <w:tcPr>
            <w:tcW w:w="149"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8"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532,357</w:t>
            </w:r>
          </w:p>
        </w:tc>
        <w:tc>
          <w:tcPr>
            <w:tcW w:w="71" w:type="dxa"/>
            <w:tcBorders/>
            <w:shd w:fill="FFFFFF" w:val="clear"/>
            <w:tcMar>
              <w:bottom w:w="0" w:type="dxa"/>
            </w:tcMar>
            <w:vAlign w:val="center"/>
          </w:tcPr>
          <w:p>
            <w:pPr>
              <w:pStyle w:val="TableContents"/>
              <w:bidi w:val="0"/>
              <w:spacing w:before="0" w:after="0"/>
              <w:jc w:val="right"/>
              <w:rPr/>
            </w:pPr>
            <w:r>
              <w:rPr/>
              <w:t> </w:t>
            </w:r>
          </w:p>
        </w:tc>
        <w:tc>
          <w:tcPr>
            <w:tcW w:w="149"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6"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520,473</w:t>
            </w:r>
          </w:p>
        </w:tc>
      </w:tr>
      <w:tr>
        <w:trPr/>
        <w:tc>
          <w:tcPr>
            <w:tcW w:w="4010" w:type="dxa"/>
            <w:tcBorders/>
            <w:shd w:fill="CCEEFF" w:val="clear"/>
            <w:tcMar>
              <w:bottom w:w="0" w:type="dxa"/>
            </w:tcMar>
            <w:vAlign w:val="center"/>
          </w:tcPr>
          <w:p>
            <w:pPr>
              <w:pStyle w:val="TableContents"/>
              <w:bidi w:val="0"/>
              <w:spacing w:before="0" w:after="0"/>
              <w:jc w:val="left"/>
              <w:rPr/>
            </w:pPr>
            <w:r>
              <w:rPr/>
              <w:t> </w:t>
            </w:r>
          </w:p>
        </w:tc>
        <w:tc>
          <w:tcPr>
            <w:tcW w:w="184" w:type="dxa"/>
            <w:tcBorders/>
            <w:shd w:fill="CCEEFF" w:val="clear"/>
            <w:tcMar>
              <w:bottom w:w="0" w:type="dxa"/>
            </w:tcMar>
            <w:vAlign w:val="center"/>
          </w:tcPr>
          <w:p>
            <w:pPr>
              <w:pStyle w:val="TableContents"/>
              <w:bidi w:val="0"/>
              <w:spacing w:before="0" w:after="0"/>
              <w:jc w:val="left"/>
              <w:rPr/>
            </w:pPr>
            <w:r>
              <w:rPr/>
              <w:t> </w:t>
            </w:r>
          </w:p>
        </w:tc>
        <w:tc>
          <w:tcPr>
            <w:tcW w:w="1026" w:type="dxa"/>
            <w:tcBorders/>
            <w:shd w:fill="CCEEFF" w:val="clear"/>
            <w:tcMar>
              <w:bottom w:w="0" w:type="dxa"/>
            </w:tcMar>
            <w:vAlign w:val="center"/>
          </w:tcPr>
          <w:p>
            <w:pPr>
              <w:pStyle w:val="TableContents"/>
              <w:bidi w:val="0"/>
              <w:spacing w:before="0" w:after="0"/>
              <w:jc w:val="right"/>
              <w:rPr/>
            </w:pPr>
            <w:r>
              <w:rPr/>
              <w:t> </w:t>
            </w:r>
          </w:p>
        </w:tc>
        <w:tc>
          <w:tcPr>
            <w:tcW w:w="88" w:type="dxa"/>
            <w:tcBorders/>
            <w:shd w:fill="CCEEFF" w:val="clear"/>
            <w:tcMar>
              <w:bottom w:w="0" w:type="dxa"/>
            </w:tcMar>
            <w:vAlign w:val="center"/>
          </w:tcPr>
          <w:p>
            <w:pPr>
              <w:pStyle w:val="TableContents"/>
              <w:bidi w:val="0"/>
              <w:spacing w:before="0" w:after="0"/>
              <w:jc w:val="right"/>
              <w:rPr/>
            </w:pPr>
            <w:r>
              <w:rPr/>
              <w:t> </w:t>
            </w:r>
          </w:p>
        </w:tc>
        <w:tc>
          <w:tcPr>
            <w:tcW w:w="184" w:type="dxa"/>
            <w:tcBorders/>
            <w:shd w:fill="CCEEFF" w:val="clear"/>
            <w:tcMar>
              <w:bottom w:w="0" w:type="dxa"/>
            </w:tcMar>
            <w:vAlign w:val="center"/>
          </w:tcPr>
          <w:p>
            <w:pPr>
              <w:pStyle w:val="TableContents"/>
              <w:bidi w:val="0"/>
              <w:spacing w:before="0" w:after="0"/>
              <w:jc w:val="left"/>
              <w:rPr/>
            </w:pPr>
            <w:r>
              <w:rPr/>
              <w:t> </w:t>
            </w:r>
          </w:p>
        </w:tc>
        <w:tc>
          <w:tcPr>
            <w:tcW w:w="1026" w:type="dxa"/>
            <w:tcBorders/>
            <w:shd w:fill="CCEEFF" w:val="clear"/>
            <w:tcMar>
              <w:bottom w:w="0" w:type="dxa"/>
            </w:tcM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right"/>
              <w:rPr/>
            </w:pPr>
            <w:r>
              <w:rPr/>
              <w:t> </w:t>
            </w:r>
          </w:p>
        </w:tc>
        <w:tc>
          <w:tcPr>
            <w:tcW w:w="149" w:type="dxa"/>
            <w:tcBorders/>
            <w:shd w:fill="CCEEFF" w:val="clear"/>
            <w:tcMar>
              <w:bottom w:w="0" w:type="dxa"/>
            </w:tcMar>
            <w:vAlign w:val="center"/>
          </w:tcPr>
          <w:p>
            <w:pPr>
              <w:pStyle w:val="TableContents"/>
              <w:bidi w:val="0"/>
              <w:spacing w:before="0" w:after="0"/>
              <w:jc w:val="left"/>
              <w:rPr/>
            </w:pPr>
            <w:r>
              <w:rPr/>
              <w:t> </w:t>
            </w:r>
          </w:p>
        </w:tc>
        <w:tc>
          <w:tcPr>
            <w:tcW w:w="1008" w:type="dxa"/>
            <w:tcBorders/>
            <w:shd w:fill="CCEEFF" w:val="clear"/>
            <w:tcMar>
              <w:bottom w:w="0" w:type="dxa"/>
            </w:tcMar>
            <w:vAlign w:val="center"/>
          </w:tcPr>
          <w:p>
            <w:pPr>
              <w:pStyle w:val="TableContents"/>
              <w:bidi w:val="0"/>
              <w:spacing w:before="0" w:after="0"/>
              <w:jc w:val="right"/>
              <w:rPr/>
            </w:pPr>
            <w:r>
              <w:rPr/>
              <w:t> </w:t>
            </w:r>
          </w:p>
        </w:tc>
        <w:tc>
          <w:tcPr>
            <w:tcW w:w="71" w:type="dxa"/>
            <w:tcBorders/>
            <w:shd w:fill="CCEEFF" w:val="clear"/>
            <w:tcMar>
              <w:bottom w:w="0" w:type="dxa"/>
            </w:tcMar>
            <w:vAlign w:val="center"/>
          </w:tcPr>
          <w:p>
            <w:pPr>
              <w:pStyle w:val="TableContents"/>
              <w:bidi w:val="0"/>
              <w:spacing w:before="0" w:after="0"/>
              <w:jc w:val="right"/>
              <w:rPr/>
            </w:pPr>
            <w:r>
              <w:rPr/>
              <w:t> </w:t>
            </w:r>
          </w:p>
        </w:tc>
        <w:tc>
          <w:tcPr>
            <w:tcW w:w="149" w:type="dxa"/>
            <w:tcBorders/>
            <w:shd w:fill="CCEEFF" w:val="clear"/>
            <w:tcMar>
              <w:bottom w:w="0" w:type="dxa"/>
            </w:tcMar>
            <w:vAlign w:val="center"/>
          </w:tcPr>
          <w:p>
            <w:pPr>
              <w:pStyle w:val="TableContents"/>
              <w:bidi w:val="0"/>
              <w:spacing w:before="0" w:after="0"/>
              <w:jc w:val="left"/>
              <w:rPr/>
            </w:pPr>
            <w:r>
              <w:rPr/>
              <w:t> </w:t>
            </w:r>
          </w:p>
        </w:tc>
        <w:tc>
          <w:tcPr>
            <w:tcW w:w="1026" w:type="dxa"/>
            <w:tcBorders/>
            <w:shd w:fill="CCEEFF" w:val="clear"/>
            <w:tcMar>
              <w:bottom w:w="0" w:type="dxa"/>
            </w:tcMar>
            <w:vAlign w:val="center"/>
          </w:tcPr>
          <w:p>
            <w:pPr>
              <w:pStyle w:val="TableContents"/>
              <w:bidi w:val="0"/>
              <w:spacing w:before="0" w:after="0"/>
              <w:jc w:val="right"/>
              <w:rPr/>
            </w:pPr>
            <w:r>
              <w:rPr/>
              <w:t> </w:t>
            </w:r>
          </w:p>
        </w:tc>
      </w:tr>
      <w:tr>
        <w:trPr/>
        <w:tc>
          <w:tcPr>
            <w:tcW w:w="4010" w:type="dxa"/>
            <w:tcBorders/>
            <w:shd w:fill="FFFFFF" w:val="clear"/>
            <w:tcMar>
              <w:bottom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Unconsolidated joint ventures: (1)</w:t>
            </w:r>
          </w:p>
        </w:tc>
        <w:tc>
          <w:tcPr>
            <w:tcW w:w="184" w:type="dxa"/>
            <w:tcBorders/>
            <w:shd w:fill="FFFFFF" w:val="clear"/>
            <w:tcMar>
              <w:bottom w:w="0" w:type="dxa"/>
            </w:tcMar>
            <w:vAlign w:val="center"/>
          </w:tcPr>
          <w:p>
            <w:pPr>
              <w:pStyle w:val="TableContents"/>
              <w:bidi w:val="0"/>
              <w:spacing w:before="0" w:after="0"/>
              <w:jc w:val="left"/>
              <w:rPr/>
            </w:pPr>
            <w:r>
              <w:rPr/>
              <w:t> </w:t>
            </w:r>
          </w:p>
        </w:tc>
        <w:tc>
          <w:tcPr>
            <w:tcW w:w="1026" w:type="dxa"/>
            <w:tcBorders/>
            <w:shd w:fill="FFFFFF" w:val="clear"/>
            <w:tcMar>
              <w:bottom w:w="0" w:type="dxa"/>
            </w:tcMar>
            <w:vAlign w:val="center"/>
          </w:tcPr>
          <w:p>
            <w:pPr>
              <w:pStyle w:val="TableContents"/>
              <w:bidi w:val="0"/>
              <w:spacing w:before="0" w:after="0"/>
              <w:jc w:val="right"/>
              <w:rPr/>
            </w:pPr>
            <w:r>
              <w:rPr/>
              <w:t> </w:t>
            </w:r>
          </w:p>
        </w:tc>
        <w:tc>
          <w:tcPr>
            <w:tcW w:w="88" w:type="dxa"/>
            <w:tcBorders/>
            <w:shd w:fill="FFFFFF" w:val="clear"/>
            <w:tcMar>
              <w:bottom w:w="0" w:type="dxa"/>
            </w:tcMar>
            <w:vAlign w:val="center"/>
          </w:tcPr>
          <w:p>
            <w:pPr>
              <w:pStyle w:val="TableContents"/>
              <w:bidi w:val="0"/>
              <w:spacing w:before="0" w:after="0"/>
              <w:jc w:val="right"/>
              <w:rPr/>
            </w:pPr>
            <w:r>
              <w:rPr/>
              <w:t> </w:t>
            </w:r>
          </w:p>
        </w:tc>
        <w:tc>
          <w:tcPr>
            <w:tcW w:w="184" w:type="dxa"/>
            <w:tcBorders/>
            <w:shd w:fill="FFFFFF" w:val="clear"/>
            <w:tcMar>
              <w:bottom w:w="0" w:type="dxa"/>
            </w:tcMar>
            <w:vAlign w:val="center"/>
          </w:tcPr>
          <w:p>
            <w:pPr>
              <w:pStyle w:val="TableContents"/>
              <w:bidi w:val="0"/>
              <w:spacing w:before="0" w:after="0"/>
              <w:jc w:val="left"/>
              <w:rPr/>
            </w:pPr>
            <w:r>
              <w:rPr/>
              <w:t> </w:t>
            </w:r>
          </w:p>
        </w:tc>
        <w:tc>
          <w:tcPr>
            <w:tcW w:w="1026"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right"/>
              <w:rPr/>
            </w:pPr>
            <w:r>
              <w:rPr/>
              <w:t> </w:t>
            </w:r>
          </w:p>
        </w:tc>
        <w:tc>
          <w:tcPr>
            <w:tcW w:w="149" w:type="dxa"/>
            <w:tcBorders/>
            <w:shd w:fill="FFFFFF" w:val="clear"/>
            <w:tcMar>
              <w:bottom w:w="0" w:type="dxa"/>
            </w:tcMar>
            <w:vAlign w:val="center"/>
          </w:tcPr>
          <w:p>
            <w:pPr>
              <w:pStyle w:val="TableContents"/>
              <w:bidi w:val="0"/>
              <w:spacing w:before="0" w:after="0"/>
              <w:jc w:val="left"/>
              <w:rPr/>
            </w:pPr>
            <w:r>
              <w:rPr/>
              <w:t> </w:t>
            </w:r>
          </w:p>
        </w:tc>
        <w:tc>
          <w:tcPr>
            <w:tcW w:w="1008" w:type="dxa"/>
            <w:tcBorders/>
            <w:shd w:fill="FFFFFF" w:val="clear"/>
            <w:tcMar>
              <w:bottom w:w="0" w:type="dxa"/>
            </w:tcMar>
            <w:vAlign w:val="center"/>
          </w:tcPr>
          <w:p>
            <w:pPr>
              <w:pStyle w:val="TableContents"/>
              <w:bidi w:val="0"/>
              <w:spacing w:before="0" w:after="0"/>
              <w:jc w:val="right"/>
              <w:rPr/>
            </w:pPr>
            <w:r>
              <w:rPr/>
              <w:t> </w:t>
            </w:r>
          </w:p>
        </w:tc>
        <w:tc>
          <w:tcPr>
            <w:tcW w:w="71" w:type="dxa"/>
            <w:tcBorders/>
            <w:shd w:fill="FFFFFF" w:val="clear"/>
            <w:tcMar>
              <w:bottom w:w="0" w:type="dxa"/>
            </w:tcMar>
            <w:vAlign w:val="center"/>
          </w:tcPr>
          <w:p>
            <w:pPr>
              <w:pStyle w:val="TableContents"/>
              <w:bidi w:val="0"/>
              <w:spacing w:before="0" w:after="0"/>
              <w:jc w:val="right"/>
              <w:rPr/>
            </w:pPr>
            <w:r>
              <w:rPr/>
              <w:t> </w:t>
            </w:r>
          </w:p>
        </w:tc>
        <w:tc>
          <w:tcPr>
            <w:tcW w:w="149" w:type="dxa"/>
            <w:tcBorders/>
            <w:shd w:fill="FFFFFF" w:val="clear"/>
            <w:tcMar>
              <w:bottom w:w="0" w:type="dxa"/>
            </w:tcMar>
            <w:vAlign w:val="center"/>
          </w:tcPr>
          <w:p>
            <w:pPr>
              <w:pStyle w:val="TableContents"/>
              <w:bidi w:val="0"/>
              <w:spacing w:before="0" w:after="0"/>
              <w:jc w:val="left"/>
              <w:rPr/>
            </w:pPr>
            <w:r>
              <w:rPr/>
              <w:t> </w:t>
            </w:r>
          </w:p>
        </w:tc>
        <w:tc>
          <w:tcPr>
            <w:tcW w:w="1026" w:type="dxa"/>
            <w:tcBorders/>
            <w:shd w:fill="FFFFFF" w:val="clear"/>
            <w:tcMar>
              <w:bottom w:w="0" w:type="dxa"/>
            </w:tcMar>
            <w:vAlign w:val="center"/>
          </w:tcPr>
          <w:p>
            <w:pPr>
              <w:pStyle w:val="TableContents"/>
              <w:bidi w:val="0"/>
              <w:spacing w:before="0" w:after="0"/>
              <w:jc w:val="right"/>
              <w:rPr/>
            </w:pPr>
            <w:r>
              <w:rPr/>
              <w:t> </w:t>
            </w:r>
          </w:p>
        </w:tc>
      </w:tr>
      <w:tr>
        <w:trPr/>
        <w:tc>
          <w:tcPr>
            <w:tcW w:w="401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Housing revenues</w:t>
            </w:r>
          </w:p>
        </w:tc>
        <w:tc>
          <w:tcPr>
            <w:tcW w:w="184"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6"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155,567</w:t>
            </w:r>
          </w:p>
        </w:tc>
        <w:tc>
          <w:tcPr>
            <w:tcW w:w="88" w:type="dxa"/>
            <w:tcBorders/>
            <w:shd w:fill="CCEEFF" w:val="clear"/>
            <w:tcMar>
              <w:bottom w:w="0" w:type="dxa"/>
            </w:tcMar>
            <w:vAlign w:val="center"/>
          </w:tcPr>
          <w:p>
            <w:pPr>
              <w:pStyle w:val="TableContents"/>
              <w:bidi w:val="0"/>
              <w:spacing w:before="0" w:after="0"/>
              <w:jc w:val="right"/>
              <w:rPr/>
            </w:pPr>
            <w:r>
              <w:rPr/>
              <w:t> </w:t>
            </w:r>
          </w:p>
        </w:tc>
        <w:tc>
          <w:tcPr>
            <w:tcW w:w="184"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6"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165,148</w:t>
            </w:r>
          </w:p>
        </w:tc>
        <w:tc>
          <w:tcPr>
            <w:tcW w:w="60" w:type="dxa"/>
            <w:tcBorders/>
            <w:shd w:fill="CCEEFF" w:val="clear"/>
            <w:tcMar>
              <w:bottom w:w="0" w:type="dxa"/>
            </w:tcMar>
            <w:vAlign w:val="center"/>
          </w:tcPr>
          <w:p>
            <w:pPr>
              <w:pStyle w:val="TableContents"/>
              <w:bidi w:val="0"/>
              <w:spacing w:before="0" w:after="0"/>
              <w:jc w:val="right"/>
              <w:rPr/>
            </w:pPr>
            <w:r>
              <w:rPr/>
              <w:t> </w:t>
            </w:r>
          </w:p>
        </w:tc>
        <w:tc>
          <w:tcPr>
            <w:tcW w:w="149"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8"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353,872</w:t>
            </w:r>
          </w:p>
        </w:tc>
        <w:tc>
          <w:tcPr>
            <w:tcW w:w="71" w:type="dxa"/>
            <w:tcBorders/>
            <w:shd w:fill="CCEEFF" w:val="clear"/>
            <w:tcMar>
              <w:bottom w:w="0" w:type="dxa"/>
            </w:tcMar>
            <w:vAlign w:val="center"/>
          </w:tcPr>
          <w:p>
            <w:pPr>
              <w:pStyle w:val="TableContents"/>
              <w:bidi w:val="0"/>
              <w:spacing w:before="0" w:after="0"/>
              <w:jc w:val="right"/>
              <w:rPr/>
            </w:pPr>
            <w:r>
              <w:rPr/>
              <w:t> </w:t>
            </w:r>
          </w:p>
        </w:tc>
        <w:tc>
          <w:tcPr>
            <w:tcW w:w="149"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6"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441,419</w:t>
            </w:r>
          </w:p>
        </w:tc>
      </w:tr>
      <w:tr>
        <w:trPr/>
        <w:tc>
          <w:tcPr>
            <w:tcW w:w="401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Homes delivered</w:t>
            </w:r>
          </w:p>
        </w:tc>
        <w:tc>
          <w:tcPr>
            <w:tcW w:w="184" w:type="dxa"/>
            <w:tcBorders/>
            <w:shd w:fill="FFFFFF" w:val="clear"/>
            <w:tcMar>
              <w:bottom w:w="0" w:type="dxa"/>
            </w:tcMar>
            <w:vAlign w:val="center"/>
          </w:tcPr>
          <w:p>
            <w:pPr>
              <w:pStyle w:val="TableContents"/>
              <w:bidi w:val="0"/>
              <w:spacing w:before="0" w:after="0"/>
              <w:jc w:val="left"/>
              <w:rPr/>
            </w:pPr>
            <w:r>
              <w:rPr/>
              <w:t> </w:t>
            </w:r>
          </w:p>
        </w:tc>
        <w:tc>
          <w:tcPr>
            <w:tcW w:w="1026"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225</w:t>
            </w:r>
          </w:p>
        </w:tc>
        <w:tc>
          <w:tcPr>
            <w:tcW w:w="88" w:type="dxa"/>
            <w:tcBorders/>
            <w:shd w:fill="FFFFFF" w:val="clear"/>
            <w:tcMar>
              <w:bottom w:w="0" w:type="dxa"/>
            </w:tcMar>
            <w:vAlign w:val="center"/>
          </w:tcPr>
          <w:p>
            <w:pPr>
              <w:pStyle w:val="TableContents"/>
              <w:bidi w:val="0"/>
              <w:spacing w:before="0" w:after="0"/>
              <w:jc w:val="right"/>
              <w:rPr/>
            </w:pPr>
            <w:r>
              <w:rPr/>
              <w:t> </w:t>
            </w:r>
          </w:p>
        </w:tc>
        <w:tc>
          <w:tcPr>
            <w:tcW w:w="184" w:type="dxa"/>
            <w:tcBorders/>
            <w:shd w:fill="FFFFFF" w:val="clear"/>
            <w:tcMar>
              <w:bottom w:w="0" w:type="dxa"/>
            </w:tcMar>
            <w:vAlign w:val="center"/>
          </w:tcPr>
          <w:p>
            <w:pPr>
              <w:pStyle w:val="TableContents"/>
              <w:bidi w:val="0"/>
              <w:spacing w:before="0" w:after="0"/>
              <w:jc w:val="left"/>
              <w:rPr/>
            </w:pPr>
            <w:r>
              <w:rPr/>
              <w:t> </w:t>
            </w:r>
          </w:p>
        </w:tc>
        <w:tc>
          <w:tcPr>
            <w:tcW w:w="1026"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246</w:t>
            </w:r>
          </w:p>
        </w:tc>
        <w:tc>
          <w:tcPr>
            <w:tcW w:w="60" w:type="dxa"/>
            <w:tcBorders/>
            <w:shd w:fill="FFFFFF" w:val="clear"/>
            <w:tcMar>
              <w:bottom w:w="0" w:type="dxa"/>
            </w:tcMar>
            <w:vAlign w:val="center"/>
          </w:tcPr>
          <w:p>
            <w:pPr>
              <w:pStyle w:val="TableContents"/>
              <w:bidi w:val="0"/>
              <w:spacing w:before="0" w:after="0"/>
              <w:jc w:val="right"/>
              <w:rPr/>
            </w:pPr>
            <w:r>
              <w:rPr/>
              <w:t> </w:t>
            </w:r>
          </w:p>
        </w:tc>
        <w:tc>
          <w:tcPr>
            <w:tcW w:w="149" w:type="dxa"/>
            <w:tcBorders/>
            <w:shd w:fill="FFFFFF" w:val="clear"/>
            <w:tcMar>
              <w:bottom w:w="0" w:type="dxa"/>
            </w:tcMar>
            <w:vAlign w:val="center"/>
          </w:tcPr>
          <w:p>
            <w:pPr>
              <w:pStyle w:val="TableContents"/>
              <w:bidi w:val="0"/>
              <w:spacing w:before="0" w:after="0"/>
              <w:jc w:val="left"/>
              <w:rPr/>
            </w:pPr>
            <w:r>
              <w:rPr/>
              <w:t> </w:t>
            </w:r>
          </w:p>
        </w:tc>
        <w:tc>
          <w:tcPr>
            <w:tcW w:w="1008"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524</w:t>
            </w:r>
          </w:p>
        </w:tc>
        <w:tc>
          <w:tcPr>
            <w:tcW w:w="71" w:type="dxa"/>
            <w:tcBorders/>
            <w:shd w:fill="FFFFFF" w:val="clear"/>
            <w:tcMar>
              <w:bottom w:w="0" w:type="dxa"/>
            </w:tcMar>
            <w:vAlign w:val="center"/>
          </w:tcPr>
          <w:p>
            <w:pPr>
              <w:pStyle w:val="TableContents"/>
              <w:bidi w:val="0"/>
              <w:spacing w:before="0" w:after="0"/>
              <w:jc w:val="right"/>
              <w:rPr/>
            </w:pPr>
            <w:r>
              <w:rPr/>
              <w:t> </w:t>
            </w:r>
          </w:p>
        </w:tc>
        <w:tc>
          <w:tcPr>
            <w:tcW w:w="149" w:type="dxa"/>
            <w:tcBorders/>
            <w:shd w:fill="FFFFFF" w:val="clear"/>
            <w:tcMar>
              <w:bottom w:w="0" w:type="dxa"/>
            </w:tcMar>
            <w:vAlign w:val="center"/>
          </w:tcPr>
          <w:p>
            <w:pPr>
              <w:pStyle w:val="TableContents"/>
              <w:bidi w:val="0"/>
              <w:spacing w:before="0" w:after="0"/>
              <w:jc w:val="left"/>
              <w:rPr/>
            </w:pPr>
            <w:r>
              <w:rPr/>
              <w:t> </w:t>
            </w:r>
          </w:p>
        </w:tc>
        <w:tc>
          <w:tcPr>
            <w:tcW w:w="1026"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650</w:t>
            </w:r>
          </w:p>
        </w:tc>
      </w:tr>
      <w:tr>
        <w:trPr/>
        <w:tc>
          <w:tcPr>
            <w:tcW w:w="401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Average sales price</w:t>
            </w:r>
          </w:p>
        </w:tc>
        <w:tc>
          <w:tcPr>
            <w:tcW w:w="184"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6"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691,409</w:t>
            </w:r>
          </w:p>
        </w:tc>
        <w:tc>
          <w:tcPr>
            <w:tcW w:w="88" w:type="dxa"/>
            <w:tcBorders/>
            <w:shd w:fill="CCEEFF" w:val="clear"/>
            <w:tcMar>
              <w:bottom w:w="0" w:type="dxa"/>
            </w:tcMar>
            <w:vAlign w:val="center"/>
          </w:tcPr>
          <w:p>
            <w:pPr>
              <w:pStyle w:val="TableContents"/>
              <w:bidi w:val="0"/>
              <w:spacing w:before="0" w:after="0"/>
              <w:jc w:val="right"/>
              <w:rPr/>
            </w:pPr>
            <w:r>
              <w:rPr/>
              <w:t> </w:t>
            </w:r>
          </w:p>
        </w:tc>
        <w:tc>
          <w:tcPr>
            <w:tcW w:w="184"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6"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671,333</w:t>
            </w:r>
          </w:p>
        </w:tc>
        <w:tc>
          <w:tcPr>
            <w:tcW w:w="60" w:type="dxa"/>
            <w:tcBorders/>
            <w:shd w:fill="CCEEFF" w:val="clear"/>
            <w:tcMar>
              <w:bottom w:w="0" w:type="dxa"/>
            </w:tcMar>
            <w:vAlign w:val="center"/>
          </w:tcPr>
          <w:p>
            <w:pPr>
              <w:pStyle w:val="TableContents"/>
              <w:bidi w:val="0"/>
              <w:spacing w:before="0" w:after="0"/>
              <w:jc w:val="right"/>
              <w:rPr/>
            </w:pPr>
            <w:r>
              <w:rPr/>
              <w:t> </w:t>
            </w:r>
          </w:p>
        </w:tc>
        <w:tc>
          <w:tcPr>
            <w:tcW w:w="149"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8"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675,328</w:t>
            </w:r>
          </w:p>
        </w:tc>
        <w:tc>
          <w:tcPr>
            <w:tcW w:w="71" w:type="dxa"/>
            <w:tcBorders/>
            <w:shd w:fill="CCEEFF" w:val="clear"/>
            <w:tcMar>
              <w:bottom w:w="0" w:type="dxa"/>
            </w:tcMar>
            <w:vAlign w:val="center"/>
          </w:tcPr>
          <w:p>
            <w:pPr>
              <w:pStyle w:val="TableContents"/>
              <w:bidi w:val="0"/>
              <w:spacing w:before="0" w:after="0"/>
              <w:jc w:val="right"/>
              <w:rPr/>
            </w:pPr>
            <w:r>
              <w:rPr/>
              <w:t> </w:t>
            </w:r>
          </w:p>
        </w:tc>
        <w:tc>
          <w:tcPr>
            <w:tcW w:w="149"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6"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679,106</w:t>
            </w:r>
          </w:p>
        </w:tc>
      </w:tr>
    </w:tbl>
    <w:p>
      <w:pPr>
        <w:pStyle w:val="TextBody"/>
        <w:bidi w:val="0"/>
        <w:spacing w:lineRule="atLeast" w:line="240" w:before="0" w:after="0"/>
        <w:ind w:left="360" w:right="0" w:hanging="0"/>
        <w:jc w:val="left"/>
        <w:rPr/>
      </w:pPr>
      <w:r>
        <w:rPr/>
        <w:t> </w:t>
      </w:r>
    </w:p>
    <w:p>
      <w:pPr>
        <w:pStyle w:val="TextBody"/>
        <w:bidi w:val="0"/>
        <w:spacing w:lineRule="atLeast" w:line="240" w:before="0" w:after="0"/>
        <w:ind w:left="360" w:right="0" w:hanging="360"/>
        <w:jc w:val="left"/>
        <w:rPr/>
      </w:pPr>
      <w:r>
        <w:rPr>
          <w:i/>
          <w:sz w:val="20"/>
        </w:rPr>
        <w:t>(1)</w:t>
      </w:r>
      <w:r>
        <w:rPr>
          <w:caps w:val="false"/>
          <w:smallCaps w:val="false"/>
        </w:rPr>
        <w:t xml:space="preserve">    </w:t>
      </w:r>
      <w:r>
        <w:rPr>
          <w:i/>
          <w:sz w:val="20"/>
        </w:rPr>
        <w:t>Represents housing revenues and home deliveries for our unconsolidated homebuilding joint ventures for the period. We provide this data as a supplement to our consolidated results as an indicator of the volume managed in our unconsolidated joint ventures. See Note 18</w:t>
      </w:r>
      <w:r>
        <w:rPr/>
        <w:t xml:space="preserve"> </w:t>
      </w:r>
      <w:r>
        <w:rPr>
          <w:i/>
          <w:sz w:val="20"/>
        </w:rPr>
        <w:t>to the Condensed Consolidated Financial Statements included elsewhere in this Quarterly Report on Form 10-Q for a further discussion of our unconsolidated joint ventures.</w:t>
      </w:r>
    </w:p>
    <w:p>
      <w:pPr>
        <w:pStyle w:val="TextBody"/>
        <w:bidi w:val="0"/>
        <w:spacing w:lineRule="atLeast" w:line="240" w:before="0" w:after="0"/>
        <w:jc w:val="left"/>
        <w:rPr/>
      </w:pPr>
      <w:r>
        <w:rPr/>
        <w:t> </w:t>
      </w:r>
    </w:p>
    <w:p>
      <w:pPr>
        <w:pStyle w:val="TextBody"/>
        <w:bidi w:val="0"/>
        <w:spacing w:lineRule="atLeast" w:line="240" w:before="0" w:after="0"/>
        <w:ind w:left="360" w:right="0" w:hanging="360"/>
        <w:jc w:val="left"/>
        <w:rPr>
          <w:b/>
          <w:i/>
          <w:sz w:val="20"/>
        </w:rPr>
      </w:pPr>
      <w:r>
        <w:rPr>
          <w:b/>
          <w:i/>
          <w:sz w:val="20"/>
        </w:rPr>
        <w:t>Homebuilding: Land Sales and Other Revenues</w:t>
      </w:r>
    </w:p>
    <w:p>
      <w:pPr>
        <w:pStyle w:val="TextBody"/>
        <w:bidi w:val="0"/>
        <w:spacing w:lineRule="atLeast" w:line="240" w:before="200" w:after="200"/>
        <w:ind w:left="0" w:right="0" w:firstLine="900"/>
        <w:jc w:val="left"/>
        <w:rPr/>
      </w:pPr>
      <w:r>
        <w:rPr>
          <w:sz w:val="20"/>
        </w:rPr>
        <w:t xml:space="preserve">Land sales and other revenues increased $0.1 million and $52.7 million for the </w:t>
      </w:r>
      <w:r>
        <w:rPr>
          <w:rFonts w:ascii="Times New Roman" w:hAnsi="Times New Roman"/>
          <w:sz w:val="20"/>
        </w:rPr>
        <w:t>three and nine</w:t>
      </w:r>
      <w:r>
        <w:rPr/>
        <w:t xml:space="preserve"> </w:t>
      </w:r>
      <w:r>
        <w:rPr>
          <w:sz w:val="20"/>
        </w:rPr>
        <w:t xml:space="preserve">months ended </w:t>
      </w:r>
      <w:r>
        <w:rPr>
          <w:rFonts w:ascii="Times New Roman" w:hAnsi="Times New Roman"/>
          <w:sz w:val="20"/>
        </w:rPr>
        <w:t>July 31, 2026</w:t>
      </w:r>
      <w:r>
        <w:rPr>
          <w:sz w:val="20"/>
        </w:rPr>
        <w:t xml:space="preserve">, respectively, compared with the same periods in the prior year. Revenue associated with land sales can vary significantly due to the mix of land parcels sold. There were zero and four land sales during the </w:t>
      </w:r>
      <w:r>
        <w:rPr>
          <w:rFonts w:ascii="Times New Roman" w:hAnsi="Times New Roman"/>
          <w:sz w:val="20"/>
        </w:rPr>
        <w:t>three and nine</w:t>
      </w:r>
      <w:r>
        <w:rPr/>
        <w:t xml:space="preserve"> </w:t>
      </w:r>
      <w:r>
        <w:rPr>
          <w:sz w:val="20"/>
        </w:rPr>
        <w:t xml:space="preserve">months ended </w:t>
      </w:r>
      <w:r>
        <w:rPr>
          <w:rFonts w:ascii="Times New Roman" w:hAnsi="Times New Roman"/>
          <w:sz w:val="20"/>
        </w:rPr>
        <w:t>July 31, 2026</w:t>
      </w:r>
      <w:r>
        <w:rPr>
          <w:sz w:val="20"/>
        </w:rPr>
        <w:t xml:space="preserve">, respectively, and two and five land sales in the three and nine months ended </w:t>
      </w:r>
      <w:r>
        <w:rPr>
          <w:rFonts w:ascii="Times New Roman" w:hAnsi="Times New Roman"/>
          <w:sz w:val="20"/>
        </w:rPr>
        <w:t>July 31, 2025</w:t>
      </w:r>
      <w:r>
        <w:rPr>
          <w:sz w:val="20"/>
        </w:rPr>
        <w:t>, respectively. Land sales revenues decreased $</w:t>
      </w:r>
      <w:r>
        <w:rPr>
          <w:rFonts w:ascii="Times New Roman" w:hAnsi="Times New Roman"/>
          <w:sz w:val="20"/>
        </w:rPr>
        <w:t>1.2</w:t>
      </w:r>
      <w:r>
        <w:rPr/>
        <w:t xml:space="preserve"> </w:t>
      </w:r>
      <w:r>
        <w:rPr>
          <w:sz w:val="20"/>
        </w:rPr>
        <w:t>million and increased $</w:t>
      </w:r>
      <w:r>
        <w:rPr>
          <w:rFonts w:ascii="Times New Roman" w:hAnsi="Times New Roman"/>
          <w:sz w:val="20"/>
        </w:rPr>
        <w:t>47.6</w:t>
      </w:r>
      <w:r>
        <w:rPr/>
        <w:t xml:space="preserve"> </w:t>
      </w:r>
      <w:r>
        <w:rPr>
          <w:sz w:val="20"/>
        </w:rPr>
        <w:t xml:space="preserve">million during the </w:t>
      </w:r>
      <w:r>
        <w:rPr>
          <w:rFonts w:ascii="Times New Roman" w:hAnsi="Times New Roman"/>
          <w:sz w:val="20"/>
        </w:rPr>
        <w:t>three and nine</w:t>
      </w:r>
      <w:r>
        <w:rPr/>
        <w:t xml:space="preserve"> </w:t>
      </w:r>
      <w:r>
        <w:rPr>
          <w:sz w:val="20"/>
        </w:rPr>
        <w:t xml:space="preserve">months ended </w:t>
      </w:r>
      <w:r>
        <w:rPr>
          <w:rFonts w:ascii="Times New Roman" w:hAnsi="Times New Roman"/>
          <w:sz w:val="20"/>
        </w:rPr>
        <w:t>July 31, 2026</w:t>
      </w:r>
      <w:r>
        <w:rPr>
          <w:sz w:val="20"/>
        </w:rPr>
        <w:t>, respectively, compared with the same periods in the prior year.</w:t>
      </w:r>
      <w:r>
        <w:rPr/>
        <w:t> </w:t>
      </w:r>
    </w:p>
    <w:p>
      <w:pPr>
        <w:pStyle w:val="TextBody"/>
        <w:bidi w:val="0"/>
        <w:spacing w:lineRule="atLeast" w:line="240" w:before="0" w:after="0"/>
        <w:ind w:left="360" w:right="0" w:hanging="360"/>
        <w:jc w:val="left"/>
        <w:rPr/>
      </w:pPr>
      <w:r>
        <w:rPr>
          <w:b/>
          <w:i/>
          <w:sz w:val="20"/>
        </w:rPr>
        <w:t>Homebuilding: Cost of Sales</w:t>
      </w:r>
      <w:r>
        <w:rPr/>
        <w:t> </w:t>
      </w:r>
    </w:p>
    <w:p>
      <w:pPr>
        <w:pStyle w:val="TextBody"/>
        <w:bidi w:val="0"/>
        <w:spacing w:lineRule="atLeast" w:line="240" w:before="200" w:after="200"/>
        <w:ind w:left="0" w:right="0" w:firstLine="900"/>
        <w:jc w:val="left"/>
        <w:rPr>
          <w:sz w:val="20"/>
        </w:rPr>
      </w:pPr>
      <w:r>
        <w:rPr>
          <w:sz w:val="20"/>
        </w:rPr>
        <w:t>Cost of sales includes expenses for consolidated housing and land and lot sales, including inventory impairments and land option write-offs (defined as “land charges” in the tables below). A breakout of such expenses for homebuilding and land and lot sales and the gross margins for each is set forth below.</w:t>
      </w:r>
    </w:p>
    <w:p>
      <w:pPr>
        <w:pStyle w:val="TextBody"/>
        <w:bidi w:val="0"/>
        <w:spacing w:lineRule="atLeast" w:line="240" w:before="200" w:after="200"/>
        <w:ind w:left="0" w:right="0" w:firstLine="900"/>
        <w:jc w:val="left"/>
        <w:rPr>
          <w:sz w:val="20"/>
        </w:rPr>
      </w:pPr>
      <w:r>
        <w:rPr>
          <w:sz w:val="20"/>
        </w:rPr>
        <w:t>Homebuilding gross margin, before cost of sales interest expense and land charges, is a non-GAAP financial measure. This measure should not be considered as an alternative to homebuilding gross margin determined in accordance with U.S. GAAP as an indicator of operating performance.</w:t>
      </w:r>
    </w:p>
    <w:p>
      <w:pPr>
        <w:pStyle w:val="TextBody"/>
        <w:bidi w:val="0"/>
        <w:spacing w:lineRule="atLeast" w:line="240" w:before="200" w:after="200"/>
        <w:ind w:left="0" w:right="0" w:firstLine="900"/>
        <w:jc w:val="left"/>
        <w:rPr>
          <w:sz w:val="20"/>
        </w:rPr>
      </w:pPr>
      <w:r>
        <w:rPr>
          <w:sz w:val="20"/>
        </w:rPr>
        <w:t>Management believes this non-GAAP measure enables investors to better understand our operating performance. This measure is also useful internally, helping management evaluate our operating results on a consolidated basis and relative to other companies in our industry. In particular, the magnitude and volatility of land charges for the Company, and for other homebuilders, have been significant and, as such, have made comparable financial analysis of our industry more difficult. Homebuilding metrics excluding land charges, as well as interest amortized to cost of sales, and other similar presentations prepared by analysts and other companies are frequently used to assist investors in understanding and comparing the operating characteristics of homebuilding activities by eliminating many of the differences in companies’ respective levels of impairments and debt.</w:t>
      </w:r>
    </w:p>
    <w:tbl>
      <w:tblPr>
        <w:tblW w:w="10205" w:type="dxa"/>
        <w:jc w:val="left"/>
        <w:tblInd w:w="0" w:type="dxa"/>
        <w:tblLayout w:type="fixed"/>
        <w:tblCellMar>
          <w:top w:w="0" w:type="dxa"/>
          <w:left w:w="0" w:type="dxa"/>
          <w:bottom w:w="0" w:type="dxa"/>
          <w:right w:w="0" w:type="dxa"/>
        </w:tblCellMar>
      </w:tblPr>
      <w:tblGrid>
        <w:gridCol w:w="5870"/>
        <w:gridCol w:w="125"/>
        <w:gridCol w:w="695"/>
        <w:gridCol w:w="185"/>
        <w:gridCol w:w="125"/>
        <w:gridCol w:w="695"/>
        <w:gridCol w:w="185"/>
        <w:gridCol w:w="125"/>
        <w:gridCol w:w="845"/>
        <w:gridCol w:w="185"/>
        <w:gridCol w:w="125"/>
        <w:gridCol w:w="845"/>
        <w:gridCol w:w="200"/>
      </w:tblGrid>
      <w:tr>
        <w:trPr/>
        <w:tc>
          <w:tcPr>
            <w:tcW w:w="5870" w:type="dxa"/>
            <w:tcBorders/>
            <w:vAlign w:val="center"/>
          </w:tcPr>
          <w:p>
            <w:pPr>
              <w:pStyle w:val="TableContents"/>
              <w:bidi w:val="0"/>
              <w:spacing w:before="0" w:after="0"/>
              <w:jc w:val="left"/>
              <w:rPr/>
            </w:pPr>
            <w:r>
              <w:rPr/>
              <w:t> </w:t>
            </w:r>
          </w:p>
        </w:tc>
        <w:tc>
          <w:tcPr>
            <w:tcW w:w="1825" w:type="dxa"/>
            <w:gridSpan w:val="5"/>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185" w:type="dxa"/>
            <w:tcBorders/>
            <w:vAlign w:val="center"/>
          </w:tcPr>
          <w:p>
            <w:pPr>
              <w:pStyle w:val="TableContents"/>
              <w:bidi w:val="0"/>
              <w:spacing w:before="0" w:after="0"/>
              <w:jc w:val="left"/>
              <w:rPr/>
            </w:pPr>
            <w:r>
              <w:rPr/>
              <w:t> </w:t>
            </w:r>
          </w:p>
        </w:tc>
        <w:tc>
          <w:tcPr>
            <w:tcW w:w="2125" w:type="dxa"/>
            <w:gridSpan w:val="5"/>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Nine Months Ended</w:t>
            </w:r>
          </w:p>
        </w:tc>
        <w:tc>
          <w:tcPr>
            <w:tcW w:w="200" w:type="dxa"/>
            <w:tcBorders/>
            <w:vAlign w:val="center"/>
          </w:tcPr>
          <w:p>
            <w:pPr>
              <w:pStyle w:val="TableContents"/>
              <w:bidi w:val="0"/>
              <w:spacing w:before="0" w:after="0"/>
              <w:jc w:val="left"/>
              <w:rPr/>
            </w:pPr>
            <w:r>
              <w:rPr/>
              <w:t> </w:t>
            </w:r>
          </w:p>
        </w:tc>
      </w:tr>
      <w:tr>
        <w:trPr/>
        <w:tc>
          <w:tcPr>
            <w:tcW w:w="5870" w:type="dxa"/>
            <w:tcBorders>
              <w:bottom w:val="single" w:sz="8" w:space="0" w:color="000000"/>
            </w:tcBorders>
            <w:tcMar>
              <w:bottom w:w="28" w:type="dxa"/>
            </w:tcMar>
            <w:vAlign w:val="center"/>
          </w:tcPr>
          <w:p>
            <w:pPr>
              <w:pStyle w:val="TableContents"/>
              <w:bidi w:val="0"/>
              <w:spacing w:before="0" w:after="0"/>
              <w:jc w:val="left"/>
              <w:rPr/>
            </w:pPr>
            <w:r>
              <w:rPr/>
              <w:t> </w:t>
            </w:r>
          </w:p>
        </w:tc>
        <w:tc>
          <w:tcPr>
            <w:tcW w:w="1825" w:type="dxa"/>
            <w:gridSpan w:val="5"/>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July 31,</w:t>
            </w:r>
          </w:p>
        </w:tc>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125" w:type="dxa"/>
            <w:gridSpan w:val="5"/>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July 31,</w:t>
            </w:r>
          </w:p>
        </w:tc>
        <w:tc>
          <w:tcPr>
            <w:tcW w:w="200"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587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(Dollars in thousands)</w:t>
            </w:r>
          </w:p>
        </w:tc>
        <w:tc>
          <w:tcPr>
            <w:tcW w:w="820"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20"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70"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70"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20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r>
      <w:tr>
        <w:trPr/>
        <w:tc>
          <w:tcPr>
            <w:tcW w:w="5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Sale of homes</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679,042</w:t>
            </w:r>
          </w:p>
        </w:tc>
        <w:tc>
          <w:tcPr>
            <w:tcW w:w="185"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769,050</w:t>
            </w:r>
          </w:p>
        </w:tc>
        <w:tc>
          <w:tcPr>
            <w:tcW w:w="18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1,858,989</w:t>
            </w:r>
          </w:p>
        </w:tc>
        <w:tc>
          <w:tcPr>
            <w:tcW w:w="18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2,066,278</w:t>
            </w:r>
          </w:p>
        </w:tc>
        <w:tc>
          <w:tcPr>
            <w:tcW w:w="200"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r>
      <w:tr>
        <w:trPr/>
        <w:tc>
          <w:tcPr>
            <w:tcW w:w="5870" w:type="dxa"/>
            <w:tcBorders>
              <w:bottom w:val="single" w:sz="8"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excluding interest expense and land charges</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579,573</w:t>
            </w:r>
          </w:p>
        </w:tc>
        <w:tc>
          <w:tcPr>
            <w:tcW w:w="18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636,015</w:t>
            </w:r>
          </w:p>
        </w:tc>
        <w:tc>
          <w:tcPr>
            <w:tcW w:w="18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1,595,651</w:t>
            </w:r>
          </w:p>
        </w:tc>
        <w:tc>
          <w:tcPr>
            <w:tcW w:w="18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1,702,360</w:t>
            </w:r>
          </w:p>
        </w:tc>
        <w:tc>
          <w:tcPr>
            <w:tcW w:w="200"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r>
      <w:tr>
        <w:trPr/>
        <w:tc>
          <w:tcPr>
            <w:tcW w:w="587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Homebuilding gross margin, before cost of sales interest expense and land charges</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9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99,469</w:t>
            </w:r>
          </w:p>
        </w:tc>
        <w:tc>
          <w:tcPr>
            <w:tcW w:w="18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9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133,035</w:t>
            </w:r>
          </w:p>
        </w:tc>
        <w:tc>
          <w:tcPr>
            <w:tcW w:w="18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84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263,338</w:t>
            </w:r>
          </w:p>
        </w:tc>
        <w:tc>
          <w:tcPr>
            <w:tcW w:w="18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84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363,918</w:t>
            </w:r>
          </w:p>
        </w:tc>
        <w:tc>
          <w:tcPr>
            <w:tcW w:w="200"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r>
      <w:tr>
        <w:trPr/>
        <w:tc>
          <w:tcPr>
            <w:tcW w:w="5870" w:type="dxa"/>
            <w:tcBorders>
              <w:bottom w:val="single" w:sz="8"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interest expense, excluding land sales interest expense</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19,098</w:t>
            </w:r>
          </w:p>
        </w:tc>
        <w:tc>
          <w:tcPr>
            <w:tcW w:w="18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26,868</w:t>
            </w:r>
          </w:p>
        </w:tc>
        <w:tc>
          <w:tcPr>
            <w:tcW w:w="18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51,537</w:t>
            </w:r>
          </w:p>
        </w:tc>
        <w:tc>
          <w:tcPr>
            <w:tcW w:w="18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65,544</w:t>
            </w:r>
          </w:p>
        </w:tc>
        <w:tc>
          <w:tcPr>
            <w:tcW w:w="200"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r>
      <w:tr>
        <w:trPr/>
        <w:tc>
          <w:tcPr>
            <w:tcW w:w="587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Homebuilding gross margin, after cost of sales interest expense, before land charges</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9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80,371</w:t>
            </w:r>
          </w:p>
        </w:tc>
        <w:tc>
          <w:tcPr>
            <w:tcW w:w="18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9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106,167</w:t>
            </w:r>
          </w:p>
        </w:tc>
        <w:tc>
          <w:tcPr>
            <w:tcW w:w="18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84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211,801</w:t>
            </w:r>
          </w:p>
        </w:tc>
        <w:tc>
          <w:tcPr>
            <w:tcW w:w="18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84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298,374</w:t>
            </w:r>
          </w:p>
        </w:tc>
        <w:tc>
          <w:tcPr>
            <w:tcW w:w="200"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r>
      <w:tr>
        <w:trPr/>
        <w:tc>
          <w:tcPr>
            <w:tcW w:w="5870" w:type="dxa"/>
            <w:tcBorders>
              <w:bottom w:val="single" w:sz="8"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Land charges</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493</w:t>
            </w:r>
          </w:p>
        </w:tc>
        <w:tc>
          <w:tcPr>
            <w:tcW w:w="18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16,045</w:t>
            </w:r>
          </w:p>
        </w:tc>
        <w:tc>
          <w:tcPr>
            <w:tcW w:w="18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11,602</w:t>
            </w:r>
          </w:p>
        </w:tc>
        <w:tc>
          <w:tcPr>
            <w:tcW w:w="18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20,141</w:t>
            </w:r>
          </w:p>
        </w:tc>
        <w:tc>
          <w:tcPr>
            <w:tcW w:w="200"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r>
      <w:tr>
        <w:trPr/>
        <w:tc>
          <w:tcPr>
            <w:tcW w:w="587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Homebuilding gross margin</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79,878</w:t>
            </w:r>
          </w:p>
        </w:tc>
        <w:tc>
          <w:tcPr>
            <w:tcW w:w="18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90,122</w:t>
            </w:r>
          </w:p>
        </w:tc>
        <w:tc>
          <w:tcPr>
            <w:tcW w:w="18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200,199</w:t>
            </w:r>
          </w:p>
        </w:tc>
        <w:tc>
          <w:tcPr>
            <w:tcW w:w="18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278,233</w:t>
            </w:r>
          </w:p>
        </w:tc>
        <w:tc>
          <w:tcPr>
            <w:tcW w:w="20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pPr>
            <w:r>
              <w:rPr/>
              <w:t> </w:t>
            </w:r>
          </w:p>
        </w:tc>
      </w:tr>
      <w:tr>
        <w:trPr/>
        <w:tc>
          <w:tcPr>
            <w:tcW w:w="5870" w:type="dxa"/>
            <w:tcBorders>
              <w:top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Homebuilding gross margin percentage</w:t>
            </w:r>
          </w:p>
        </w:tc>
        <w:tc>
          <w:tcPr>
            <w:tcW w:w="125"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695" w:type="dxa"/>
            <w:tcBorders>
              <w:top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11.8</w:t>
            </w:r>
          </w:p>
        </w:tc>
        <w:tc>
          <w:tcPr>
            <w:tcW w:w="185" w:type="dxa"/>
            <w:tcBorders>
              <w:top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5"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695" w:type="dxa"/>
            <w:tcBorders>
              <w:top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11.7</w:t>
            </w:r>
          </w:p>
        </w:tc>
        <w:tc>
          <w:tcPr>
            <w:tcW w:w="185" w:type="dxa"/>
            <w:tcBorders>
              <w:top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5"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845" w:type="dxa"/>
            <w:tcBorders>
              <w:top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10.8</w:t>
            </w:r>
          </w:p>
        </w:tc>
        <w:tc>
          <w:tcPr>
            <w:tcW w:w="185" w:type="dxa"/>
            <w:tcBorders>
              <w:top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5"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845" w:type="dxa"/>
            <w:tcBorders>
              <w:top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13.5</w:t>
            </w:r>
          </w:p>
        </w:tc>
        <w:tc>
          <w:tcPr>
            <w:tcW w:w="200" w:type="dxa"/>
            <w:tcBorders>
              <w:top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Homebuilding gross margin percentage, before cost of sales interest expense and land charges</w:t>
            </w:r>
          </w:p>
        </w:tc>
        <w:tc>
          <w:tcPr>
            <w:tcW w:w="125"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14.6</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5" w:type="dxa"/>
            <w:tcBorders/>
            <w:shd w:fill="CCEEFF" w:val="clear"/>
            <w:vAlign w:val="center"/>
          </w:tcPr>
          <w:p>
            <w:pPr>
              <w:pStyle w:val="TableContents"/>
              <w:bidi w:val="0"/>
              <w:spacing w:before="0" w:after="0"/>
              <w:jc w:val="right"/>
              <w:rPr/>
            </w:pPr>
            <w:r>
              <w:rPr/>
              <w:t> </w:t>
            </w:r>
          </w:p>
        </w:tc>
        <w:tc>
          <w:tcPr>
            <w:tcW w:w="69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17.3</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5" w:type="dxa"/>
            <w:tcBorders/>
            <w:shd w:fill="CCEEFF" w:val="clear"/>
            <w:vAlign w:val="center"/>
          </w:tcPr>
          <w:p>
            <w:pPr>
              <w:pStyle w:val="TableContents"/>
              <w:bidi w:val="0"/>
              <w:spacing w:before="0" w:after="0"/>
              <w:jc w:val="right"/>
              <w:rPr/>
            </w:pPr>
            <w:r>
              <w:rPr/>
              <w:t> </w:t>
            </w:r>
          </w:p>
        </w:tc>
        <w:tc>
          <w:tcPr>
            <w:tcW w:w="8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14.2</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5" w:type="dxa"/>
            <w:tcBorders/>
            <w:shd w:fill="CCEEFF" w:val="clear"/>
            <w:vAlign w:val="center"/>
          </w:tcPr>
          <w:p>
            <w:pPr>
              <w:pStyle w:val="TableContents"/>
              <w:bidi w:val="0"/>
              <w:spacing w:before="0" w:after="0"/>
              <w:jc w:val="right"/>
              <w:rPr/>
            </w:pPr>
            <w:r>
              <w:rPr/>
              <w:t> </w:t>
            </w:r>
          </w:p>
        </w:tc>
        <w:tc>
          <w:tcPr>
            <w:tcW w:w="8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17.6</w:t>
            </w:r>
          </w:p>
        </w:tc>
        <w:tc>
          <w:tcPr>
            <w:tcW w:w="2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87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Homebuilding gross margin percentage, after cost of sales interest expense, before land charges</w:t>
            </w:r>
          </w:p>
        </w:tc>
        <w:tc>
          <w:tcPr>
            <w:tcW w:w="125" w:type="dxa"/>
            <w:tcBorders/>
            <w:shd w:fill="FFFFFF" w:val="clear"/>
            <w:vAlign w:val="center"/>
          </w:tcPr>
          <w:p>
            <w:pPr>
              <w:pStyle w:val="TableContents"/>
              <w:bidi w:val="0"/>
              <w:spacing w:before="0" w:after="0"/>
              <w:jc w:val="right"/>
              <w:rPr/>
            </w:pPr>
            <w:r>
              <w:rPr/>
              <w:t> </w:t>
            </w:r>
          </w:p>
        </w:tc>
        <w:tc>
          <w:tcPr>
            <w:tcW w:w="69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11.9</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5" w:type="dxa"/>
            <w:tcBorders/>
            <w:shd w:fill="FFFFFF" w:val="clear"/>
            <w:vAlign w:val="center"/>
          </w:tcPr>
          <w:p>
            <w:pPr>
              <w:pStyle w:val="TableContents"/>
              <w:bidi w:val="0"/>
              <w:spacing w:before="0" w:after="0"/>
              <w:jc w:val="right"/>
              <w:rPr/>
            </w:pPr>
            <w:r>
              <w:rPr/>
              <w:t> </w:t>
            </w:r>
          </w:p>
        </w:tc>
        <w:tc>
          <w:tcPr>
            <w:tcW w:w="69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13.8</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5" w:type="dxa"/>
            <w:tcBorders/>
            <w:shd w:fill="FFFFFF" w:val="clear"/>
            <w:vAlign w:val="center"/>
          </w:tcPr>
          <w:p>
            <w:pPr>
              <w:pStyle w:val="TableContents"/>
              <w:bidi w:val="0"/>
              <w:spacing w:before="0" w:after="0"/>
              <w:jc w:val="right"/>
              <w:rPr/>
            </w:pPr>
            <w:r>
              <w:rPr/>
              <w:t> </w:t>
            </w:r>
          </w:p>
        </w:tc>
        <w:tc>
          <w:tcPr>
            <w:tcW w:w="8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11.4</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5" w:type="dxa"/>
            <w:tcBorders/>
            <w:shd w:fill="FFFFFF" w:val="clear"/>
            <w:vAlign w:val="center"/>
          </w:tcPr>
          <w:p>
            <w:pPr>
              <w:pStyle w:val="TableContents"/>
              <w:bidi w:val="0"/>
              <w:spacing w:before="0" w:after="0"/>
              <w:jc w:val="right"/>
              <w:rPr/>
            </w:pPr>
            <w:r>
              <w:rPr/>
              <w:t> </w:t>
            </w:r>
          </w:p>
        </w:tc>
        <w:tc>
          <w:tcPr>
            <w:tcW w:w="8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14.4</w:t>
            </w:r>
          </w:p>
        </w:tc>
        <w:tc>
          <w:tcPr>
            <w:tcW w:w="2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r>
        <w:br w:type="page"/>
      </w:r>
    </w:p>
    <w:p>
      <w:pPr>
        <w:pStyle w:val="TextBody"/>
        <w:bidi w:val="0"/>
        <w:spacing w:lineRule="atLeast" w:line="240" w:before="0" w:after="0"/>
        <w:jc w:val="left"/>
        <w:rPr/>
      </w:pPr>
      <w:hyperlink w:anchor="TOC">
        <w:r>
          <w:rPr>
            <w:rStyle w:val="InternetLink"/>
            <w:strike w:val="false"/>
            <w:dstrike w:val="false"/>
            <w:sz w:val="20"/>
            <w:u w:val="single"/>
            <w:effect w:val="none"/>
          </w:rPr>
          <w:t>Table of Contents</w:t>
        </w:r>
      </w:hyperlink>
    </w:p>
    <w:p>
      <w:pPr>
        <w:pStyle w:val="TextBody"/>
        <w:bidi w:val="0"/>
        <w:spacing w:lineRule="atLeast" w:line="240" w:before="0" w:after="0"/>
        <w:ind w:left="0" w:right="0" w:firstLine="900"/>
        <w:jc w:val="left"/>
        <w:rPr/>
      </w:pPr>
      <w:r>
        <w:rPr/>
        <w:t> </w:t>
      </w:r>
    </w:p>
    <w:p>
      <w:pPr>
        <w:pStyle w:val="TextBody"/>
        <w:bidi w:val="0"/>
        <w:spacing w:lineRule="atLeast" w:line="240" w:before="0" w:after="200"/>
        <w:ind w:left="0" w:right="0" w:firstLine="900"/>
        <w:jc w:val="left"/>
        <w:rPr>
          <w:sz w:val="20"/>
        </w:rPr>
      </w:pPr>
      <w:r>
        <w:rPr>
          <w:sz w:val="20"/>
        </w:rPr>
        <w:t>Cost of sales as a percentage of consolidated home sales revenues are presented below:</w:t>
      </w:r>
    </w:p>
    <w:tbl>
      <w:tblPr>
        <w:tblW w:w="10205" w:type="dxa"/>
        <w:jc w:val="left"/>
        <w:tblInd w:w="0" w:type="dxa"/>
        <w:tblLayout w:type="fixed"/>
        <w:tblCellMar>
          <w:top w:w="0" w:type="dxa"/>
          <w:left w:w="0" w:type="dxa"/>
          <w:bottom w:w="0" w:type="dxa"/>
          <w:right w:w="0" w:type="dxa"/>
        </w:tblCellMar>
      </w:tblPr>
      <w:tblGrid>
        <w:gridCol w:w="6715"/>
        <w:gridCol w:w="60"/>
        <w:gridCol w:w="599"/>
        <w:gridCol w:w="228"/>
        <w:gridCol w:w="73"/>
        <w:gridCol w:w="599"/>
        <w:gridCol w:w="228"/>
        <w:gridCol w:w="60"/>
        <w:gridCol w:w="562"/>
        <w:gridCol w:w="214"/>
        <w:gridCol w:w="69"/>
        <w:gridCol w:w="562"/>
        <w:gridCol w:w="236"/>
      </w:tblGrid>
      <w:tr>
        <w:trPr/>
        <w:tc>
          <w:tcPr>
            <w:tcW w:w="671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727" w:type="dxa"/>
            <w:gridSpan w:val="5"/>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60" w:type="dxa"/>
            <w:tcBorders/>
            <w:vAlign w:val="center"/>
          </w:tcPr>
          <w:p>
            <w:pPr>
              <w:pStyle w:val="TableContents"/>
              <w:bidi w:val="0"/>
              <w:spacing w:before="0" w:after="0"/>
              <w:jc w:val="left"/>
              <w:rPr/>
            </w:pPr>
            <w:r>
              <w:rPr/>
              <w:t> </w:t>
            </w:r>
          </w:p>
        </w:tc>
        <w:tc>
          <w:tcPr>
            <w:tcW w:w="1643" w:type="dxa"/>
            <w:gridSpan w:val="5"/>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Nine Months Ended</w:t>
            </w:r>
          </w:p>
        </w:tc>
      </w:tr>
      <w:tr>
        <w:trPr/>
        <w:tc>
          <w:tcPr>
            <w:tcW w:w="6715" w:type="dxa"/>
            <w:tcBorders>
              <w:bottom w:val="single" w:sz="8" w:space="0" w:color="000000"/>
            </w:tcBorders>
            <w:tcMar>
              <w:bottom w:w="28" w:type="dxa"/>
            </w:tcMar>
            <w:vAlign w:val="center"/>
          </w:tcPr>
          <w:p>
            <w:pPr>
              <w:pStyle w:val="TableContents"/>
              <w:bidi w:val="0"/>
              <w:spacing w:before="0" w:after="0"/>
              <w:jc w:val="left"/>
              <w:rPr/>
            </w:pPr>
            <w:r>
              <w:rPr/>
              <w:t> </w:t>
            </w:r>
          </w:p>
        </w:tc>
        <w:tc>
          <w:tcPr>
            <w:tcW w:w="60" w:type="dxa"/>
            <w:tcBorders>
              <w:bottom w:val="single" w:sz="8" w:space="0" w:color="000000"/>
            </w:tcBorders>
            <w:tcMar>
              <w:bottom w:w="28" w:type="dxa"/>
            </w:tcMar>
            <w:vAlign w:val="center"/>
          </w:tcPr>
          <w:p>
            <w:pPr>
              <w:pStyle w:val="TableContents"/>
              <w:bidi w:val="0"/>
              <w:spacing w:before="0" w:after="0"/>
              <w:jc w:val="left"/>
              <w:rPr/>
            </w:pPr>
            <w:r>
              <w:rPr/>
              <w:t> </w:t>
            </w:r>
          </w:p>
        </w:tc>
        <w:tc>
          <w:tcPr>
            <w:tcW w:w="1727" w:type="dxa"/>
            <w:gridSpan w:val="5"/>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July 31,</w:t>
            </w:r>
          </w:p>
        </w:tc>
        <w:tc>
          <w:tcPr>
            <w:tcW w:w="60" w:type="dxa"/>
            <w:tcBorders>
              <w:bottom w:val="single" w:sz="8" w:space="0" w:color="000000"/>
            </w:tcBorders>
            <w:tcMar>
              <w:bottom w:w="28" w:type="dxa"/>
            </w:tcMar>
            <w:vAlign w:val="center"/>
          </w:tcPr>
          <w:p>
            <w:pPr>
              <w:pStyle w:val="TableContents"/>
              <w:bidi w:val="0"/>
              <w:spacing w:before="0" w:after="0"/>
              <w:jc w:val="left"/>
              <w:rPr/>
            </w:pPr>
            <w:r>
              <w:rPr/>
              <w:t> </w:t>
            </w:r>
          </w:p>
        </w:tc>
        <w:tc>
          <w:tcPr>
            <w:tcW w:w="1643" w:type="dxa"/>
            <w:gridSpan w:val="5"/>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July 31,</w:t>
            </w:r>
          </w:p>
        </w:tc>
      </w:tr>
      <w:tr>
        <w:trPr/>
        <w:tc>
          <w:tcPr>
            <w:tcW w:w="671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27"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7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827"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776"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798"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r>
      <w:tr>
        <w:trPr/>
        <w:tc>
          <w:tcPr>
            <w:tcW w:w="671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Sale of homes</w:t>
            </w:r>
          </w:p>
        </w:tc>
        <w:tc>
          <w:tcPr>
            <w:tcW w:w="6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59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100.0</w:t>
            </w:r>
          </w:p>
        </w:tc>
        <w:tc>
          <w:tcPr>
            <w:tcW w:w="22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pPr>
            <w:r>
              <w:rPr/>
              <w:t> </w:t>
            </w:r>
          </w:p>
        </w:tc>
        <w:tc>
          <w:tcPr>
            <w:tcW w:w="59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100.0</w:t>
            </w:r>
          </w:p>
        </w:tc>
        <w:tc>
          <w:tcPr>
            <w:tcW w:w="22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pPr>
            <w:r>
              <w:rPr/>
              <w:t> </w:t>
            </w:r>
          </w:p>
        </w:tc>
        <w:tc>
          <w:tcPr>
            <w:tcW w:w="56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100.0</w:t>
            </w:r>
          </w:p>
        </w:tc>
        <w:tc>
          <w:tcPr>
            <w:tcW w:w="21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pPr>
            <w:r>
              <w:rPr/>
              <w:t> </w:t>
            </w:r>
          </w:p>
        </w:tc>
        <w:tc>
          <w:tcPr>
            <w:tcW w:w="56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100.0</w:t>
            </w:r>
          </w:p>
        </w:tc>
        <w:tc>
          <w:tcPr>
            <w:tcW w:w="23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715"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excluding interest expense and land charges:</w:t>
            </w:r>
          </w:p>
        </w:tc>
        <w:tc>
          <w:tcPr>
            <w:tcW w:w="60"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599"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228"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73"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599"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228"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562"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214"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9"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562"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236"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r>
      <w:tr>
        <w:trPr/>
        <w:tc>
          <w:tcPr>
            <w:tcW w:w="6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Housing, land and development costs</w:t>
            </w:r>
          </w:p>
        </w:tc>
        <w:tc>
          <w:tcPr>
            <w:tcW w:w="60" w:type="dxa"/>
            <w:tcBorders/>
            <w:shd w:fill="CCEEFF" w:val="clear"/>
            <w:vAlign w:val="center"/>
          </w:tcPr>
          <w:p>
            <w:pPr>
              <w:pStyle w:val="TableContents"/>
              <w:bidi w:val="0"/>
              <w:spacing w:before="0" w:after="0"/>
              <w:jc w:val="left"/>
              <w:rPr/>
            </w:pPr>
            <w:r>
              <w:rPr/>
              <w:t> </w:t>
            </w:r>
          </w:p>
        </w:tc>
        <w:tc>
          <w:tcPr>
            <w:tcW w:w="59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73.8</w:t>
            </w:r>
          </w:p>
        </w:tc>
        <w:tc>
          <w:tcPr>
            <w:tcW w:w="22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shd w:fill="CCEEFF" w:val="clear"/>
            <w:vAlign w:val="center"/>
          </w:tcPr>
          <w:p>
            <w:pPr>
              <w:pStyle w:val="TableContents"/>
              <w:bidi w:val="0"/>
              <w:spacing w:before="0" w:after="0"/>
              <w:jc w:val="right"/>
              <w:rPr/>
            </w:pPr>
            <w:r>
              <w:rPr/>
              <w:t> </w:t>
            </w:r>
          </w:p>
        </w:tc>
        <w:tc>
          <w:tcPr>
            <w:tcW w:w="59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71.0</w:t>
            </w:r>
          </w:p>
        </w:tc>
        <w:tc>
          <w:tcPr>
            <w:tcW w:w="22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56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73.9</w:t>
            </w:r>
          </w:p>
        </w:tc>
        <w:tc>
          <w:tcPr>
            <w:tcW w:w="21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 w:type="dxa"/>
            <w:tcBorders/>
            <w:shd w:fill="CCEEFF" w:val="clear"/>
            <w:vAlign w:val="center"/>
          </w:tcPr>
          <w:p>
            <w:pPr>
              <w:pStyle w:val="TableContents"/>
              <w:bidi w:val="0"/>
              <w:spacing w:before="0" w:after="0"/>
              <w:jc w:val="right"/>
              <w:rPr/>
            </w:pPr>
            <w:r>
              <w:rPr/>
              <w:t> </w:t>
            </w:r>
          </w:p>
        </w:tc>
        <w:tc>
          <w:tcPr>
            <w:tcW w:w="56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71.1</w:t>
            </w:r>
          </w:p>
        </w:tc>
        <w:tc>
          <w:tcPr>
            <w:tcW w:w="23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71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Commissions</w:t>
            </w:r>
          </w:p>
        </w:tc>
        <w:tc>
          <w:tcPr>
            <w:tcW w:w="60" w:type="dxa"/>
            <w:tcBorders/>
            <w:shd w:fill="FFFFFF" w:val="clear"/>
            <w:vAlign w:val="center"/>
          </w:tcPr>
          <w:p>
            <w:pPr>
              <w:pStyle w:val="TableContents"/>
              <w:bidi w:val="0"/>
              <w:spacing w:before="0" w:after="0"/>
              <w:jc w:val="left"/>
              <w:rPr/>
            </w:pPr>
            <w:r>
              <w:rPr/>
              <w:t> </w:t>
            </w:r>
          </w:p>
        </w:tc>
        <w:tc>
          <w:tcPr>
            <w:tcW w:w="59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w:t>
            </w:r>
          </w:p>
        </w:tc>
        <w:tc>
          <w:tcPr>
            <w:tcW w:w="228"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shd w:fill="FFFFFF" w:val="clear"/>
            <w:vAlign w:val="center"/>
          </w:tcPr>
          <w:p>
            <w:pPr>
              <w:pStyle w:val="TableContents"/>
              <w:bidi w:val="0"/>
              <w:spacing w:before="0" w:after="0"/>
              <w:jc w:val="right"/>
              <w:rPr/>
            </w:pPr>
            <w:r>
              <w:rPr/>
              <w:t> </w:t>
            </w:r>
          </w:p>
        </w:tc>
        <w:tc>
          <w:tcPr>
            <w:tcW w:w="59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3.2</w:t>
            </w:r>
          </w:p>
        </w:tc>
        <w:tc>
          <w:tcPr>
            <w:tcW w:w="228"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56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3.2</w:t>
            </w:r>
          </w:p>
        </w:tc>
        <w:tc>
          <w:tcPr>
            <w:tcW w:w="21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 w:type="dxa"/>
            <w:tcBorders/>
            <w:shd w:fill="FFFFFF" w:val="clear"/>
            <w:vAlign w:val="center"/>
          </w:tcPr>
          <w:p>
            <w:pPr>
              <w:pStyle w:val="TableContents"/>
              <w:bidi w:val="0"/>
              <w:spacing w:before="0" w:after="0"/>
              <w:jc w:val="right"/>
              <w:rPr/>
            </w:pPr>
            <w:r>
              <w:rPr/>
              <w:t> </w:t>
            </w:r>
          </w:p>
        </w:tc>
        <w:tc>
          <w:tcPr>
            <w:tcW w:w="56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3.2</w:t>
            </w:r>
          </w:p>
        </w:tc>
        <w:tc>
          <w:tcPr>
            <w:tcW w:w="23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Financing concessions</w:t>
            </w:r>
          </w:p>
        </w:tc>
        <w:tc>
          <w:tcPr>
            <w:tcW w:w="60" w:type="dxa"/>
            <w:tcBorders/>
            <w:shd w:fill="CCEEFF" w:val="clear"/>
            <w:vAlign w:val="center"/>
          </w:tcPr>
          <w:p>
            <w:pPr>
              <w:pStyle w:val="TableContents"/>
              <w:bidi w:val="0"/>
              <w:spacing w:before="0" w:after="0"/>
              <w:jc w:val="left"/>
              <w:rPr/>
            </w:pPr>
            <w:r>
              <w:rPr/>
              <w:t> </w:t>
            </w:r>
          </w:p>
        </w:tc>
        <w:tc>
          <w:tcPr>
            <w:tcW w:w="59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4.6</w:t>
            </w:r>
          </w:p>
        </w:tc>
        <w:tc>
          <w:tcPr>
            <w:tcW w:w="22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shd w:fill="CCEEFF" w:val="clear"/>
            <w:vAlign w:val="center"/>
          </w:tcPr>
          <w:p>
            <w:pPr>
              <w:pStyle w:val="TableContents"/>
              <w:bidi w:val="0"/>
              <w:spacing w:before="0" w:after="0"/>
              <w:jc w:val="right"/>
              <w:rPr/>
            </w:pPr>
            <w:r>
              <w:rPr/>
              <w:t> </w:t>
            </w:r>
          </w:p>
        </w:tc>
        <w:tc>
          <w:tcPr>
            <w:tcW w:w="59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4.4</w:t>
            </w:r>
          </w:p>
        </w:tc>
        <w:tc>
          <w:tcPr>
            <w:tcW w:w="22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56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4.3</w:t>
            </w:r>
          </w:p>
        </w:tc>
        <w:tc>
          <w:tcPr>
            <w:tcW w:w="21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 w:type="dxa"/>
            <w:tcBorders/>
            <w:shd w:fill="CCEEFF" w:val="clear"/>
            <w:vAlign w:val="center"/>
          </w:tcPr>
          <w:p>
            <w:pPr>
              <w:pStyle w:val="TableContents"/>
              <w:bidi w:val="0"/>
              <w:spacing w:before="0" w:after="0"/>
              <w:jc w:val="right"/>
              <w:rPr/>
            </w:pPr>
            <w:r>
              <w:rPr/>
              <w:t> </w:t>
            </w:r>
          </w:p>
        </w:tc>
        <w:tc>
          <w:tcPr>
            <w:tcW w:w="56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w:t>
            </w:r>
          </w:p>
        </w:tc>
        <w:tc>
          <w:tcPr>
            <w:tcW w:w="23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715" w:type="dxa"/>
            <w:tcBorders>
              <w:bottom w:val="single" w:sz="8"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Overheads</w:t>
            </w:r>
          </w:p>
        </w:tc>
        <w:tc>
          <w:tcPr>
            <w:tcW w:w="60"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599"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w:t>
            </w:r>
          </w:p>
        </w:tc>
        <w:tc>
          <w:tcPr>
            <w:tcW w:w="228" w:type="dxa"/>
            <w:tcBorders>
              <w:bottom w:val="single" w:sz="8"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599"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4.1</w:t>
            </w:r>
          </w:p>
        </w:tc>
        <w:tc>
          <w:tcPr>
            <w:tcW w:w="228" w:type="dxa"/>
            <w:tcBorders>
              <w:bottom w:val="single" w:sz="8"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562"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w:t>
            </w:r>
          </w:p>
        </w:tc>
        <w:tc>
          <w:tcPr>
            <w:tcW w:w="214" w:type="dxa"/>
            <w:tcBorders>
              <w:bottom w:val="single" w:sz="8"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562"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w:t>
            </w:r>
          </w:p>
        </w:tc>
        <w:tc>
          <w:tcPr>
            <w:tcW w:w="236" w:type="dxa"/>
            <w:tcBorders>
              <w:bottom w:val="single" w:sz="8"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71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cost of sales, excluding interest expense and land charges</w:t>
            </w:r>
          </w:p>
        </w:tc>
        <w:tc>
          <w:tcPr>
            <w:tcW w:w="6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59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85.4</w:t>
            </w:r>
          </w:p>
        </w:tc>
        <w:tc>
          <w:tcPr>
            <w:tcW w:w="22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pPr>
            <w:r>
              <w:rPr/>
              <w:t> </w:t>
            </w:r>
          </w:p>
        </w:tc>
        <w:tc>
          <w:tcPr>
            <w:tcW w:w="59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82.7</w:t>
            </w:r>
          </w:p>
        </w:tc>
        <w:tc>
          <w:tcPr>
            <w:tcW w:w="22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pPr>
            <w:r>
              <w:rPr/>
              <w:t> </w:t>
            </w:r>
          </w:p>
        </w:tc>
        <w:tc>
          <w:tcPr>
            <w:tcW w:w="56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85.8</w:t>
            </w:r>
          </w:p>
        </w:tc>
        <w:tc>
          <w:tcPr>
            <w:tcW w:w="21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pPr>
            <w:r>
              <w:rPr/>
              <w:t> </w:t>
            </w:r>
          </w:p>
        </w:tc>
        <w:tc>
          <w:tcPr>
            <w:tcW w:w="56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82.4</w:t>
            </w:r>
          </w:p>
        </w:tc>
        <w:tc>
          <w:tcPr>
            <w:tcW w:w="23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715"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interest</w:t>
            </w:r>
          </w:p>
        </w:tc>
        <w:tc>
          <w:tcPr>
            <w:tcW w:w="60"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599"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w:t>
            </w:r>
          </w:p>
        </w:tc>
        <w:tc>
          <w:tcPr>
            <w:tcW w:w="228"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599"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w:t>
            </w:r>
          </w:p>
        </w:tc>
        <w:tc>
          <w:tcPr>
            <w:tcW w:w="228"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562"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w:t>
            </w:r>
          </w:p>
        </w:tc>
        <w:tc>
          <w:tcPr>
            <w:tcW w:w="214"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562"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w:t>
            </w:r>
          </w:p>
        </w:tc>
        <w:tc>
          <w:tcPr>
            <w:tcW w:w="236"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Land charges</w:t>
            </w:r>
          </w:p>
        </w:tc>
        <w:tc>
          <w:tcPr>
            <w:tcW w:w="60" w:type="dxa"/>
            <w:tcBorders/>
            <w:shd w:fill="CCEEFF" w:val="clear"/>
            <w:vAlign w:val="center"/>
          </w:tcPr>
          <w:p>
            <w:pPr>
              <w:pStyle w:val="TableContents"/>
              <w:bidi w:val="0"/>
              <w:spacing w:before="0" w:after="0"/>
              <w:jc w:val="left"/>
              <w:rPr/>
            </w:pPr>
            <w:r>
              <w:rPr/>
              <w:t> </w:t>
            </w:r>
          </w:p>
        </w:tc>
        <w:tc>
          <w:tcPr>
            <w:tcW w:w="59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22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shd w:fill="CCEEFF" w:val="clear"/>
            <w:vAlign w:val="center"/>
          </w:tcPr>
          <w:p>
            <w:pPr>
              <w:pStyle w:val="TableContents"/>
              <w:bidi w:val="0"/>
              <w:spacing w:before="0" w:after="0"/>
              <w:jc w:val="right"/>
              <w:rPr/>
            </w:pPr>
            <w:r>
              <w:rPr/>
              <w:t> </w:t>
            </w:r>
          </w:p>
        </w:tc>
        <w:tc>
          <w:tcPr>
            <w:tcW w:w="59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w:t>
            </w:r>
          </w:p>
        </w:tc>
        <w:tc>
          <w:tcPr>
            <w:tcW w:w="22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56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0.6</w:t>
            </w:r>
          </w:p>
        </w:tc>
        <w:tc>
          <w:tcPr>
            <w:tcW w:w="21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 w:type="dxa"/>
            <w:tcBorders/>
            <w:shd w:fill="CCEEFF" w:val="clear"/>
            <w:vAlign w:val="center"/>
          </w:tcPr>
          <w:p>
            <w:pPr>
              <w:pStyle w:val="TableContents"/>
              <w:bidi w:val="0"/>
              <w:spacing w:before="0" w:after="0"/>
              <w:jc w:val="right"/>
              <w:rPr/>
            </w:pPr>
            <w:r>
              <w:rPr/>
              <w:t> </w:t>
            </w:r>
          </w:p>
        </w:tc>
        <w:tc>
          <w:tcPr>
            <w:tcW w:w="56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0.9</w:t>
            </w:r>
          </w:p>
        </w:tc>
        <w:tc>
          <w:tcPr>
            <w:tcW w:w="23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71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599" w:type="dxa"/>
            <w:tcBorders/>
            <w:shd w:fill="FFFFFF" w:val="clear"/>
            <w:vAlign w:val="center"/>
          </w:tcPr>
          <w:p>
            <w:pPr>
              <w:pStyle w:val="TableContents"/>
              <w:bidi w:val="0"/>
              <w:spacing w:before="0" w:after="0"/>
              <w:jc w:val="right"/>
              <w:rPr/>
            </w:pPr>
            <w:r>
              <w:rPr/>
              <w:t> </w:t>
            </w:r>
          </w:p>
        </w:tc>
        <w:tc>
          <w:tcPr>
            <w:tcW w:w="228" w:type="dxa"/>
            <w:tcBorders/>
            <w:shd w:fill="FFFFFF" w:val="clear"/>
            <w:vAlign w:val="center"/>
          </w:tcPr>
          <w:p>
            <w:pPr>
              <w:pStyle w:val="TableContents"/>
              <w:bidi w:val="0"/>
              <w:spacing w:before="0" w:after="0"/>
              <w:jc w:val="left"/>
              <w:rPr/>
            </w:pPr>
            <w:r>
              <w:rPr/>
              <w:t> </w:t>
            </w:r>
          </w:p>
        </w:tc>
        <w:tc>
          <w:tcPr>
            <w:tcW w:w="73" w:type="dxa"/>
            <w:tcBorders/>
            <w:shd w:fill="FFFFFF" w:val="clear"/>
            <w:vAlign w:val="center"/>
          </w:tcPr>
          <w:p>
            <w:pPr>
              <w:pStyle w:val="TableContents"/>
              <w:bidi w:val="0"/>
              <w:spacing w:before="0" w:after="0"/>
              <w:jc w:val="right"/>
              <w:rPr/>
            </w:pPr>
            <w:r>
              <w:rPr/>
              <w:t> </w:t>
            </w:r>
          </w:p>
        </w:tc>
        <w:tc>
          <w:tcPr>
            <w:tcW w:w="599" w:type="dxa"/>
            <w:tcBorders/>
            <w:shd w:fill="FFFFFF" w:val="clear"/>
            <w:vAlign w:val="center"/>
          </w:tcPr>
          <w:p>
            <w:pPr>
              <w:pStyle w:val="TableContents"/>
              <w:bidi w:val="0"/>
              <w:spacing w:before="0" w:after="0"/>
              <w:jc w:val="right"/>
              <w:rPr/>
            </w:pPr>
            <w:r>
              <w:rPr/>
              <w:t> </w:t>
            </w:r>
          </w:p>
        </w:tc>
        <w:tc>
          <w:tcPr>
            <w:tcW w:w="228"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right"/>
              <w:rPr/>
            </w:pPr>
            <w:r>
              <w:rPr/>
              <w:t> </w:t>
            </w:r>
          </w:p>
        </w:tc>
        <w:tc>
          <w:tcPr>
            <w:tcW w:w="562" w:type="dxa"/>
            <w:tcBorders/>
            <w:shd w:fill="FFFFFF" w:val="clear"/>
            <w:vAlign w:val="center"/>
          </w:tcPr>
          <w:p>
            <w:pPr>
              <w:pStyle w:val="TableContents"/>
              <w:bidi w:val="0"/>
              <w:spacing w:before="0" w:after="0"/>
              <w:jc w:val="right"/>
              <w:rPr/>
            </w:pPr>
            <w:r>
              <w:rPr/>
              <w:t> </w:t>
            </w:r>
          </w:p>
        </w:tc>
        <w:tc>
          <w:tcPr>
            <w:tcW w:w="214" w:type="dxa"/>
            <w:tcBorders/>
            <w:shd w:fill="FFFFFF" w:val="clear"/>
            <w:vAlign w:val="center"/>
          </w:tcPr>
          <w:p>
            <w:pPr>
              <w:pStyle w:val="TableContents"/>
              <w:bidi w:val="0"/>
              <w:spacing w:before="0" w:after="0"/>
              <w:jc w:val="left"/>
              <w:rPr/>
            </w:pPr>
            <w:r>
              <w:rPr/>
              <w:t> </w:t>
            </w:r>
          </w:p>
        </w:tc>
        <w:tc>
          <w:tcPr>
            <w:tcW w:w="69" w:type="dxa"/>
            <w:tcBorders/>
            <w:shd w:fill="FFFFFF" w:val="clear"/>
            <w:vAlign w:val="center"/>
          </w:tcPr>
          <w:p>
            <w:pPr>
              <w:pStyle w:val="TableContents"/>
              <w:bidi w:val="0"/>
              <w:spacing w:before="0" w:after="0"/>
              <w:jc w:val="right"/>
              <w:rPr/>
            </w:pPr>
            <w:r>
              <w:rPr/>
              <w:t> </w:t>
            </w:r>
          </w:p>
        </w:tc>
        <w:tc>
          <w:tcPr>
            <w:tcW w:w="562" w:type="dxa"/>
            <w:tcBorders/>
            <w:shd w:fill="FFFFFF" w:val="clear"/>
            <w:vAlign w:val="center"/>
          </w:tcPr>
          <w:p>
            <w:pPr>
              <w:pStyle w:val="TableContents"/>
              <w:bidi w:val="0"/>
              <w:spacing w:before="0" w:after="0"/>
              <w:jc w:val="right"/>
              <w:rPr/>
            </w:pPr>
            <w:r>
              <w:rPr/>
              <w:t> </w:t>
            </w:r>
          </w:p>
        </w:tc>
        <w:tc>
          <w:tcPr>
            <w:tcW w:w="236" w:type="dxa"/>
            <w:tcBorders/>
            <w:shd w:fill="FFFFFF" w:val="clear"/>
            <w:vAlign w:val="center"/>
          </w:tcPr>
          <w:p>
            <w:pPr>
              <w:pStyle w:val="TableContents"/>
              <w:bidi w:val="0"/>
              <w:spacing w:before="0" w:after="0"/>
              <w:jc w:val="left"/>
              <w:rPr/>
            </w:pPr>
            <w:r>
              <w:rPr/>
              <w:t> </w:t>
            </w:r>
          </w:p>
        </w:tc>
      </w:tr>
      <w:tr>
        <w:trPr/>
        <w:tc>
          <w:tcPr>
            <w:tcW w:w="6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Homebuilding gross margin percentage</w:t>
            </w:r>
          </w:p>
        </w:tc>
        <w:tc>
          <w:tcPr>
            <w:tcW w:w="60" w:type="dxa"/>
            <w:tcBorders/>
            <w:shd w:fill="CCEEFF" w:val="clear"/>
            <w:vAlign w:val="center"/>
          </w:tcPr>
          <w:p>
            <w:pPr>
              <w:pStyle w:val="TableContents"/>
              <w:bidi w:val="0"/>
              <w:spacing w:before="0" w:after="0"/>
              <w:jc w:val="left"/>
              <w:rPr/>
            </w:pPr>
            <w:r>
              <w:rPr/>
              <w:t> </w:t>
            </w:r>
          </w:p>
        </w:tc>
        <w:tc>
          <w:tcPr>
            <w:tcW w:w="59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11.8</w:t>
            </w:r>
          </w:p>
        </w:tc>
        <w:tc>
          <w:tcPr>
            <w:tcW w:w="22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shd w:fill="CCEEFF" w:val="clear"/>
            <w:vAlign w:val="center"/>
          </w:tcPr>
          <w:p>
            <w:pPr>
              <w:pStyle w:val="TableContents"/>
              <w:bidi w:val="0"/>
              <w:spacing w:before="0" w:after="0"/>
              <w:jc w:val="right"/>
              <w:rPr/>
            </w:pPr>
            <w:r>
              <w:rPr/>
              <w:t> </w:t>
            </w:r>
          </w:p>
        </w:tc>
        <w:tc>
          <w:tcPr>
            <w:tcW w:w="59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11.7</w:t>
            </w:r>
          </w:p>
        </w:tc>
        <w:tc>
          <w:tcPr>
            <w:tcW w:w="22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56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10.8</w:t>
            </w:r>
          </w:p>
        </w:tc>
        <w:tc>
          <w:tcPr>
            <w:tcW w:w="21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 w:type="dxa"/>
            <w:tcBorders/>
            <w:shd w:fill="CCEEFF" w:val="clear"/>
            <w:vAlign w:val="center"/>
          </w:tcPr>
          <w:p>
            <w:pPr>
              <w:pStyle w:val="TableContents"/>
              <w:bidi w:val="0"/>
              <w:spacing w:before="0" w:after="0"/>
              <w:jc w:val="right"/>
              <w:rPr/>
            </w:pPr>
            <w:r>
              <w:rPr/>
              <w:t> </w:t>
            </w:r>
          </w:p>
        </w:tc>
        <w:tc>
          <w:tcPr>
            <w:tcW w:w="56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13.5</w:t>
            </w:r>
          </w:p>
        </w:tc>
        <w:tc>
          <w:tcPr>
            <w:tcW w:w="23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71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Homebuilding gross margin percentage, before cost of sales interest expense and land charges</w:t>
            </w:r>
          </w:p>
        </w:tc>
        <w:tc>
          <w:tcPr>
            <w:tcW w:w="60" w:type="dxa"/>
            <w:tcBorders/>
            <w:shd w:fill="FFFFFF" w:val="clear"/>
            <w:vAlign w:val="center"/>
          </w:tcPr>
          <w:p>
            <w:pPr>
              <w:pStyle w:val="TableContents"/>
              <w:bidi w:val="0"/>
              <w:spacing w:before="0" w:after="0"/>
              <w:jc w:val="left"/>
              <w:rPr/>
            </w:pPr>
            <w:r>
              <w:rPr/>
              <w:t> </w:t>
            </w:r>
          </w:p>
        </w:tc>
        <w:tc>
          <w:tcPr>
            <w:tcW w:w="59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14.6</w:t>
            </w:r>
          </w:p>
        </w:tc>
        <w:tc>
          <w:tcPr>
            <w:tcW w:w="228"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shd w:fill="FFFFFF" w:val="clear"/>
            <w:vAlign w:val="center"/>
          </w:tcPr>
          <w:p>
            <w:pPr>
              <w:pStyle w:val="TableContents"/>
              <w:bidi w:val="0"/>
              <w:spacing w:before="0" w:after="0"/>
              <w:jc w:val="right"/>
              <w:rPr/>
            </w:pPr>
            <w:r>
              <w:rPr/>
              <w:t> </w:t>
            </w:r>
          </w:p>
        </w:tc>
        <w:tc>
          <w:tcPr>
            <w:tcW w:w="59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17.3</w:t>
            </w:r>
          </w:p>
        </w:tc>
        <w:tc>
          <w:tcPr>
            <w:tcW w:w="228"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56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14.2</w:t>
            </w:r>
          </w:p>
        </w:tc>
        <w:tc>
          <w:tcPr>
            <w:tcW w:w="21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 w:type="dxa"/>
            <w:tcBorders/>
            <w:shd w:fill="FFFFFF" w:val="clear"/>
            <w:vAlign w:val="center"/>
          </w:tcPr>
          <w:p>
            <w:pPr>
              <w:pStyle w:val="TableContents"/>
              <w:bidi w:val="0"/>
              <w:spacing w:before="0" w:after="0"/>
              <w:jc w:val="right"/>
              <w:rPr/>
            </w:pPr>
            <w:r>
              <w:rPr/>
              <w:t> </w:t>
            </w:r>
          </w:p>
        </w:tc>
        <w:tc>
          <w:tcPr>
            <w:tcW w:w="56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17.6</w:t>
            </w:r>
          </w:p>
        </w:tc>
        <w:tc>
          <w:tcPr>
            <w:tcW w:w="23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Homebuilding gross margin percentage, after cost of sales interest expense, before land charges</w:t>
            </w:r>
          </w:p>
        </w:tc>
        <w:tc>
          <w:tcPr>
            <w:tcW w:w="60" w:type="dxa"/>
            <w:tcBorders/>
            <w:shd w:fill="CCEEFF" w:val="clear"/>
            <w:vAlign w:val="center"/>
          </w:tcPr>
          <w:p>
            <w:pPr>
              <w:pStyle w:val="TableContents"/>
              <w:bidi w:val="0"/>
              <w:spacing w:before="0" w:after="0"/>
              <w:jc w:val="left"/>
              <w:rPr/>
            </w:pPr>
            <w:r>
              <w:rPr/>
              <w:t> </w:t>
            </w:r>
          </w:p>
        </w:tc>
        <w:tc>
          <w:tcPr>
            <w:tcW w:w="59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11.9</w:t>
            </w:r>
          </w:p>
        </w:tc>
        <w:tc>
          <w:tcPr>
            <w:tcW w:w="22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shd w:fill="CCEEFF" w:val="clear"/>
            <w:vAlign w:val="center"/>
          </w:tcPr>
          <w:p>
            <w:pPr>
              <w:pStyle w:val="TableContents"/>
              <w:bidi w:val="0"/>
              <w:spacing w:before="0" w:after="0"/>
              <w:jc w:val="right"/>
              <w:rPr/>
            </w:pPr>
            <w:r>
              <w:rPr/>
              <w:t> </w:t>
            </w:r>
          </w:p>
        </w:tc>
        <w:tc>
          <w:tcPr>
            <w:tcW w:w="59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13.8</w:t>
            </w:r>
          </w:p>
        </w:tc>
        <w:tc>
          <w:tcPr>
            <w:tcW w:w="22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56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11.4</w:t>
            </w:r>
          </w:p>
        </w:tc>
        <w:tc>
          <w:tcPr>
            <w:tcW w:w="21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 w:type="dxa"/>
            <w:tcBorders/>
            <w:shd w:fill="CCEEFF" w:val="clear"/>
            <w:vAlign w:val="center"/>
          </w:tcPr>
          <w:p>
            <w:pPr>
              <w:pStyle w:val="TableContents"/>
              <w:bidi w:val="0"/>
              <w:spacing w:before="0" w:after="0"/>
              <w:jc w:val="right"/>
              <w:rPr/>
            </w:pPr>
            <w:r>
              <w:rPr/>
              <w:t> </w:t>
            </w:r>
          </w:p>
        </w:tc>
        <w:tc>
          <w:tcPr>
            <w:tcW w:w="56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14.4</w:t>
            </w:r>
          </w:p>
        </w:tc>
        <w:tc>
          <w:tcPr>
            <w:tcW w:w="23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lineRule="atLeast" w:line="240" w:before="200" w:after="200"/>
        <w:ind w:left="0" w:right="0" w:firstLine="900"/>
        <w:jc w:val="left"/>
        <w:rPr/>
      </w:pPr>
      <w:r>
        <w:rPr>
          <w:sz w:val="20"/>
        </w:rPr>
        <w:t xml:space="preserve">We sell a variety of home types across our communities, each yielding a different gross margin. As a result, depending on the mix of communities delivering homes, consolidated gross margin may fluctuate. Total homebuilding gross margin percentage was </w:t>
      </w:r>
      <w:r>
        <w:rPr>
          <w:rFonts w:ascii="Times New Roman" w:hAnsi="Times New Roman"/>
          <w:sz w:val="20"/>
        </w:rPr>
        <w:t>11.8</w:t>
      </w:r>
      <w:r>
        <w:rPr>
          <w:sz w:val="20"/>
        </w:rPr>
        <w:t xml:space="preserve">% and 10.8% for the </w:t>
      </w:r>
      <w:r>
        <w:rPr>
          <w:rFonts w:ascii="Times New Roman" w:hAnsi="Times New Roman"/>
          <w:sz w:val="20"/>
        </w:rPr>
        <w:t>three and nine</w:t>
      </w:r>
      <w:r>
        <w:rPr/>
        <w:t xml:space="preserve"> </w:t>
      </w:r>
      <w:r>
        <w:rPr>
          <w:sz w:val="20"/>
        </w:rPr>
        <w:t xml:space="preserve">months ended </w:t>
      </w:r>
      <w:r>
        <w:rPr>
          <w:rFonts w:ascii="Times New Roman" w:hAnsi="Times New Roman"/>
          <w:sz w:val="20"/>
        </w:rPr>
        <w:t>July 31, 2026</w:t>
      </w:r>
      <w:r>
        <w:rPr>
          <w:sz w:val="20"/>
        </w:rPr>
        <w:t xml:space="preserve">, respectively, compared with </w:t>
      </w:r>
      <w:r>
        <w:rPr>
          <w:rFonts w:ascii="Times New Roman" w:hAnsi="Times New Roman"/>
          <w:sz w:val="20"/>
        </w:rPr>
        <w:t>11.7</w:t>
      </w:r>
      <w:r>
        <w:rPr>
          <w:sz w:val="20"/>
        </w:rPr>
        <w:t xml:space="preserve">% and </w:t>
      </w:r>
      <w:r>
        <w:rPr>
          <w:rFonts w:ascii="Times New Roman" w:hAnsi="Times New Roman"/>
          <w:sz w:val="20"/>
        </w:rPr>
        <w:t>13.5</w:t>
      </w:r>
      <w:r>
        <w:rPr>
          <w:sz w:val="20"/>
        </w:rPr>
        <w:t xml:space="preserve">% for the prior year periods. Total homebuilding gross margin percentage, before cost of sales interest expense and land charges decreased to </w:t>
      </w:r>
      <w:r>
        <w:rPr>
          <w:rFonts w:ascii="Times New Roman" w:hAnsi="Times New Roman"/>
          <w:sz w:val="20"/>
        </w:rPr>
        <w:t>14.6</w:t>
      </w:r>
      <w:r>
        <w:rPr>
          <w:sz w:val="20"/>
        </w:rPr>
        <w:t xml:space="preserve">% and </w:t>
      </w:r>
      <w:r>
        <w:rPr>
          <w:rFonts w:ascii="Times New Roman" w:hAnsi="Times New Roman"/>
          <w:sz w:val="20"/>
        </w:rPr>
        <w:t>14.2</w:t>
      </w:r>
      <w:r>
        <w:rPr>
          <w:sz w:val="20"/>
        </w:rPr>
        <w:t xml:space="preserve">% for the </w:t>
      </w:r>
      <w:r>
        <w:rPr>
          <w:rFonts w:ascii="Times New Roman" w:hAnsi="Times New Roman"/>
          <w:sz w:val="20"/>
        </w:rPr>
        <w:t>three and nine</w:t>
      </w:r>
      <w:r>
        <w:rPr/>
        <w:t xml:space="preserve"> </w:t>
      </w:r>
      <w:r>
        <w:rPr>
          <w:sz w:val="20"/>
        </w:rPr>
        <w:t xml:space="preserve">months ended </w:t>
      </w:r>
      <w:r>
        <w:rPr>
          <w:rFonts w:ascii="Times New Roman" w:hAnsi="Times New Roman"/>
          <w:sz w:val="20"/>
        </w:rPr>
        <w:t>July 31, 2026</w:t>
      </w:r>
      <w:r>
        <w:rPr>
          <w:sz w:val="20"/>
        </w:rPr>
        <w:t xml:space="preserve">, respectively, from </w:t>
      </w:r>
      <w:r>
        <w:rPr>
          <w:rFonts w:ascii="Times New Roman" w:hAnsi="Times New Roman"/>
          <w:sz w:val="20"/>
        </w:rPr>
        <w:t>17.3</w:t>
      </w:r>
      <w:r>
        <w:rPr>
          <w:sz w:val="20"/>
        </w:rPr>
        <w:t xml:space="preserve">% and </w:t>
      </w:r>
      <w:r>
        <w:rPr>
          <w:rFonts w:ascii="Times New Roman" w:hAnsi="Times New Roman"/>
          <w:sz w:val="20"/>
        </w:rPr>
        <w:t>17.6</w:t>
      </w:r>
      <w:r>
        <w:rPr>
          <w:sz w:val="20"/>
        </w:rPr>
        <w:t xml:space="preserve">% for the corresponding periods in 2025. The slight increase in gross margin percentage for the three months ended July 31, 2026 was primarily due to a modest increase in average price per home. The decrease for the nine months ended </w:t>
      </w:r>
      <w:r>
        <w:rPr>
          <w:rFonts w:ascii="Times New Roman" w:hAnsi="Times New Roman"/>
          <w:sz w:val="20"/>
        </w:rPr>
        <w:t>July 31, 2026</w:t>
      </w:r>
      <w:r>
        <w:rPr/>
        <w:t xml:space="preserve"> </w:t>
      </w:r>
      <w:r>
        <w:rPr>
          <w:sz w:val="20"/>
        </w:rPr>
        <w:t>was primarily due to increased use of incentives and concessions, including additional mortgage interest rate buydowns, to make our homes more affordable.</w:t>
      </w:r>
    </w:p>
    <w:p>
      <w:pPr>
        <w:pStyle w:val="TextBody"/>
        <w:bidi w:val="0"/>
        <w:spacing w:lineRule="atLeast" w:line="240" w:before="200" w:after="200"/>
        <w:ind w:left="0" w:right="0" w:firstLine="900"/>
        <w:jc w:val="left"/>
        <w:rPr>
          <w:sz w:val="20"/>
        </w:rPr>
      </w:pPr>
      <w:r>
        <w:rPr>
          <w:sz w:val="20"/>
        </w:rPr>
        <w:t>Land and lot sale expenses and gross margins are set forth below:</w:t>
      </w:r>
    </w:p>
    <w:tbl>
      <w:tblPr>
        <w:tblW w:w="7674" w:type="dxa"/>
        <w:jc w:val="left"/>
        <w:tblInd w:w="0" w:type="dxa"/>
        <w:tblLayout w:type="fixed"/>
        <w:tblCellMar>
          <w:top w:w="0" w:type="dxa"/>
          <w:left w:w="0" w:type="dxa"/>
          <w:bottom w:w="0" w:type="dxa"/>
          <w:right w:w="0" w:type="dxa"/>
        </w:tblCellMar>
      </w:tblPr>
      <w:tblGrid>
        <w:gridCol w:w="4145"/>
        <w:gridCol w:w="218"/>
        <w:gridCol w:w="401"/>
        <w:gridCol w:w="104"/>
        <w:gridCol w:w="218"/>
        <w:gridCol w:w="846"/>
        <w:gridCol w:w="60"/>
        <w:gridCol w:w="139"/>
        <w:gridCol w:w="660"/>
        <w:gridCol w:w="67"/>
        <w:gridCol w:w="139"/>
        <w:gridCol w:w="677"/>
      </w:tblGrid>
      <w:tr>
        <w:trPr/>
        <w:tc>
          <w:tcPr>
            <w:tcW w:w="4145" w:type="dxa"/>
            <w:tcBorders/>
            <w:vAlign w:val="center"/>
          </w:tcPr>
          <w:p>
            <w:pPr>
              <w:pStyle w:val="TableContents"/>
              <w:bidi w:val="0"/>
              <w:spacing w:before="0" w:after="0"/>
              <w:jc w:val="left"/>
              <w:rPr/>
            </w:pPr>
            <w:r>
              <w:rPr/>
              <w:t> </w:t>
            </w:r>
          </w:p>
        </w:tc>
        <w:tc>
          <w:tcPr>
            <w:tcW w:w="1787" w:type="dxa"/>
            <w:gridSpan w:val="5"/>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60" w:type="dxa"/>
            <w:tcBorders/>
            <w:vAlign w:val="center"/>
          </w:tcPr>
          <w:p>
            <w:pPr>
              <w:pStyle w:val="TableContents"/>
              <w:bidi w:val="0"/>
              <w:spacing w:before="0" w:after="0"/>
              <w:jc w:val="left"/>
              <w:rPr/>
            </w:pPr>
            <w:r>
              <w:rPr/>
              <w:t> </w:t>
            </w:r>
          </w:p>
        </w:tc>
        <w:tc>
          <w:tcPr>
            <w:tcW w:w="1682" w:type="dxa"/>
            <w:gridSpan w:val="5"/>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Nine Months Ended</w:t>
            </w:r>
          </w:p>
        </w:tc>
      </w:tr>
      <w:tr>
        <w:trPr/>
        <w:tc>
          <w:tcPr>
            <w:tcW w:w="4145" w:type="dxa"/>
            <w:tcBorders>
              <w:bottom w:val="single" w:sz="8" w:space="0" w:color="000000"/>
            </w:tcBorders>
            <w:tcMar>
              <w:bottom w:w="28" w:type="dxa"/>
            </w:tcMar>
            <w:vAlign w:val="center"/>
          </w:tcPr>
          <w:p>
            <w:pPr>
              <w:pStyle w:val="TableContents"/>
              <w:bidi w:val="0"/>
              <w:spacing w:before="0" w:after="0"/>
              <w:jc w:val="left"/>
              <w:rPr/>
            </w:pPr>
            <w:r>
              <w:rPr/>
              <w:t> </w:t>
            </w:r>
          </w:p>
        </w:tc>
        <w:tc>
          <w:tcPr>
            <w:tcW w:w="1787" w:type="dxa"/>
            <w:gridSpan w:val="5"/>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July 31,</w:t>
            </w:r>
          </w:p>
        </w:tc>
        <w:tc>
          <w:tcPr>
            <w:tcW w:w="60" w:type="dxa"/>
            <w:tcBorders>
              <w:bottom w:val="single" w:sz="8" w:space="0" w:color="000000"/>
            </w:tcBorders>
            <w:tcMar>
              <w:bottom w:w="28" w:type="dxa"/>
            </w:tcMar>
            <w:vAlign w:val="center"/>
          </w:tcPr>
          <w:p>
            <w:pPr>
              <w:pStyle w:val="TableContents"/>
              <w:bidi w:val="0"/>
              <w:spacing w:before="0" w:after="0"/>
              <w:jc w:val="left"/>
              <w:rPr/>
            </w:pPr>
            <w:r>
              <w:rPr/>
              <w:t> </w:t>
            </w:r>
          </w:p>
        </w:tc>
        <w:tc>
          <w:tcPr>
            <w:tcW w:w="1682" w:type="dxa"/>
            <w:gridSpan w:val="5"/>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July 31,</w:t>
            </w:r>
          </w:p>
        </w:tc>
      </w:tr>
      <w:tr>
        <w:trPr/>
        <w:tc>
          <w:tcPr>
            <w:tcW w:w="414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 thousands)</w:t>
            </w:r>
          </w:p>
        </w:tc>
        <w:tc>
          <w:tcPr>
            <w:tcW w:w="619"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04"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64"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99"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16"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r>
      <w:tr>
        <w:trPr/>
        <w:tc>
          <w:tcPr>
            <w:tcW w:w="414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Land and lot sales</w:t>
            </w:r>
          </w:p>
        </w:tc>
        <w:tc>
          <w:tcPr>
            <w:tcW w:w="218"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0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104"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218"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6"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1,193</w:t>
            </w:r>
          </w:p>
        </w:tc>
        <w:tc>
          <w:tcPr>
            <w:tcW w:w="6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39"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68,224</w:t>
            </w:r>
          </w:p>
        </w:tc>
        <w:tc>
          <w:tcPr>
            <w:tcW w:w="67"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39"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7"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20,623</w:t>
            </w:r>
          </w:p>
        </w:tc>
      </w:tr>
      <w:tr>
        <w:trPr/>
        <w:tc>
          <w:tcPr>
            <w:tcW w:w="4145" w:type="dxa"/>
            <w:tcBorders>
              <w:bottom w:val="single" w:sz="8"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excluding interest</w:t>
            </w:r>
          </w:p>
        </w:tc>
        <w:tc>
          <w:tcPr>
            <w:tcW w:w="218"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401"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104"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218"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84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241</w:t>
            </w:r>
          </w:p>
        </w:tc>
        <w:tc>
          <w:tcPr>
            <w:tcW w:w="60"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39"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6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24,617</w:t>
            </w:r>
          </w:p>
        </w:tc>
        <w:tc>
          <w:tcPr>
            <w:tcW w:w="67"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39"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77"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10,475</w:t>
            </w:r>
          </w:p>
        </w:tc>
      </w:tr>
      <w:tr>
        <w:trPr/>
        <w:tc>
          <w:tcPr>
            <w:tcW w:w="414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Land and lot sales gross margin, excluding interest</w:t>
            </w:r>
          </w:p>
        </w:tc>
        <w:tc>
          <w:tcPr>
            <w:tcW w:w="218"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40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7</w:t>
            </w:r>
          </w:p>
        </w:tc>
        <w:tc>
          <w:tcPr>
            <w:tcW w:w="104" w:type="dxa"/>
            <w:tcBorders>
              <w:top w:val="single" w:sz="8" w:space="0" w:color="000000"/>
            </w:tcBorders>
            <w:shd w:fill="CCEEFF" w:val="clear"/>
            <w:tcMar>
              <w:top w:w="28" w:type="dxa"/>
            </w:tcMar>
            <w:vAlign w:val="center"/>
          </w:tcPr>
          <w:p>
            <w:pPr>
              <w:pStyle w:val="TableContents"/>
              <w:bidi w:val="0"/>
              <w:spacing w:before="0" w:after="0"/>
              <w:jc w:val="left"/>
              <w:rPr>
                <w:color w:val="333333"/>
              </w:rPr>
            </w:pPr>
            <w:r>
              <w:rPr>
                <w:color w:val="333333"/>
              </w:rPr>
              <w:t> </w:t>
            </w:r>
          </w:p>
        </w:tc>
        <w:tc>
          <w:tcPr>
            <w:tcW w:w="218"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846"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952</w:t>
            </w:r>
          </w:p>
        </w:tc>
        <w:tc>
          <w:tcPr>
            <w:tcW w:w="60" w:type="dxa"/>
            <w:tcBorders>
              <w:top w:val="single" w:sz="8" w:space="0" w:color="000000"/>
            </w:tcBorders>
            <w:shd w:fill="CCEEFF" w:val="clear"/>
            <w:tcMar>
              <w:top w:w="28" w:type="dxa"/>
            </w:tcMar>
            <w:vAlign w:val="center"/>
          </w:tcPr>
          <w:p>
            <w:pPr>
              <w:pStyle w:val="TableContents"/>
              <w:bidi w:val="0"/>
              <w:spacing w:before="0" w:after="0"/>
              <w:jc w:val="left"/>
              <w:rPr>
                <w:color w:val="333333"/>
              </w:rPr>
            </w:pPr>
            <w:r>
              <w:rPr>
                <w:color w:val="333333"/>
              </w:rPr>
              <w:t> </w:t>
            </w:r>
          </w:p>
        </w:tc>
        <w:tc>
          <w:tcPr>
            <w:tcW w:w="13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6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43,607</w:t>
            </w:r>
          </w:p>
        </w:tc>
        <w:tc>
          <w:tcPr>
            <w:tcW w:w="67" w:type="dxa"/>
            <w:tcBorders>
              <w:top w:val="single" w:sz="8" w:space="0" w:color="000000"/>
            </w:tcBorders>
            <w:shd w:fill="CCEEFF" w:val="clear"/>
            <w:tcMar>
              <w:top w:w="28" w:type="dxa"/>
            </w:tcMar>
            <w:vAlign w:val="center"/>
          </w:tcPr>
          <w:p>
            <w:pPr>
              <w:pStyle w:val="TableContents"/>
              <w:bidi w:val="0"/>
              <w:spacing w:before="0" w:after="0"/>
              <w:jc w:val="left"/>
              <w:rPr>
                <w:color w:val="333333"/>
              </w:rPr>
            </w:pPr>
            <w:r>
              <w:rPr>
                <w:color w:val="333333"/>
              </w:rPr>
              <w:t> </w:t>
            </w:r>
          </w:p>
        </w:tc>
        <w:tc>
          <w:tcPr>
            <w:tcW w:w="139" w:type="dxa"/>
            <w:tcBorders>
              <w:top w:val="single" w:sz="8" w:space="0" w:color="000000"/>
            </w:tcBorders>
            <w:shd w:fill="CCEEFF" w:val="clear"/>
            <w:tcMar>
              <w:top w:w="28" w:type="dxa"/>
            </w:tcMar>
            <w:vAlign w:val="center"/>
          </w:tcPr>
          <w:p>
            <w:pPr>
              <w:pStyle w:val="TableContents"/>
              <w:bidi w:val="0"/>
              <w:spacing w:before="0" w:after="0"/>
              <w:jc w:val="left"/>
              <w:rPr>
                <w:color w:val="333333"/>
              </w:rPr>
            </w:pPr>
            <w:r>
              <w:rPr>
                <w:color w:val="333333"/>
              </w:rPr>
              <w:t> </w:t>
            </w:r>
          </w:p>
        </w:tc>
        <w:tc>
          <w:tcPr>
            <w:tcW w:w="677"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10,148</w:t>
            </w:r>
          </w:p>
        </w:tc>
      </w:tr>
      <w:tr>
        <w:trPr/>
        <w:tc>
          <w:tcPr>
            <w:tcW w:w="4145" w:type="dxa"/>
            <w:tcBorders>
              <w:bottom w:val="single" w:sz="8"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Land and lot sales interest expense</w:t>
            </w:r>
          </w:p>
        </w:tc>
        <w:tc>
          <w:tcPr>
            <w:tcW w:w="218"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401"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4"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218"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84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39"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6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118</w:t>
            </w:r>
          </w:p>
        </w:tc>
        <w:tc>
          <w:tcPr>
            <w:tcW w:w="67"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39"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77"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618</w:t>
            </w:r>
          </w:p>
        </w:tc>
      </w:tr>
      <w:tr>
        <w:trPr/>
        <w:tc>
          <w:tcPr>
            <w:tcW w:w="414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Land and lot sales gross margin, including interest</w:t>
            </w:r>
          </w:p>
        </w:tc>
        <w:tc>
          <w:tcPr>
            <w:tcW w:w="21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7</w:t>
            </w:r>
          </w:p>
        </w:tc>
        <w:tc>
          <w:tcPr>
            <w:tcW w:w="10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color w:val="333333"/>
              </w:rPr>
            </w:pPr>
            <w:r>
              <w:rPr>
                <w:color w:val="333333"/>
              </w:rPr>
              <w:t> </w:t>
            </w:r>
          </w:p>
        </w:tc>
        <w:tc>
          <w:tcPr>
            <w:tcW w:w="21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952</w:t>
            </w:r>
          </w:p>
        </w:tc>
        <w:tc>
          <w:tcPr>
            <w:tcW w:w="6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color w:val="333333"/>
              </w:rPr>
            </w:pPr>
            <w:r>
              <w:rPr>
                <w:color w:val="333333"/>
              </w:rPr>
              <w:t> </w:t>
            </w:r>
          </w:p>
        </w:tc>
        <w:tc>
          <w:tcPr>
            <w:tcW w:w="13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43,489</w:t>
            </w:r>
          </w:p>
        </w:tc>
        <w:tc>
          <w:tcPr>
            <w:tcW w:w="6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color w:val="333333"/>
              </w:rPr>
            </w:pPr>
            <w:r>
              <w:rPr>
                <w:color w:val="333333"/>
              </w:rPr>
              <w:t> </w:t>
            </w:r>
          </w:p>
        </w:tc>
        <w:tc>
          <w:tcPr>
            <w:tcW w:w="13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color w:val="333333"/>
                <w:sz w:val="20"/>
              </w:rPr>
            </w:pPr>
            <w:r>
              <w:rPr>
                <w:rFonts w:ascii="Times New Roman" w:hAnsi="Times New Roman"/>
                <w:color w:val="333333"/>
                <w:sz w:val="20"/>
              </w:rPr>
              <w:t>$</w:t>
            </w:r>
          </w:p>
        </w:tc>
        <w:tc>
          <w:tcPr>
            <w:tcW w:w="67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9,530</w:t>
            </w:r>
          </w:p>
        </w:tc>
      </w:tr>
    </w:tbl>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sz w:val="20"/>
        </w:rPr>
      </w:pPr>
      <w:r>
        <w:rPr>
          <w:sz w:val="20"/>
        </w:rPr>
        <w:t>Land sales are ancillary to our homebuilding operations and are expected to continue in the future but may fluctuate significantly.</w:t>
      </w:r>
    </w:p>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pPr>
      <w:hyperlink w:anchor="TOC_TableofContent">
        <w:r>
          <w:rPr>
            <w:rStyle w:val="InternetLink"/>
            <w:strike w:val="false"/>
            <w:dstrike w:val="false"/>
            <w:color w:val="0000FF"/>
            <w:sz w:val="20"/>
            <w:u w:val="single"/>
            <w:effect w:val="none"/>
          </w:rPr>
          <w:t>Table of Contents</w:t>
        </w:r>
      </w:hyperlink>
    </w:p>
    <w:p>
      <w:pPr>
        <w:pStyle w:val="TextBody"/>
        <w:bidi w:val="0"/>
        <w:spacing w:lineRule="atLeast" w:line="240" w:before="200" w:after="200"/>
        <w:jc w:val="left"/>
        <w:rPr>
          <w:b/>
          <w:i/>
          <w:sz w:val="20"/>
        </w:rPr>
      </w:pPr>
      <w:r>
        <w:rPr>
          <w:b/>
          <w:i/>
          <w:sz w:val="20"/>
        </w:rPr>
        <w:t>Homebuilding: Inventory Impairments and Land Option Write-Offs</w:t>
      </w:r>
    </w:p>
    <w:p>
      <w:pPr>
        <w:pStyle w:val="TextBody"/>
        <w:bidi w:val="0"/>
        <w:spacing w:lineRule="atLeast" w:line="240" w:before="200" w:after="200"/>
        <w:ind w:left="0" w:right="0" w:firstLine="900"/>
        <w:jc w:val="left"/>
        <w:rPr/>
      </w:pPr>
      <w:r>
        <w:rPr>
          <w:sz w:val="20"/>
        </w:rPr>
        <w:t>Inventory impairments and land option write-offs reflects certain inventories we have either written off or written down to their estimated fair value totaling $</w:t>
      </w:r>
      <w:r>
        <w:rPr>
          <w:rFonts w:ascii="Times New Roman" w:hAnsi="Times New Roman"/>
          <w:sz w:val="20"/>
        </w:rPr>
        <w:t>0.5</w:t>
      </w:r>
      <w:r>
        <w:rPr/>
        <w:t xml:space="preserve"> </w:t>
      </w:r>
      <w:r>
        <w:rPr>
          <w:sz w:val="20"/>
        </w:rPr>
        <w:t>million and $</w:t>
      </w:r>
      <w:r>
        <w:rPr>
          <w:rFonts w:ascii="Times New Roman" w:hAnsi="Times New Roman"/>
          <w:sz w:val="20"/>
        </w:rPr>
        <w:t>16.0</w:t>
      </w:r>
      <w:r>
        <w:rPr/>
        <w:t xml:space="preserve"> </w:t>
      </w:r>
      <w:r>
        <w:rPr>
          <w:sz w:val="20"/>
        </w:rPr>
        <w:t xml:space="preserve">million in expense for the </w:t>
      </w:r>
      <w:r>
        <w:rPr>
          <w:rFonts w:ascii="Times New Roman" w:hAnsi="Times New Roman"/>
          <w:sz w:val="20"/>
        </w:rPr>
        <w:t>three months ended July 31, 2026</w:t>
      </w:r>
      <w:r>
        <w:rPr/>
        <w:t xml:space="preserve"> </w:t>
      </w:r>
      <w:r>
        <w:rPr>
          <w:sz w:val="20"/>
        </w:rPr>
        <w:t xml:space="preserve">and </w:t>
      </w:r>
      <w:r>
        <w:rPr>
          <w:rFonts w:ascii="Times New Roman" w:hAnsi="Times New Roman"/>
          <w:sz w:val="20"/>
        </w:rPr>
        <w:t>2025</w:t>
      </w:r>
      <w:r>
        <w:rPr>
          <w:sz w:val="20"/>
        </w:rPr>
        <w:t>, respectively, and $</w:t>
      </w:r>
      <w:r>
        <w:rPr>
          <w:rFonts w:ascii="Times New Roman" w:hAnsi="Times New Roman"/>
          <w:sz w:val="20"/>
        </w:rPr>
        <w:t>11.6</w:t>
      </w:r>
      <w:r>
        <w:rPr/>
        <w:t xml:space="preserve"> </w:t>
      </w:r>
      <w:r>
        <w:rPr>
          <w:sz w:val="20"/>
        </w:rPr>
        <w:t>million and $</w:t>
      </w:r>
      <w:r>
        <w:rPr>
          <w:rFonts w:ascii="Times New Roman" w:hAnsi="Times New Roman"/>
          <w:sz w:val="20"/>
        </w:rPr>
        <w:t>20.1</w:t>
      </w:r>
      <w:r>
        <w:rPr/>
        <w:t xml:space="preserve"> </w:t>
      </w:r>
      <w:r>
        <w:rPr>
          <w:sz w:val="20"/>
        </w:rPr>
        <w:t xml:space="preserve">million during the </w:t>
      </w:r>
      <w:r>
        <w:rPr>
          <w:rFonts w:ascii="Times New Roman" w:hAnsi="Times New Roman"/>
          <w:sz w:val="20"/>
        </w:rPr>
        <w:t>nine months ended July 31, 2026</w:t>
      </w:r>
      <w:r>
        <w:rPr/>
        <w:t xml:space="preserve"> </w:t>
      </w:r>
      <w:r>
        <w:rPr>
          <w:sz w:val="20"/>
        </w:rPr>
        <w:t xml:space="preserve">and </w:t>
      </w:r>
      <w:r>
        <w:rPr>
          <w:rFonts w:ascii="Times New Roman" w:hAnsi="Times New Roman"/>
          <w:sz w:val="20"/>
        </w:rPr>
        <w:t>2025</w:t>
      </w:r>
      <w:r>
        <w:rPr>
          <w:sz w:val="20"/>
        </w:rPr>
        <w:t>, respectively. Inventory impairments amounted to $5.3 million during the</w:t>
      </w:r>
      <w:r>
        <w:rPr/>
        <w:t> </w:t>
      </w:r>
      <w:r>
        <w:rPr>
          <w:sz w:val="20"/>
        </w:rPr>
        <w:t>nine months ended</w:t>
      </w:r>
      <w:r>
        <w:rPr/>
        <w:t> </w:t>
      </w:r>
      <w:r>
        <w:rPr>
          <w:rFonts w:ascii="Times New Roman" w:hAnsi="Times New Roman"/>
          <w:sz w:val="20"/>
        </w:rPr>
        <w:t>July 31, 2026</w:t>
      </w:r>
      <w:r>
        <w:rPr/>
        <w:t xml:space="preserve"> </w:t>
      </w:r>
      <w:r>
        <w:rPr>
          <w:sz w:val="20"/>
        </w:rPr>
        <w:t>and</w:t>
      </w:r>
      <w:r>
        <w:rPr/>
        <w:t> </w:t>
      </w:r>
      <w:r>
        <w:rPr>
          <w:sz w:val="20"/>
        </w:rPr>
        <w:t>$7.6</w:t>
      </w:r>
      <w:r>
        <w:rPr/>
        <w:t> </w:t>
      </w:r>
      <w:r>
        <w:rPr>
          <w:sz w:val="20"/>
        </w:rPr>
        <w:t>million and $8.8</w:t>
      </w:r>
      <w:r>
        <w:rPr/>
        <w:t> </w:t>
      </w:r>
      <w:r>
        <w:rPr>
          <w:sz w:val="20"/>
        </w:rPr>
        <w:t xml:space="preserve">million during the </w:t>
      </w:r>
      <w:r>
        <w:rPr>
          <w:rFonts w:ascii="Times New Roman" w:hAnsi="Times New Roman"/>
          <w:sz w:val="20"/>
        </w:rPr>
        <w:t>three and nine</w:t>
      </w:r>
      <w:r>
        <w:rPr/>
        <w:t> </w:t>
      </w:r>
      <w:r>
        <w:rPr>
          <w:sz w:val="20"/>
        </w:rPr>
        <w:t>months ended</w:t>
      </w:r>
      <w:r>
        <w:rPr/>
        <w:t> </w:t>
      </w:r>
      <w:r>
        <w:rPr>
          <w:rFonts w:ascii="Times New Roman" w:hAnsi="Times New Roman"/>
          <w:sz w:val="20"/>
        </w:rPr>
        <w:t>July 31, 2025</w:t>
      </w:r>
      <w:r>
        <w:rPr>
          <w:sz w:val="20"/>
        </w:rPr>
        <w:t>, respectively. No inventory impairments were recorded during the three months ended July 31, 2026. The impairments recorded for the nine months ended July 31, 2026 related to two communities in the Southeast segment and two communities in the West segment. The impairments recorded for the three and nine months ended July 31, 2025 related to two communities in the Northeast segment and three communities in the West segment. During the first nine months of both fiscal 2026 and 2025, we wrote-off residential land option, approval and engineering costs across each of our segments.</w:t>
      </w:r>
    </w:p>
    <w:p>
      <w:pPr>
        <w:pStyle w:val="TextBody"/>
        <w:bidi w:val="0"/>
        <w:spacing w:lineRule="atLeast" w:line="240" w:before="200" w:after="200"/>
        <w:jc w:val="left"/>
        <w:rPr>
          <w:b/>
          <w:i/>
          <w:sz w:val="20"/>
        </w:rPr>
      </w:pPr>
      <w:r>
        <w:rPr>
          <w:b/>
          <w:i/>
          <w:sz w:val="20"/>
        </w:rPr>
        <w:t>Homebuilding: Selling, General and Administrative</w:t>
      </w:r>
    </w:p>
    <w:p>
      <w:pPr>
        <w:pStyle w:val="TextBody"/>
        <w:bidi w:val="0"/>
        <w:spacing w:lineRule="atLeast" w:line="240" w:before="200" w:after="200"/>
        <w:ind w:left="0" w:right="0" w:firstLine="900"/>
        <w:jc w:val="left"/>
        <w:rPr/>
      </w:pPr>
      <w:r>
        <w:rPr>
          <w:sz w:val="20"/>
        </w:rPr>
        <w:t xml:space="preserve">Homebuilding selling, general and administrative (“SGA”) expenses </w:t>
      </w:r>
      <w:r>
        <w:rPr>
          <w:rFonts w:ascii="Times New Roman" w:hAnsi="Times New Roman"/>
          <w:sz w:val="20"/>
        </w:rPr>
        <w:t>decreased</w:t>
      </w:r>
      <w:r>
        <w:rPr/>
        <w:t xml:space="preserve"> </w:t>
      </w:r>
      <w:r>
        <w:rPr>
          <w:sz w:val="20"/>
        </w:rPr>
        <w:t>by $</w:t>
      </w:r>
      <w:r>
        <w:rPr>
          <w:rFonts w:ascii="Times New Roman" w:hAnsi="Times New Roman"/>
          <w:sz w:val="20"/>
        </w:rPr>
        <w:t>6.3</w:t>
      </w:r>
      <w:r>
        <w:rPr/>
        <w:t xml:space="preserve"> </w:t>
      </w:r>
      <w:r>
        <w:rPr>
          <w:sz w:val="20"/>
        </w:rPr>
        <w:t>million to $</w:t>
      </w:r>
      <w:r>
        <w:rPr>
          <w:rFonts w:ascii="Times New Roman" w:hAnsi="Times New Roman"/>
          <w:sz w:val="20"/>
        </w:rPr>
        <w:t>49.5</w:t>
      </w:r>
      <w:r>
        <w:rPr/>
        <w:t xml:space="preserve"> </w:t>
      </w:r>
      <w:r>
        <w:rPr>
          <w:sz w:val="20"/>
        </w:rPr>
        <w:t xml:space="preserve">million for the </w:t>
      </w:r>
      <w:r>
        <w:rPr>
          <w:rFonts w:ascii="Times New Roman" w:hAnsi="Times New Roman"/>
          <w:sz w:val="20"/>
        </w:rPr>
        <w:t>three months ended July 31, 2026</w:t>
      </w:r>
      <w:r>
        <w:rPr/>
        <w:t> </w:t>
      </w:r>
      <w:r>
        <w:rPr>
          <w:sz w:val="20"/>
        </w:rPr>
        <w:t>and by $</w:t>
      </w:r>
      <w:r>
        <w:rPr>
          <w:rFonts w:ascii="Times New Roman" w:hAnsi="Times New Roman"/>
          <w:sz w:val="20"/>
        </w:rPr>
        <w:t>4.3</w:t>
      </w:r>
      <w:r>
        <w:rPr/>
        <w:t> </w:t>
      </w:r>
      <w:r>
        <w:rPr>
          <w:sz w:val="20"/>
        </w:rPr>
        <w:t>million to $</w:t>
      </w:r>
      <w:r>
        <w:rPr>
          <w:rFonts w:ascii="Times New Roman" w:hAnsi="Times New Roman"/>
          <w:sz w:val="20"/>
        </w:rPr>
        <w:t>156.7</w:t>
      </w:r>
      <w:r>
        <w:rPr/>
        <w:t> </w:t>
      </w:r>
      <w:r>
        <w:rPr>
          <w:sz w:val="20"/>
        </w:rPr>
        <w:t>million for the</w:t>
      </w:r>
      <w:r>
        <w:rPr/>
        <w:t> </w:t>
      </w:r>
      <w:r>
        <w:rPr>
          <w:rFonts w:ascii="Times New Roman" w:hAnsi="Times New Roman"/>
          <w:sz w:val="20"/>
        </w:rPr>
        <w:t>nine months ended July 31, 2026</w:t>
      </w:r>
      <w:r>
        <w:rPr/>
        <w:t xml:space="preserve"> </w:t>
      </w:r>
      <w:r>
        <w:rPr>
          <w:sz w:val="20"/>
        </w:rPr>
        <w:t>compared with the same periods in the prior year. The decreases were primarily due to a reduction in construction defect reserves based on our annual third-party actuarial analysis of our claims history.</w:t>
      </w:r>
    </w:p>
    <w:p>
      <w:pPr>
        <w:pStyle w:val="TextBody"/>
        <w:bidi w:val="0"/>
        <w:spacing w:lineRule="atLeast" w:line="240" w:before="200" w:after="200"/>
        <w:jc w:val="left"/>
        <w:rPr>
          <w:b/>
          <w:i/>
          <w:sz w:val="20"/>
        </w:rPr>
      </w:pPr>
      <w:r>
        <w:rPr>
          <w:b/>
          <w:i/>
          <w:sz w:val="20"/>
        </w:rPr>
        <w:t>Homebuilding: Key Performance Indicators</w:t>
      </w:r>
    </w:p>
    <w:p>
      <w:pPr>
        <w:pStyle w:val="TextBody"/>
        <w:bidi w:val="0"/>
        <w:spacing w:lineRule="atLeast" w:line="240" w:before="200" w:after="200"/>
        <w:jc w:val="left"/>
        <w:rPr>
          <w:i/>
          <w:sz w:val="20"/>
        </w:rPr>
      </w:pPr>
      <w:r>
        <w:rPr>
          <w:i/>
          <w:sz w:val="20"/>
        </w:rPr>
        <w:t>Net Domestic Contracts Per Active Selling Community</w:t>
      </w:r>
    </w:p>
    <w:p>
      <w:pPr>
        <w:pStyle w:val="TextBody"/>
        <w:bidi w:val="0"/>
        <w:spacing w:lineRule="atLeast" w:line="240" w:before="200" w:after="200"/>
        <w:ind w:left="0" w:right="0" w:firstLine="900"/>
        <w:jc w:val="left"/>
        <w:rPr/>
      </w:pPr>
      <w:r>
        <w:rPr>
          <w:sz w:val="20"/>
        </w:rPr>
        <w:t xml:space="preserve">Net domestic contracts per active selling community were </w:t>
      </w:r>
      <w:r>
        <w:rPr>
          <w:rFonts w:ascii="Times New Roman" w:hAnsi="Times New Roman"/>
          <w:sz w:val="20"/>
        </w:rPr>
        <w:t>9.4</w:t>
      </w:r>
      <w:r>
        <w:rPr/>
        <w:t xml:space="preserve"> </w:t>
      </w:r>
      <w:r>
        <w:rPr>
          <w:sz w:val="20"/>
        </w:rPr>
        <w:t xml:space="preserve">and </w:t>
      </w:r>
      <w:r>
        <w:rPr>
          <w:rFonts w:ascii="Times New Roman" w:hAnsi="Times New Roman"/>
          <w:sz w:val="20"/>
        </w:rPr>
        <w:t>31.0</w:t>
      </w:r>
      <w:r>
        <w:rPr/>
        <w:t xml:space="preserve"> </w:t>
      </w:r>
      <w:r>
        <w:rPr>
          <w:sz w:val="20"/>
        </w:rPr>
        <w:t>for the three and nine months ended July 31, 2026, respectively,</w:t>
      </w:r>
      <w:r>
        <w:rPr/>
        <w:t> </w:t>
      </w:r>
      <w:r>
        <w:rPr>
          <w:sz w:val="20"/>
        </w:rPr>
        <w:t>compared with</w:t>
      </w:r>
      <w:r>
        <w:rPr/>
        <w:t> </w:t>
      </w:r>
      <w:r>
        <w:rPr>
          <w:rFonts w:ascii="Times New Roman" w:hAnsi="Times New Roman"/>
          <w:sz w:val="20"/>
        </w:rPr>
        <w:t>9.8</w:t>
      </w:r>
      <w:r>
        <w:rPr/>
        <w:t xml:space="preserve"> </w:t>
      </w:r>
      <w:r>
        <w:rPr>
          <w:sz w:val="20"/>
        </w:rPr>
        <w:t xml:space="preserve">and </w:t>
      </w:r>
      <w:r>
        <w:rPr>
          <w:rFonts w:ascii="Times New Roman" w:hAnsi="Times New Roman"/>
          <w:sz w:val="20"/>
        </w:rPr>
        <w:t>30.8</w:t>
      </w:r>
      <w:r>
        <w:rPr/>
        <w:t> </w:t>
      </w:r>
      <w:r>
        <w:rPr>
          <w:sz w:val="20"/>
        </w:rPr>
        <w:t>for the same periods in the prior year. Domestic sales contracts, net of cancellations, continued to be largely driven by customer demand for our available QMI homes. Offering a strong selection of QMI homes enables customers to use available incentives and purchase homes more quickly and affordably.</w:t>
      </w:r>
    </w:p>
    <w:p>
      <w:pPr>
        <w:pStyle w:val="TextBody"/>
        <w:bidi w:val="0"/>
        <w:spacing w:lineRule="atLeast" w:line="240" w:before="200" w:after="200"/>
        <w:jc w:val="left"/>
        <w:rPr>
          <w:i/>
          <w:sz w:val="20"/>
        </w:rPr>
      </w:pPr>
      <w:r>
        <w:rPr>
          <w:i/>
          <w:sz w:val="20"/>
        </w:rPr>
        <w:t>Domestic Contract Cancellation Rates</w:t>
      </w:r>
    </w:p>
    <w:p>
      <w:pPr>
        <w:pStyle w:val="TextBody"/>
        <w:bidi w:val="0"/>
        <w:spacing w:lineRule="atLeast" w:line="240" w:before="200" w:after="200"/>
        <w:ind w:left="0" w:right="0" w:firstLine="900"/>
        <w:jc w:val="left"/>
        <w:rPr>
          <w:sz w:val="20"/>
        </w:rPr>
      </w:pPr>
      <w:r>
        <w:rPr>
          <w:sz w:val="20"/>
        </w:rPr>
        <w:t>The following table provides historical quarterly cancellation rates, which represents the number of cancelled domestic contracts in the quarter divided by the number of gross domestic sales contracts executed in the quarter, excluding unconsolidated joint ventures:</w:t>
      </w:r>
    </w:p>
    <w:tbl>
      <w:tblPr>
        <w:tblW w:w="3150" w:type="dxa"/>
        <w:jc w:val="left"/>
        <w:tblInd w:w="0" w:type="dxa"/>
        <w:tblLayout w:type="fixed"/>
        <w:tblCellMar>
          <w:top w:w="0" w:type="dxa"/>
          <w:left w:w="0" w:type="dxa"/>
          <w:bottom w:w="28" w:type="dxa"/>
          <w:right w:w="0" w:type="dxa"/>
        </w:tblCellMar>
      </w:tblPr>
      <w:tblGrid>
        <w:gridCol w:w="635"/>
        <w:gridCol w:w="60"/>
        <w:gridCol w:w="243"/>
        <w:gridCol w:w="197"/>
        <w:gridCol w:w="60"/>
        <w:gridCol w:w="243"/>
        <w:gridCol w:w="197"/>
        <w:gridCol w:w="60"/>
        <w:gridCol w:w="243"/>
        <w:gridCol w:w="197"/>
        <w:gridCol w:w="60"/>
        <w:gridCol w:w="243"/>
        <w:gridCol w:w="197"/>
        <w:gridCol w:w="60"/>
        <w:gridCol w:w="243"/>
        <w:gridCol w:w="212"/>
      </w:tblGrid>
      <w:tr>
        <w:trPr/>
        <w:tc>
          <w:tcPr>
            <w:tcW w:w="635" w:type="dxa"/>
            <w:tcBorders>
              <w:bottom w:val="single" w:sz="8" w:space="0" w:color="000000"/>
            </w:tcBorders>
            <w:vAlign w:val="center"/>
          </w:tcPr>
          <w:p>
            <w:pPr>
              <w:pStyle w:val="TableContents"/>
              <w:bidi w:val="0"/>
              <w:spacing w:before="0" w:after="0"/>
              <w:jc w:val="left"/>
              <w:rPr>
                <w:rFonts w:ascii="Times New Roman" w:hAnsi="Times New Roman"/>
                <w:sz w:val="20"/>
              </w:rPr>
            </w:pPr>
            <w:r>
              <w:rPr>
                <w:rFonts w:ascii="Times New Roman" w:hAnsi="Times New Roman"/>
                <w:sz w:val="20"/>
              </w:rPr>
              <w:t>Quarter</w:t>
            </w:r>
          </w:p>
        </w:tc>
        <w:tc>
          <w:tcPr>
            <w:tcW w:w="60" w:type="dxa"/>
            <w:tcBorders>
              <w:bottom w:val="single" w:sz="8" w:space="0" w:color="000000"/>
            </w:tcBorders>
            <w:vAlign w:val="center"/>
          </w:tcPr>
          <w:p>
            <w:pPr>
              <w:pStyle w:val="TableContents"/>
              <w:bidi w:val="0"/>
              <w:spacing w:before="0" w:after="0"/>
              <w:jc w:val="left"/>
              <w:rPr/>
            </w:pPr>
            <w:r>
              <w:rPr/>
              <w:t> </w:t>
            </w:r>
          </w:p>
        </w:tc>
        <w:tc>
          <w:tcPr>
            <w:tcW w:w="440" w:type="dxa"/>
            <w:gridSpan w:val="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0" w:type="dxa"/>
            <w:tcBorders>
              <w:bottom w:val="single" w:sz="8" w:space="0" w:color="000000"/>
            </w:tcBorders>
            <w:vAlign w:val="center"/>
          </w:tcPr>
          <w:p>
            <w:pPr>
              <w:pStyle w:val="TableContents"/>
              <w:bidi w:val="0"/>
              <w:spacing w:before="0" w:after="0"/>
              <w:jc w:val="left"/>
              <w:rPr/>
            </w:pPr>
            <w:r>
              <w:rPr/>
              <w:t> </w:t>
            </w:r>
          </w:p>
        </w:tc>
        <w:tc>
          <w:tcPr>
            <w:tcW w:w="440" w:type="dxa"/>
            <w:gridSpan w:val="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bottom w:val="single" w:sz="8" w:space="0" w:color="000000"/>
            </w:tcBorders>
            <w:vAlign w:val="center"/>
          </w:tcPr>
          <w:p>
            <w:pPr>
              <w:pStyle w:val="TableContents"/>
              <w:bidi w:val="0"/>
              <w:spacing w:before="0" w:after="0"/>
              <w:jc w:val="left"/>
              <w:rPr/>
            </w:pPr>
            <w:r>
              <w:rPr/>
              <w:t> </w:t>
            </w:r>
          </w:p>
        </w:tc>
        <w:tc>
          <w:tcPr>
            <w:tcW w:w="440" w:type="dxa"/>
            <w:gridSpan w:val="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60" w:type="dxa"/>
            <w:tcBorders>
              <w:bottom w:val="single" w:sz="8" w:space="0" w:color="000000"/>
            </w:tcBorders>
            <w:vAlign w:val="center"/>
          </w:tcPr>
          <w:p>
            <w:pPr>
              <w:pStyle w:val="TableContents"/>
              <w:bidi w:val="0"/>
              <w:spacing w:before="0" w:after="0"/>
              <w:jc w:val="left"/>
              <w:rPr/>
            </w:pPr>
            <w:r>
              <w:rPr/>
              <w:t> </w:t>
            </w:r>
          </w:p>
        </w:tc>
        <w:tc>
          <w:tcPr>
            <w:tcW w:w="440" w:type="dxa"/>
            <w:gridSpan w:val="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0" w:type="dxa"/>
            <w:tcBorders>
              <w:bottom w:val="single" w:sz="8" w:space="0" w:color="000000"/>
            </w:tcBorders>
            <w:vAlign w:val="center"/>
          </w:tcPr>
          <w:p>
            <w:pPr>
              <w:pStyle w:val="TableContents"/>
              <w:bidi w:val="0"/>
              <w:spacing w:before="0" w:after="0"/>
              <w:jc w:val="left"/>
              <w:rPr/>
            </w:pPr>
            <w:r>
              <w:rPr/>
              <w:t> </w:t>
            </w:r>
          </w:p>
        </w:tc>
        <w:tc>
          <w:tcPr>
            <w:tcW w:w="455" w:type="dxa"/>
            <w:gridSpan w:val="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2022</w:t>
            </w:r>
          </w:p>
        </w:tc>
      </w:tr>
      <w:tr>
        <w:trPr/>
        <w:tc>
          <w:tcPr>
            <w:tcW w:w="63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First</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243"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197"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243"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197"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243"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197"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243"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w:t>
            </w:r>
          </w:p>
        </w:tc>
        <w:tc>
          <w:tcPr>
            <w:tcW w:w="197"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243"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212"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3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Second</w:t>
            </w:r>
          </w:p>
        </w:tc>
        <w:tc>
          <w:tcPr>
            <w:tcW w:w="60" w:type="dxa"/>
            <w:tcBorders/>
            <w:shd w:fill="FFFFFF" w:val="clear"/>
            <w:tcMar>
              <w:bottom w:w="0" w:type="dxa"/>
            </w:tcMar>
            <w:vAlign w:val="center"/>
          </w:tcPr>
          <w:p>
            <w:pPr>
              <w:pStyle w:val="TableContents"/>
              <w:bidi w:val="0"/>
              <w:spacing w:before="0" w:after="0"/>
              <w:jc w:val="left"/>
              <w:rPr/>
            </w:pPr>
            <w:r>
              <w:rPr/>
              <w:t> </w:t>
            </w:r>
          </w:p>
        </w:tc>
        <w:tc>
          <w:tcPr>
            <w:tcW w:w="243"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w:t>
            </w:r>
          </w:p>
        </w:tc>
        <w:tc>
          <w:tcPr>
            <w:tcW w:w="197"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243"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197"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243"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197"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243"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197"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243"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w:t>
            </w:r>
          </w:p>
        </w:tc>
        <w:tc>
          <w:tcPr>
            <w:tcW w:w="212"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3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Third</w:t>
            </w:r>
          </w:p>
        </w:tc>
        <w:tc>
          <w:tcPr>
            <w:tcW w:w="60" w:type="dxa"/>
            <w:tcBorders/>
            <w:shd w:fill="CCEEFF" w:val="clear"/>
            <w:tcMar>
              <w:bottom w:w="0" w:type="dxa"/>
            </w:tcMar>
            <w:vAlign w:val="center"/>
          </w:tcPr>
          <w:p>
            <w:pPr>
              <w:pStyle w:val="TableContents"/>
              <w:bidi w:val="0"/>
              <w:spacing w:before="0" w:after="0"/>
              <w:jc w:val="left"/>
              <w:rPr/>
            </w:pPr>
            <w:r>
              <w:rPr/>
              <w:t> </w:t>
            </w:r>
          </w:p>
        </w:tc>
        <w:tc>
          <w:tcPr>
            <w:tcW w:w="243"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197"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243"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197"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243"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w:t>
            </w:r>
          </w:p>
        </w:tc>
        <w:tc>
          <w:tcPr>
            <w:tcW w:w="197"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243"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197"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243"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w:t>
            </w:r>
          </w:p>
        </w:tc>
        <w:tc>
          <w:tcPr>
            <w:tcW w:w="212"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3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Fourth</w:t>
            </w:r>
          </w:p>
        </w:tc>
        <w:tc>
          <w:tcPr>
            <w:tcW w:w="60" w:type="dxa"/>
            <w:tcBorders/>
            <w:shd w:fill="FFFFFF" w:val="clear"/>
            <w:tcMar>
              <w:bottom w:w="0" w:type="dxa"/>
            </w:tcMar>
            <w:vAlign w:val="center"/>
          </w:tcPr>
          <w:p>
            <w:pPr>
              <w:pStyle w:val="TableContents"/>
              <w:bidi w:val="0"/>
              <w:spacing w:before="0" w:after="0"/>
              <w:jc w:val="left"/>
              <w:rPr/>
            </w:pPr>
            <w:r>
              <w:rPr/>
              <w:t> </w:t>
            </w:r>
          </w:p>
        </w:tc>
        <w:tc>
          <w:tcPr>
            <w:tcW w:w="243" w:type="dxa"/>
            <w:tcBorders/>
            <w:shd w:fill="FFFFFF" w:val="clear"/>
            <w:tcMar>
              <w:bottom w:w="0" w:type="dxa"/>
            </w:tcMar>
            <w:vAlign w:val="center"/>
          </w:tcPr>
          <w:p>
            <w:pPr>
              <w:pStyle w:val="TableContents"/>
              <w:bidi w:val="0"/>
              <w:spacing w:before="0" w:after="0"/>
              <w:jc w:val="right"/>
              <w:rPr/>
            </w:pPr>
            <w:r>
              <w:rPr/>
              <w:t> </w:t>
            </w:r>
          </w:p>
        </w:tc>
        <w:tc>
          <w:tcPr>
            <w:tcW w:w="197"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243"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w:t>
            </w:r>
          </w:p>
        </w:tc>
        <w:tc>
          <w:tcPr>
            <w:tcW w:w="197"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243"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197"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243"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w:t>
            </w:r>
          </w:p>
        </w:tc>
        <w:tc>
          <w:tcPr>
            <w:tcW w:w="197"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243"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41</w:t>
            </w:r>
          </w:p>
        </w:tc>
        <w:tc>
          <w:tcPr>
            <w:tcW w:w="212"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lineRule="atLeast" w:line="240" w:before="200" w:after="200"/>
        <w:ind w:left="0" w:right="0" w:firstLine="900"/>
        <w:jc w:val="left"/>
        <w:rPr>
          <w:sz w:val="20"/>
        </w:rPr>
      </w:pPr>
      <w:r>
        <w:rPr>
          <w:sz w:val="20"/>
        </w:rPr>
        <w:t>The following table provides quarterly domestic contract cancellations as a percentage of the beginning domestic backlog, excluding unconsolidated joint ventures:</w:t>
      </w:r>
    </w:p>
    <w:tbl>
      <w:tblPr>
        <w:tblW w:w="3150" w:type="dxa"/>
        <w:jc w:val="left"/>
        <w:tblInd w:w="0" w:type="dxa"/>
        <w:tblLayout w:type="fixed"/>
        <w:tblCellMar>
          <w:top w:w="0" w:type="dxa"/>
          <w:left w:w="0" w:type="dxa"/>
          <w:bottom w:w="28" w:type="dxa"/>
          <w:right w:w="0" w:type="dxa"/>
        </w:tblCellMar>
      </w:tblPr>
      <w:tblGrid>
        <w:gridCol w:w="635"/>
        <w:gridCol w:w="60"/>
        <w:gridCol w:w="243"/>
        <w:gridCol w:w="197"/>
        <w:gridCol w:w="60"/>
        <w:gridCol w:w="243"/>
        <w:gridCol w:w="197"/>
        <w:gridCol w:w="60"/>
        <w:gridCol w:w="243"/>
        <w:gridCol w:w="197"/>
        <w:gridCol w:w="60"/>
        <w:gridCol w:w="243"/>
        <w:gridCol w:w="197"/>
        <w:gridCol w:w="60"/>
        <w:gridCol w:w="243"/>
        <w:gridCol w:w="212"/>
      </w:tblGrid>
      <w:tr>
        <w:trPr/>
        <w:tc>
          <w:tcPr>
            <w:tcW w:w="635" w:type="dxa"/>
            <w:tcBorders>
              <w:bottom w:val="single" w:sz="8" w:space="0" w:color="000000"/>
            </w:tcBorders>
            <w:vAlign w:val="center"/>
          </w:tcPr>
          <w:p>
            <w:pPr>
              <w:pStyle w:val="TableContents"/>
              <w:bidi w:val="0"/>
              <w:spacing w:before="0" w:after="0"/>
              <w:jc w:val="left"/>
              <w:rPr>
                <w:rFonts w:ascii="Times New Roman" w:hAnsi="Times New Roman"/>
                <w:sz w:val="20"/>
              </w:rPr>
            </w:pPr>
            <w:r>
              <w:rPr>
                <w:rFonts w:ascii="Times New Roman" w:hAnsi="Times New Roman"/>
                <w:sz w:val="20"/>
              </w:rPr>
              <w:t>Quarter</w:t>
            </w:r>
          </w:p>
        </w:tc>
        <w:tc>
          <w:tcPr>
            <w:tcW w:w="60" w:type="dxa"/>
            <w:tcBorders>
              <w:bottom w:val="single" w:sz="8" w:space="0" w:color="000000"/>
            </w:tcBorders>
            <w:vAlign w:val="center"/>
          </w:tcPr>
          <w:p>
            <w:pPr>
              <w:pStyle w:val="TableContents"/>
              <w:bidi w:val="0"/>
              <w:spacing w:before="0" w:after="0"/>
              <w:jc w:val="left"/>
              <w:rPr/>
            </w:pPr>
            <w:r>
              <w:rPr/>
              <w:t> </w:t>
            </w:r>
          </w:p>
        </w:tc>
        <w:tc>
          <w:tcPr>
            <w:tcW w:w="440" w:type="dxa"/>
            <w:gridSpan w:val="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0" w:type="dxa"/>
            <w:tcBorders>
              <w:bottom w:val="single" w:sz="8" w:space="0" w:color="000000"/>
            </w:tcBorders>
            <w:vAlign w:val="center"/>
          </w:tcPr>
          <w:p>
            <w:pPr>
              <w:pStyle w:val="TableContents"/>
              <w:bidi w:val="0"/>
              <w:spacing w:before="0" w:after="0"/>
              <w:jc w:val="left"/>
              <w:rPr/>
            </w:pPr>
            <w:r>
              <w:rPr/>
              <w:t> </w:t>
            </w:r>
          </w:p>
        </w:tc>
        <w:tc>
          <w:tcPr>
            <w:tcW w:w="440" w:type="dxa"/>
            <w:gridSpan w:val="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bottom w:val="single" w:sz="8" w:space="0" w:color="000000"/>
            </w:tcBorders>
            <w:vAlign w:val="center"/>
          </w:tcPr>
          <w:p>
            <w:pPr>
              <w:pStyle w:val="TableContents"/>
              <w:bidi w:val="0"/>
              <w:spacing w:before="0" w:after="0"/>
              <w:jc w:val="left"/>
              <w:rPr/>
            </w:pPr>
            <w:r>
              <w:rPr/>
              <w:t> </w:t>
            </w:r>
          </w:p>
        </w:tc>
        <w:tc>
          <w:tcPr>
            <w:tcW w:w="440" w:type="dxa"/>
            <w:gridSpan w:val="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60" w:type="dxa"/>
            <w:tcBorders>
              <w:bottom w:val="single" w:sz="8" w:space="0" w:color="000000"/>
            </w:tcBorders>
            <w:vAlign w:val="center"/>
          </w:tcPr>
          <w:p>
            <w:pPr>
              <w:pStyle w:val="TableContents"/>
              <w:bidi w:val="0"/>
              <w:spacing w:before="0" w:after="0"/>
              <w:jc w:val="left"/>
              <w:rPr/>
            </w:pPr>
            <w:r>
              <w:rPr/>
              <w:t> </w:t>
            </w:r>
          </w:p>
        </w:tc>
        <w:tc>
          <w:tcPr>
            <w:tcW w:w="440" w:type="dxa"/>
            <w:gridSpan w:val="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0" w:type="dxa"/>
            <w:tcBorders>
              <w:bottom w:val="single" w:sz="8" w:space="0" w:color="000000"/>
            </w:tcBorders>
            <w:vAlign w:val="center"/>
          </w:tcPr>
          <w:p>
            <w:pPr>
              <w:pStyle w:val="TableContents"/>
              <w:bidi w:val="0"/>
              <w:spacing w:before="0" w:after="0"/>
              <w:jc w:val="left"/>
              <w:rPr/>
            </w:pPr>
            <w:r>
              <w:rPr/>
              <w:t> </w:t>
            </w:r>
          </w:p>
        </w:tc>
        <w:tc>
          <w:tcPr>
            <w:tcW w:w="455" w:type="dxa"/>
            <w:gridSpan w:val="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2022</w:t>
            </w:r>
          </w:p>
        </w:tc>
      </w:tr>
      <w:tr>
        <w:trPr/>
        <w:tc>
          <w:tcPr>
            <w:tcW w:w="63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First</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243"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197"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243"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197"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243"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197"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243"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197"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243"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w:t>
            </w:r>
          </w:p>
        </w:tc>
        <w:tc>
          <w:tcPr>
            <w:tcW w:w="212"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3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Second</w:t>
            </w:r>
          </w:p>
        </w:tc>
        <w:tc>
          <w:tcPr>
            <w:tcW w:w="60" w:type="dxa"/>
            <w:tcBorders/>
            <w:shd w:fill="FFFFFF" w:val="clear"/>
            <w:tcMar>
              <w:bottom w:w="0" w:type="dxa"/>
            </w:tcMar>
            <w:vAlign w:val="center"/>
          </w:tcPr>
          <w:p>
            <w:pPr>
              <w:pStyle w:val="TableContents"/>
              <w:bidi w:val="0"/>
              <w:spacing w:before="0" w:after="0"/>
              <w:jc w:val="left"/>
              <w:rPr/>
            </w:pPr>
            <w:r>
              <w:rPr/>
              <w:t> </w:t>
            </w:r>
          </w:p>
        </w:tc>
        <w:tc>
          <w:tcPr>
            <w:tcW w:w="243"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w:t>
            </w:r>
          </w:p>
        </w:tc>
        <w:tc>
          <w:tcPr>
            <w:tcW w:w="197"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243"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197"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243"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197"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243"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197"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243"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w:t>
            </w:r>
          </w:p>
        </w:tc>
        <w:tc>
          <w:tcPr>
            <w:tcW w:w="212"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3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Third</w:t>
            </w:r>
          </w:p>
        </w:tc>
        <w:tc>
          <w:tcPr>
            <w:tcW w:w="60" w:type="dxa"/>
            <w:tcBorders/>
            <w:shd w:fill="CCEEFF" w:val="clear"/>
            <w:tcMar>
              <w:bottom w:w="0" w:type="dxa"/>
            </w:tcMar>
            <w:vAlign w:val="center"/>
          </w:tcPr>
          <w:p>
            <w:pPr>
              <w:pStyle w:val="TableContents"/>
              <w:bidi w:val="0"/>
              <w:spacing w:before="0" w:after="0"/>
              <w:jc w:val="left"/>
              <w:rPr/>
            </w:pPr>
            <w:r>
              <w:rPr/>
              <w:t> </w:t>
            </w:r>
          </w:p>
        </w:tc>
        <w:tc>
          <w:tcPr>
            <w:tcW w:w="243"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197"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243"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w:t>
            </w:r>
          </w:p>
        </w:tc>
        <w:tc>
          <w:tcPr>
            <w:tcW w:w="197"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243"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197"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243"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197"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243"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w:t>
            </w:r>
          </w:p>
        </w:tc>
        <w:tc>
          <w:tcPr>
            <w:tcW w:w="212"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3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Fourth</w:t>
            </w:r>
          </w:p>
        </w:tc>
        <w:tc>
          <w:tcPr>
            <w:tcW w:w="60" w:type="dxa"/>
            <w:tcBorders/>
            <w:shd w:fill="FFFFFF" w:val="clear"/>
            <w:tcMar>
              <w:bottom w:w="0" w:type="dxa"/>
            </w:tcMar>
            <w:vAlign w:val="center"/>
          </w:tcPr>
          <w:p>
            <w:pPr>
              <w:pStyle w:val="TableContents"/>
              <w:bidi w:val="0"/>
              <w:spacing w:before="0" w:after="0"/>
              <w:jc w:val="left"/>
              <w:rPr/>
            </w:pPr>
            <w:r>
              <w:rPr/>
              <w:t> </w:t>
            </w:r>
          </w:p>
        </w:tc>
        <w:tc>
          <w:tcPr>
            <w:tcW w:w="243" w:type="dxa"/>
            <w:tcBorders/>
            <w:shd w:fill="FFFFFF" w:val="clear"/>
            <w:tcMar>
              <w:bottom w:w="0" w:type="dxa"/>
            </w:tcMar>
            <w:vAlign w:val="center"/>
          </w:tcPr>
          <w:p>
            <w:pPr>
              <w:pStyle w:val="TableContents"/>
              <w:bidi w:val="0"/>
              <w:spacing w:before="0" w:after="0"/>
              <w:jc w:val="left"/>
              <w:rPr/>
            </w:pPr>
            <w:r>
              <w:rPr/>
              <w:t> </w:t>
            </w:r>
          </w:p>
        </w:tc>
        <w:tc>
          <w:tcPr>
            <w:tcW w:w="197"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243"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w:t>
            </w:r>
          </w:p>
        </w:tc>
        <w:tc>
          <w:tcPr>
            <w:tcW w:w="197"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243"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197"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243"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197"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243"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212"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lineRule="atLeast" w:line="240" w:before="200" w:after="0"/>
        <w:ind w:left="0" w:right="0" w:firstLine="900"/>
        <w:jc w:val="left"/>
        <w:rPr>
          <w:sz w:val="20"/>
        </w:rPr>
      </w:pPr>
      <w:r>
        <w:rPr>
          <w:sz w:val="20"/>
        </w:rPr>
        <w:t>Most cancellations occur within the legal rescission period, which varies by state but is generally less than two weeks after the signing of the contract. Cancellations also occur because of a buyer’s failure to qualify for a mortgage, which generally occurs during the first few weeks after signing. Generally, when sales pace is increasing, the cancellation rate as a percentage of beginning backlog tends to lag the changes seen in our cancellation rate as a percentage of gross sales. Market conditions still remain uncertain and it is difficult to predict what cancellation rates will be in the future.</w:t>
      </w:r>
    </w:p>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pPr>
      <w:hyperlink w:anchor="TOC_TableofContent">
        <w:r>
          <w:rPr>
            <w:rStyle w:val="InternetLink"/>
            <w:strike w:val="false"/>
            <w:dstrike w:val="false"/>
            <w:color w:val="0000FF"/>
            <w:sz w:val="20"/>
            <w:u w:val="single"/>
            <w:effect w:val="none"/>
          </w:rPr>
          <w:t>Table of Contents</w:t>
        </w:r>
      </w:hyperlink>
    </w:p>
    <w:p>
      <w:pPr>
        <w:pStyle w:val="TextBody"/>
        <w:bidi w:val="0"/>
        <w:spacing w:lineRule="atLeast" w:line="240" w:before="200" w:after="0"/>
        <w:jc w:val="left"/>
        <w:rPr>
          <w:i/>
          <w:sz w:val="20"/>
        </w:rPr>
      </w:pPr>
      <w:r>
        <w:rPr>
          <w:i/>
          <w:sz w:val="20"/>
        </w:rPr>
        <w:t>Contract Backlog</w:t>
      </w:r>
    </w:p>
    <w:p>
      <w:pPr>
        <w:pStyle w:val="TextBody"/>
        <w:bidi w:val="0"/>
        <w:spacing w:lineRule="atLeast" w:line="240" w:before="200" w:after="200"/>
        <w:ind w:left="0" w:right="0" w:firstLine="900"/>
        <w:jc w:val="left"/>
        <w:rPr>
          <w:sz w:val="20"/>
        </w:rPr>
      </w:pPr>
      <w:r>
        <w:rPr>
          <w:sz w:val="20"/>
        </w:rPr>
        <w:t>Our consolidated sales contracts and homes in contract backlog, excluding unconsolidated joint ventures, is set forth below:</w:t>
      </w:r>
    </w:p>
    <w:tbl>
      <w:tblPr>
        <w:tblW w:w="7756" w:type="dxa"/>
        <w:jc w:val="left"/>
        <w:tblInd w:w="0" w:type="dxa"/>
        <w:tblLayout w:type="fixed"/>
        <w:tblCellMar>
          <w:top w:w="0" w:type="dxa"/>
          <w:left w:w="0" w:type="dxa"/>
          <w:bottom w:w="0" w:type="dxa"/>
          <w:right w:w="0" w:type="dxa"/>
        </w:tblCellMar>
      </w:tblPr>
      <w:tblGrid>
        <w:gridCol w:w="1880"/>
        <w:gridCol w:w="131"/>
        <w:gridCol w:w="732"/>
        <w:gridCol w:w="62"/>
        <w:gridCol w:w="131"/>
        <w:gridCol w:w="732"/>
        <w:gridCol w:w="60"/>
        <w:gridCol w:w="125"/>
        <w:gridCol w:w="845"/>
        <w:gridCol w:w="60"/>
        <w:gridCol w:w="125"/>
        <w:gridCol w:w="845"/>
        <w:gridCol w:w="60"/>
        <w:gridCol w:w="132"/>
        <w:gridCol w:w="892"/>
        <w:gridCol w:w="63"/>
        <w:gridCol w:w="132"/>
        <w:gridCol w:w="749"/>
      </w:tblGrid>
      <w:tr>
        <w:trPr/>
        <w:tc>
          <w:tcPr>
            <w:tcW w:w="1880" w:type="dxa"/>
            <w:tcBorders/>
            <w:vAlign w:val="center"/>
          </w:tcPr>
          <w:p>
            <w:pPr>
              <w:pStyle w:val="TableContents"/>
              <w:bidi w:val="0"/>
              <w:spacing w:before="0" w:after="0"/>
              <w:jc w:val="left"/>
              <w:rPr/>
            </w:pPr>
            <w:r>
              <w:rPr/>
              <w:t> </w:t>
            </w:r>
          </w:p>
        </w:tc>
        <w:tc>
          <w:tcPr>
            <w:tcW w:w="1788" w:type="dxa"/>
            <w:gridSpan w:val="5"/>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Net Contracts for the</w:t>
            </w:r>
          </w:p>
        </w:tc>
        <w:tc>
          <w:tcPr>
            <w:tcW w:w="60" w:type="dxa"/>
            <w:tcBorders/>
            <w:vAlign w:val="center"/>
          </w:tcPr>
          <w:p>
            <w:pPr>
              <w:pStyle w:val="TableContents"/>
              <w:bidi w:val="0"/>
              <w:spacing w:before="0" w:after="0"/>
              <w:jc w:val="left"/>
              <w:rPr/>
            </w:pPr>
            <w:r>
              <w:rPr/>
              <w:t> </w:t>
            </w:r>
          </w:p>
        </w:tc>
        <w:tc>
          <w:tcPr>
            <w:tcW w:w="2000" w:type="dxa"/>
            <w:gridSpan w:val="5"/>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Net Contracts for the</w:t>
            </w:r>
          </w:p>
        </w:tc>
        <w:tc>
          <w:tcPr>
            <w:tcW w:w="60" w:type="dxa"/>
            <w:tcBorders/>
            <w:vAlign w:val="center"/>
          </w:tcPr>
          <w:p>
            <w:pPr>
              <w:pStyle w:val="TableContents"/>
              <w:bidi w:val="0"/>
              <w:spacing w:before="0" w:after="0"/>
              <w:jc w:val="left"/>
              <w:rPr/>
            </w:pPr>
            <w:r>
              <w:rPr/>
              <w:t> </w:t>
            </w:r>
          </w:p>
        </w:tc>
        <w:tc>
          <w:tcPr>
            <w:tcW w:w="132"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0"/>
              <w:jc w:val="left"/>
              <w:rPr/>
            </w:pPr>
            <w:r>
              <w:rPr/>
              <w:t> </w:t>
            </w:r>
          </w:p>
        </w:tc>
        <w:tc>
          <w:tcPr>
            <w:tcW w:w="63" w:type="dxa"/>
            <w:tcBorders/>
            <w:vAlign w:val="center"/>
          </w:tcPr>
          <w:p>
            <w:pPr>
              <w:pStyle w:val="TableContents"/>
              <w:bidi w:val="0"/>
              <w:spacing w:before="0" w:after="0"/>
              <w:jc w:val="left"/>
              <w:rPr/>
            </w:pPr>
            <w:r>
              <w:rPr/>
              <w:t> </w:t>
            </w:r>
          </w:p>
        </w:tc>
        <w:tc>
          <w:tcPr>
            <w:tcW w:w="132" w:type="dxa"/>
            <w:tcBorders/>
            <w:vAlign w:val="center"/>
          </w:tcPr>
          <w:p>
            <w:pPr>
              <w:pStyle w:val="TableContents"/>
              <w:bidi w:val="0"/>
              <w:spacing w:before="0" w:after="0"/>
              <w:jc w:val="left"/>
              <w:rPr/>
            </w:pPr>
            <w:r>
              <w:rPr/>
              <w:t> </w:t>
            </w:r>
          </w:p>
        </w:tc>
        <w:tc>
          <w:tcPr>
            <w:tcW w:w="749" w:type="dxa"/>
            <w:tcBorders/>
            <w:vAlign w:val="center"/>
          </w:tcPr>
          <w:p>
            <w:pPr>
              <w:pStyle w:val="TableContents"/>
              <w:bidi w:val="0"/>
              <w:spacing w:before="0" w:after="0"/>
              <w:jc w:val="left"/>
              <w:rPr/>
            </w:pPr>
            <w:r>
              <w:rPr/>
              <w:t> </w:t>
            </w:r>
          </w:p>
        </w:tc>
      </w:tr>
      <w:tr>
        <w:trPr/>
        <w:tc>
          <w:tcPr>
            <w:tcW w:w="1880" w:type="dxa"/>
            <w:tcBorders/>
            <w:vAlign w:val="center"/>
          </w:tcPr>
          <w:p>
            <w:pPr>
              <w:pStyle w:val="TableContents"/>
              <w:bidi w:val="0"/>
              <w:spacing w:before="0" w:after="0"/>
              <w:jc w:val="left"/>
              <w:rPr/>
            </w:pPr>
            <w:r>
              <w:rPr/>
              <w:t> </w:t>
            </w:r>
          </w:p>
        </w:tc>
        <w:tc>
          <w:tcPr>
            <w:tcW w:w="1788" w:type="dxa"/>
            <w:gridSpan w:val="5"/>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60" w:type="dxa"/>
            <w:tcBorders/>
            <w:vAlign w:val="center"/>
          </w:tcPr>
          <w:p>
            <w:pPr>
              <w:pStyle w:val="TableContents"/>
              <w:bidi w:val="0"/>
              <w:spacing w:before="0" w:after="0"/>
              <w:jc w:val="left"/>
              <w:rPr/>
            </w:pPr>
            <w:r>
              <w:rPr/>
              <w:t> </w:t>
            </w:r>
          </w:p>
        </w:tc>
        <w:tc>
          <w:tcPr>
            <w:tcW w:w="2000" w:type="dxa"/>
            <w:gridSpan w:val="5"/>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Nine Months Ended</w:t>
            </w:r>
          </w:p>
        </w:tc>
        <w:tc>
          <w:tcPr>
            <w:tcW w:w="60" w:type="dxa"/>
            <w:tcBorders/>
            <w:vAlign w:val="center"/>
          </w:tcPr>
          <w:p>
            <w:pPr>
              <w:pStyle w:val="TableContents"/>
              <w:bidi w:val="0"/>
              <w:spacing w:before="0" w:after="0"/>
              <w:jc w:val="left"/>
              <w:rPr/>
            </w:pPr>
            <w:r>
              <w:rPr/>
              <w:t> </w:t>
            </w:r>
          </w:p>
        </w:tc>
        <w:tc>
          <w:tcPr>
            <w:tcW w:w="1968" w:type="dxa"/>
            <w:gridSpan w:val="5"/>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Contract Backlog as of</w:t>
            </w:r>
          </w:p>
        </w:tc>
      </w:tr>
      <w:tr>
        <w:trPr/>
        <w:tc>
          <w:tcPr>
            <w:tcW w:w="1880" w:type="dxa"/>
            <w:tcBorders>
              <w:bottom w:val="single" w:sz="8" w:space="0" w:color="000000"/>
            </w:tcBorders>
            <w:tcMar>
              <w:bottom w:w="28" w:type="dxa"/>
            </w:tcMar>
            <w:vAlign w:val="center"/>
          </w:tcPr>
          <w:p>
            <w:pPr>
              <w:pStyle w:val="TableContents"/>
              <w:bidi w:val="0"/>
              <w:spacing w:before="0" w:after="0"/>
              <w:jc w:val="left"/>
              <w:rPr/>
            </w:pPr>
            <w:r>
              <w:rPr/>
              <w:t> </w:t>
            </w:r>
          </w:p>
        </w:tc>
        <w:tc>
          <w:tcPr>
            <w:tcW w:w="1788" w:type="dxa"/>
            <w:gridSpan w:val="5"/>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July 31,</w:t>
            </w:r>
          </w:p>
        </w:tc>
        <w:tc>
          <w:tcPr>
            <w:tcW w:w="60" w:type="dxa"/>
            <w:tcBorders>
              <w:bottom w:val="single" w:sz="8" w:space="0" w:color="000000"/>
            </w:tcBorders>
            <w:tcMar>
              <w:bottom w:w="28" w:type="dxa"/>
            </w:tcMar>
            <w:vAlign w:val="center"/>
          </w:tcPr>
          <w:p>
            <w:pPr>
              <w:pStyle w:val="TableContents"/>
              <w:bidi w:val="0"/>
              <w:spacing w:before="0" w:after="0"/>
              <w:jc w:val="left"/>
              <w:rPr/>
            </w:pPr>
            <w:r>
              <w:rPr/>
              <w:t> </w:t>
            </w:r>
          </w:p>
        </w:tc>
        <w:tc>
          <w:tcPr>
            <w:tcW w:w="2000" w:type="dxa"/>
            <w:gridSpan w:val="5"/>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July 31,</w:t>
            </w:r>
          </w:p>
        </w:tc>
        <w:tc>
          <w:tcPr>
            <w:tcW w:w="60" w:type="dxa"/>
            <w:tcBorders>
              <w:bottom w:val="single" w:sz="8" w:space="0" w:color="000000"/>
            </w:tcBorders>
            <w:tcMar>
              <w:bottom w:w="28" w:type="dxa"/>
            </w:tcMar>
            <w:vAlign w:val="center"/>
          </w:tcPr>
          <w:p>
            <w:pPr>
              <w:pStyle w:val="TableContents"/>
              <w:bidi w:val="0"/>
              <w:spacing w:before="0" w:after="0"/>
              <w:jc w:val="left"/>
              <w:rPr/>
            </w:pPr>
            <w:r>
              <w:rPr/>
              <w:t> </w:t>
            </w:r>
          </w:p>
        </w:tc>
        <w:tc>
          <w:tcPr>
            <w:tcW w:w="1968" w:type="dxa"/>
            <w:gridSpan w:val="5"/>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July 31,</w:t>
            </w:r>
          </w:p>
        </w:tc>
      </w:tr>
      <w:tr>
        <w:trPr/>
        <w:tc>
          <w:tcPr>
            <w:tcW w:w="188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(Dollars in thousands)</w:t>
            </w:r>
          </w:p>
        </w:tc>
        <w:tc>
          <w:tcPr>
            <w:tcW w:w="863"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63"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70"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70"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24"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81"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r>
      <w:tr>
        <w:trPr/>
        <w:tc>
          <w:tcPr>
            <w:tcW w:w="188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Northeast:</w:t>
            </w:r>
          </w:p>
        </w:tc>
        <w:tc>
          <w:tcPr>
            <w:tcW w:w="131"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732"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2"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31"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732"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84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84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32"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892"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3"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32"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74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r>
      <w:tr>
        <w:trPr/>
        <w:tc>
          <w:tcPr>
            <w:tcW w:w="18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Dollars</w:t>
            </w:r>
          </w:p>
        </w:tc>
        <w:tc>
          <w:tcPr>
            <w:tcW w:w="131"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267,902</w:t>
            </w:r>
          </w:p>
        </w:tc>
        <w:tc>
          <w:tcPr>
            <w:tcW w:w="62" w:type="dxa"/>
            <w:tcBorders/>
            <w:shd w:fill="FFFFFF" w:val="clear"/>
            <w:vAlign w:val="center"/>
          </w:tcPr>
          <w:p>
            <w:pPr>
              <w:pStyle w:val="TableContents"/>
              <w:bidi w:val="0"/>
              <w:spacing w:before="0" w:after="0"/>
              <w:jc w:val="left"/>
              <w:rPr/>
            </w:pPr>
            <w:r>
              <w:rPr/>
              <w:t> </w:t>
            </w:r>
          </w:p>
        </w:tc>
        <w:tc>
          <w:tcPr>
            <w:tcW w:w="131"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226,020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793,811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739,452</w:t>
            </w:r>
          </w:p>
        </w:tc>
        <w:tc>
          <w:tcPr>
            <w:tcW w:w="60" w:type="dxa"/>
            <w:tcBorders/>
            <w:shd w:fill="FFFFFF" w:val="clear"/>
            <w:vAlign w:val="center"/>
          </w:tcPr>
          <w:p>
            <w:pPr>
              <w:pStyle w:val="TableContents"/>
              <w:bidi w:val="0"/>
              <w:spacing w:before="0" w:after="0"/>
              <w:jc w:val="left"/>
              <w:rPr/>
            </w:pPr>
            <w:r>
              <w:rPr/>
              <w:t> </w:t>
            </w:r>
          </w:p>
        </w:tc>
        <w:tc>
          <w:tcPr>
            <w:tcW w:w="13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486,756</w:t>
            </w:r>
          </w:p>
        </w:tc>
        <w:tc>
          <w:tcPr>
            <w:tcW w:w="63" w:type="dxa"/>
            <w:tcBorders/>
            <w:shd w:fill="FFFFFF" w:val="clear"/>
            <w:vAlign w:val="center"/>
          </w:tcPr>
          <w:p>
            <w:pPr>
              <w:pStyle w:val="TableContents"/>
              <w:bidi w:val="0"/>
              <w:spacing w:before="0" w:after="0"/>
              <w:jc w:val="left"/>
              <w:rPr/>
            </w:pPr>
            <w:r>
              <w:rPr/>
              <w:t> </w:t>
            </w:r>
          </w:p>
        </w:tc>
        <w:tc>
          <w:tcPr>
            <w:tcW w:w="13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444,862</w:t>
            </w:r>
          </w:p>
        </w:tc>
      </w:tr>
      <w:tr>
        <w:trPr/>
        <w:tc>
          <w:tcPr>
            <w:tcW w:w="18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Number of homes</w:t>
            </w:r>
          </w:p>
        </w:tc>
        <w:tc>
          <w:tcPr>
            <w:tcW w:w="131" w:type="dxa"/>
            <w:tcBorders/>
            <w:shd w:fill="CCEEFF" w:val="clear"/>
            <w:vAlign w:val="center"/>
          </w:tcPr>
          <w:p>
            <w:pPr>
              <w:pStyle w:val="TableContents"/>
              <w:bidi w:val="0"/>
              <w:spacing w:before="0" w:after="0"/>
              <w:jc w:val="left"/>
              <w:rPr/>
            </w:pPr>
            <w:r>
              <w:rPr/>
              <w:t> </w:t>
            </w:r>
          </w:p>
        </w:tc>
        <w:tc>
          <w:tcPr>
            <w:tcW w:w="73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468</w:t>
            </w:r>
          </w:p>
        </w:tc>
        <w:tc>
          <w:tcPr>
            <w:tcW w:w="62" w:type="dxa"/>
            <w:tcBorders/>
            <w:shd w:fill="CCEEFF" w:val="clear"/>
            <w:vAlign w:val="center"/>
          </w:tcPr>
          <w:p>
            <w:pPr>
              <w:pStyle w:val="TableContents"/>
              <w:bidi w:val="0"/>
              <w:spacing w:before="0" w:after="0"/>
              <w:jc w:val="left"/>
              <w:rPr/>
            </w:pPr>
            <w:r>
              <w:rPr/>
              <w:t> </w:t>
            </w:r>
          </w:p>
        </w:tc>
        <w:tc>
          <w:tcPr>
            <w:tcW w:w="131" w:type="dxa"/>
            <w:tcBorders/>
            <w:shd w:fill="CCEEFF" w:val="clear"/>
            <w:vAlign w:val="center"/>
          </w:tcPr>
          <w:p>
            <w:pPr>
              <w:pStyle w:val="TableContents"/>
              <w:bidi w:val="0"/>
              <w:spacing w:before="0" w:after="0"/>
              <w:jc w:val="left"/>
              <w:rPr/>
            </w:pPr>
            <w:r>
              <w:rPr/>
              <w:t> </w:t>
            </w:r>
          </w:p>
        </w:tc>
        <w:tc>
          <w:tcPr>
            <w:tcW w:w="73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416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1,419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1,353</w:t>
            </w:r>
          </w:p>
        </w:tc>
        <w:tc>
          <w:tcPr>
            <w:tcW w:w="60" w:type="dxa"/>
            <w:tcBorders/>
            <w:shd w:fill="CCEEFF" w:val="clear"/>
            <w:vAlign w:val="center"/>
          </w:tcPr>
          <w:p>
            <w:pPr>
              <w:pStyle w:val="TableContents"/>
              <w:bidi w:val="0"/>
              <w:spacing w:before="0" w:after="0"/>
              <w:jc w:val="left"/>
              <w:rPr/>
            </w:pPr>
            <w:r>
              <w:rPr/>
              <w:t> </w:t>
            </w:r>
          </w:p>
        </w:tc>
        <w:tc>
          <w:tcPr>
            <w:tcW w:w="132"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820</w:t>
            </w:r>
          </w:p>
        </w:tc>
        <w:tc>
          <w:tcPr>
            <w:tcW w:w="63" w:type="dxa"/>
            <w:tcBorders/>
            <w:shd w:fill="CCEEFF" w:val="clear"/>
            <w:vAlign w:val="center"/>
          </w:tcPr>
          <w:p>
            <w:pPr>
              <w:pStyle w:val="TableContents"/>
              <w:bidi w:val="0"/>
              <w:spacing w:before="0" w:after="0"/>
              <w:jc w:val="left"/>
              <w:rPr/>
            </w:pPr>
            <w:r>
              <w:rPr/>
              <w:t> </w:t>
            </w:r>
          </w:p>
        </w:tc>
        <w:tc>
          <w:tcPr>
            <w:tcW w:w="132" w:type="dxa"/>
            <w:tcBorders/>
            <w:shd w:fill="CCEEFF" w:val="clear"/>
            <w:vAlign w:val="center"/>
          </w:tcPr>
          <w:p>
            <w:pPr>
              <w:pStyle w:val="TableContents"/>
              <w:bidi w:val="0"/>
              <w:spacing w:before="0" w:after="0"/>
              <w:jc w:val="left"/>
              <w:rPr/>
            </w:pPr>
            <w:r>
              <w:rPr/>
              <w:t> </w:t>
            </w:r>
          </w:p>
        </w:tc>
        <w:tc>
          <w:tcPr>
            <w:tcW w:w="74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761</w:t>
            </w:r>
          </w:p>
        </w:tc>
      </w:tr>
      <w:tr>
        <w:trPr/>
        <w:tc>
          <w:tcPr>
            <w:tcW w:w="1880" w:type="dxa"/>
            <w:tcBorders/>
            <w:shd w:fill="FFFFFF" w:val="clear"/>
            <w:vAlign w:val="center"/>
          </w:tcPr>
          <w:p>
            <w:pPr>
              <w:pStyle w:val="TableContents"/>
              <w:bidi w:val="0"/>
              <w:spacing w:before="0" w:after="0"/>
              <w:jc w:val="left"/>
              <w:rPr/>
            </w:pPr>
            <w:r>
              <w:rPr/>
              <w:t> </w:t>
            </w:r>
          </w:p>
        </w:tc>
        <w:tc>
          <w:tcPr>
            <w:tcW w:w="131" w:type="dxa"/>
            <w:tcBorders/>
            <w:shd w:fill="FFFFFF" w:val="clear"/>
            <w:vAlign w:val="center"/>
          </w:tcPr>
          <w:p>
            <w:pPr>
              <w:pStyle w:val="TableContents"/>
              <w:bidi w:val="0"/>
              <w:spacing w:before="0" w:after="0"/>
              <w:jc w:val="left"/>
              <w:rPr/>
            </w:pPr>
            <w:r>
              <w:rPr/>
              <w:t> </w:t>
            </w:r>
          </w:p>
        </w:tc>
        <w:tc>
          <w:tcPr>
            <w:tcW w:w="732" w:type="dxa"/>
            <w:tcBorders/>
            <w:shd w:fill="FFFFFF" w:val="clear"/>
            <w:vAlign w:val="center"/>
          </w:tcPr>
          <w:p>
            <w:pPr>
              <w:pStyle w:val="TableContents"/>
              <w:bidi w:val="0"/>
              <w:spacing w:before="0" w:after="0"/>
              <w:jc w:val="right"/>
              <w:rPr/>
            </w:pPr>
            <w:r>
              <w:rPr/>
              <w:t> </w:t>
            </w:r>
          </w:p>
        </w:tc>
        <w:tc>
          <w:tcPr>
            <w:tcW w:w="62" w:type="dxa"/>
            <w:tcBorders/>
            <w:shd w:fill="FFFFFF" w:val="clear"/>
            <w:vAlign w:val="center"/>
          </w:tcPr>
          <w:p>
            <w:pPr>
              <w:pStyle w:val="TableContents"/>
              <w:bidi w:val="0"/>
              <w:spacing w:before="0" w:after="0"/>
              <w:jc w:val="left"/>
              <w:rPr/>
            </w:pPr>
            <w:r>
              <w:rPr/>
              <w:t> </w:t>
            </w:r>
          </w:p>
        </w:tc>
        <w:tc>
          <w:tcPr>
            <w:tcW w:w="131" w:type="dxa"/>
            <w:tcBorders/>
            <w:shd w:fill="FFFFFF" w:val="clear"/>
            <w:vAlign w:val="center"/>
          </w:tcPr>
          <w:p>
            <w:pPr>
              <w:pStyle w:val="TableContents"/>
              <w:bidi w:val="0"/>
              <w:spacing w:before="0" w:after="0"/>
              <w:jc w:val="left"/>
              <w:rPr/>
            </w:pPr>
            <w:r>
              <w:rPr/>
              <w:t> </w:t>
            </w:r>
          </w:p>
        </w:tc>
        <w:tc>
          <w:tcPr>
            <w:tcW w:w="732"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32" w:type="dxa"/>
            <w:tcBorders/>
            <w:shd w:fill="FFFFFF" w:val="clear"/>
            <w:vAlign w:val="center"/>
          </w:tcPr>
          <w:p>
            <w:pPr>
              <w:pStyle w:val="TableContents"/>
              <w:bidi w:val="0"/>
              <w:spacing w:before="0" w:after="0"/>
              <w:jc w:val="left"/>
              <w:rPr/>
            </w:pPr>
            <w:r>
              <w:rPr/>
              <w:t> </w:t>
            </w:r>
          </w:p>
        </w:tc>
        <w:tc>
          <w:tcPr>
            <w:tcW w:w="892" w:type="dxa"/>
            <w:tcBorders/>
            <w:shd w:fill="FFFFFF" w:val="clear"/>
            <w:vAlign w:val="center"/>
          </w:tcPr>
          <w:p>
            <w:pPr>
              <w:pStyle w:val="TableContents"/>
              <w:bidi w:val="0"/>
              <w:spacing w:before="0" w:after="0"/>
              <w:jc w:val="right"/>
              <w:rPr/>
            </w:pPr>
            <w:r>
              <w:rPr/>
              <w:t> </w:t>
            </w:r>
          </w:p>
        </w:tc>
        <w:tc>
          <w:tcPr>
            <w:tcW w:w="63" w:type="dxa"/>
            <w:tcBorders/>
            <w:shd w:fill="FFFFFF" w:val="clear"/>
            <w:vAlign w:val="center"/>
          </w:tcPr>
          <w:p>
            <w:pPr>
              <w:pStyle w:val="TableContents"/>
              <w:bidi w:val="0"/>
              <w:spacing w:before="0" w:after="0"/>
              <w:jc w:val="left"/>
              <w:rPr/>
            </w:pPr>
            <w:r>
              <w:rPr/>
              <w:t> </w:t>
            </w:r>
          </w:p>
        </w:tc>
        <w:tc>
          <w:tcPr>
            <w:tcW w:w="132" w:type="dxa"/>
            <w:tcBorders/>
            <w:shd w:fill="FFFFFF" w:val="clear"/>
            <w:vAlign w:val="center"/>
          </w:tcPr>
          <w:p>
            <w:pPr>
              <w:pStyle w:val="TableContents"/>
              <w:bidi w:val="0"/>
              <w:spacing w:before="0" w:after="0"/>
              <w:jc w:val="left"/>
              <w:rPr/>
            </w:pPr>
            <w:r>
              <w:rPr/>
              <w:t> </w:t>
            </w:r>
          </w:p>
        </w:tc>
        <w:tc>
          <w:tcPr>
            <w:tcW w:w="749" w:type="dxa"/>
            <w:tcBorders/>
            <w:shd w:fill="FFFFFF" w:val="clear"/>
            <w:vAlign w:val="center"/>
          </w:tcPr>
          <w:p>
            <w:pPr>
              <w:pStyle w:val="TableContents"/>
              <w:bidi w:val="0"/>
              <w:spacing w:before="0" w:after="0"/>
              <w:jc w:val="right"/>
              <w:rPr/>
            </w:pPr>
            <w:r>
              <w:rPr/>
              <w:t> </w:t>
            </w:r>
          </w:p>
        </w:tc>
      </w:tr>
      <w:tr>
        <w:trPr/>
        <w:tc>
          <w:tcPr>
            <w:tcW w:w="18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Southeast:</w:t>
            </w:r>
          </w:p>
        </w:tc>
        <w:tc>
          <w:tcPr>
            <w:tcW w:w="131" w:type="dxa"/>
            <w:tcBorders/>
            <w:shd w:fill="CCEEFF" w:val="clear"/>
            <w:vAlign w:val="center"/>
          </w:tcPr>
          <w:p>
            <w:pPr>
              <w:pStyle w:val="TableContents"/>
              <w:bidi w:val="0"/>
              <w:spacing w:before="0" w:after="0"/>
              <w:jc w:val="left"/>
              <w:rPr/>
            </w:pPr>
            <w:r>
              <w:rPr/>
              <w:t> </w:t>
            </w:r>
          </w:p>
        </w:tc>
        <w:tc>
          <w:tcPr>
            <w:tcW w:w="732" w:type="dxa"/>
            <w:tcBorders/>
            <w:shd w:fill="CCEEFF" w:val="clear"/>
            <w:vAlign w:val="center"/>
          </w:tcPr>
          <w:p>
            <w:pPr>
              <w:pStyle w:val="TableContents"/>
              <w:bidi w:val="0"/>
              <w:spacing w:before="0" w:after="0"/>
              <w:jc w:val="right"/>
              <w:rPr/>
            </w:pPr>
            <w:r>
              <w:rPr/>
              <w:t> </w:t>
            </w:r>
          </w:p>
        </w:tc>
        <w:tc>
          <w:tcPr>
            <w:tcW w:w="62" w:type="dxa"/>
            <w:tcBorders/>
            <w:shd w:fill="CCEEFF" w:val="clear"/>
            <w:vAlign w:val="center"/>
          </w:tcPr>
          <w:p>
            <w:pPr>
              <w:pStyle w:val="TableContents"/>
              <w:bidi w:val="0"/>
              <w:spacing w:before="0" w:after="0"/>
              <w:jc w:val="left"/>
              <w:rPr/>
            </w:pPr>
            <w:r>
              <w:rPr/>
              <w:t> </w:t>
            </w:r>
          </w:p>
        </w:tc>
        <w:tc>
          <w:tcPr>
            <w:tcW w:w="131" w:type="dxa"/>
            <w:tcBorders/>
            <w:shd w:fill="CCEEFF" w:val="clear"/>
            <w:vAlign w:val="center"/>
          </w:tcPr>
          <w:p>
            <w:pPr>
              <w:pStyle w:val="TableContents"/>
              <w:bidi w:val="0"/>
              <w:spacing w:before="0" w:after="0"/>
              <w:jc w:val="left"/>
              <w:rPr/>
            </w:pPr>
            <w:r>
              <w:rPr/>
              <w:t> </w:t>
            </w:r>
          </w:p>
        </w:tc>
        <w:tc>
          <w:tcPr>
            <w:tcW w:w="732"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32"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0"/>
              <w:jc w:val="right"/>
              <w:rPr/>
            </w:pPr>
            <w:r>
              <w:rPr/>
              <w:t> </w:t>
            </w:r>
          </w:p>
        </w:tc>
        <w:tc>
          <w:tcPr>
            <w:tcW w:w="63" w:type="dxa"/>
            <w:tcBorders/>
            <w:shd w:fill="CCEEFF" w:val="clear"/>
            <w:vAlign w:val="center"/>
          </w:tcPr>
          <w:p>
            <w:pPr>
              <w:pStyle w:val="TableContents"/>
              <w:bidi w:val="0"/>
              <w:spacing w:before="0" w:after="0"/>
              <w:jc w:val="left"/>
              <w:rPr/>
            </w:pPr>
            <w:r>
              <w:rPr/>
              <w:t> </w:t>
            </w:r>
          </w:p>
        </w:tc>
        <w:tc>
          <w:tcPr>
            <w:tcW w:w="132" w:type="dxa"/>
            <w:tcBorders/>
            <w:shd w:fill="CCEEFF" w:val="clear"/>
            <w:vAlign w:val="center"/>
          </w:tcPr>
          <w:p>
            <w:pPr>
              <w:pStyle w:val="TableContents"/>
              <w:bidi w:val="0"/>
              <w:spacing w:before="0" w:after="0"/>
              <w:jc w:val="left"/>
              <w:rPr/>
            </w:pPr>
            <w:r>
              <w:rPr/>
              <w:t> </w:t>
            </w:r>
          </w:p>
        </w:tc>
        <w:tc>
          <w:tcPr>
            <w:tcW w:w="749" w:type="dxa"/>
            <w:tcBorders/>
            <w:shd w:fill="CCEEFF" w:val="clear"/>
            <w:vAlign w:val="center"/>
          </w:tcPr>
          <w:p>
            <w:pPr>
              <w:pStyle w:val="TableContents"/>
              <w:bidi w:val="0"/>
              <w:spacing w:before="0" w:after="0"/>
              <w:jc w:val="right"/>
              <w:rPr/>
            </w:pPr>
            <w:r>
              <w:rPr/>
              <w:t> </w:t>
            </w:r>
          </w:p>
        </w:tc>
      </w:tr>
      <w:tr>
        <w:trPr/>
        <w:tc>
          <w:tcPr>
            <w:tcW w:w="18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Dollars</w:t>
            </w:r>
          </w:p>
        </w:tc>
        <w:tc>
          <w:tcPr>
            <w:tcW w:w="131"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82,767</w:t>
            </w:r>
          </w:p>
        </w:tc>
        <w:tc>
          <w:tcPr>
            <w:tcW w:w="62" w:type="dxa"/>
            <w:tcBorders/>
            <w:shd w:fill="FFFFFF" w:val="clear"/>
            <w:vAlign w:val="center"/>
          </w:tcPr>
          <w:p>
            <w:pPr>
              <w:pStyle w:val="TableContents"/>
              <w:bidi w:val="0"/>
              <w:spacing w:before="0" w:after="0"/>
              <w:jc w:val="left"/>
              <w:rPr/>
            </w:pPr>
            <w:r>
              <w:rPr/>
              <w:t> </w:t>
            </w:r>
          </w:p>
        </w:tc>
        <w:tc>
          <w:tcPr>
            <w:tcW w:w="131"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79,267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255,440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239,237</w:t>
            </w:r>
          </w:p>
        </w:tc>
        <w:tc>
          <w:tcPr>
            <w:tcW w:w="60" w:type="dxa"/>
            <w:tcBorders/>
            <w:shd w:fill="FFFFFF" w:val="clear"/>
            <w:vAlign w:val="center"/>
          </w:tcPr>
          <w:p>
            <w:pPr>
              <w:pStyle w:val="TableContents"/>
              <w:bidi w:val="0"/>
              <w:spacing w:before="0" w:after="0"/>
              <w:jc w:val="left"/>
              <w:rPr/>
            </w:pPr>
            <w:r>
              <w:rPr/>
              <w:t> </w:t>
            </w:r>
          </w:p>
        </w:tc>
        <w:tc>
          <w:tcPr>
            <w:tcW w:w="13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109,688</w:t>
            </w:r>
          </w:p>
        </w:tc>
        <w:tc>
          <w:tcPr>
            <w:tcW w:w="63" w:type="dxa"/>
            <w:tcBorders/>
            <w:shd w:fill="FFFFFF" w:val="clear"/>
            <w:vAlign w:val="center"/>
          </w:tcPr>
          <w:p>
            <w:pPr>
              <w:pStyle w:val="TableContents"/>
              <w:bidi w:val="0"/>
              <w:spacing w:before="0" w:after="0"/>
              <w:jc w:val="left"/>
              <w:rPr/>
            </w:pPr>
            <w:r>
              <w:rPr/>
              <w:t> </w:t>
            </w:r>
          </w:p>
        </w:tc>
        <w:tc>
          <w:tcPr>
            <w:tcW w:w="13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130,678</w:t>
            </w:r>
          </w:p>
        </w:tc>
      </w:tr>
      <w:tr>
        <w:trPr/>
        <w:tc>
          <w:tcPr>
            <w:tcW w:w="18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Number of homes</w:t>
            </w:r>
          </w:p>
        </w:tc>
        <w:tc>
          <w:tcPr>
            <w:tcW w:w="131" w:type="dxa"/>
            <w:tcBorders/>
            <w:shd w:fill="CCEEFF" w:val="clear"/>
            <w:vAlign w:val="center"/>
          </w:tcPr>
          <w:p>
            <w:pPr>
              <w:pStyle w:val="TableContents"/>
              <w:bidi w:val="0"/>
              <w:spacing w:before="0" w:after="0"/>
              <w:jc w:val="left"/>
              <w:rPr/>
            </w:pPr>
            <w:r>
              <w:rPr/>
              <w:t> </w:t>
            </w:r>
          </w:p>
        </w:tc>
        <w:tc>
          <w:tcPr>
            <w:tcW w:w="73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177</w:t>
            </w:r>
          </w:p>
        </w:tc>
        <w:tc>
          <w:tcPr>
            <w:tcW w:w="62" w:type="dxa"/>
            <w:tcBorders/>
            <w:shd w:fill="CCEEFF" w:val="clear"/>
            <w:vAlign w:val="center"/>
          </w:tcPr>
          <w:p>
            <w:pPr>
              <w:pStyle w:val="TableContents"/>
              <w:bidi w:val="0"/>
              <w:spacing w:before="0" w:after="0"/>
              <w:jc w:val="left"/>
              <w:rPr/>
            </w:pPr>
            <w:r>
              <w:rPr/>
              <w:t> </w:t>
            </w:r>
          </w:p>
        </w:tc>
        <w:tc>
          <w:tcPr>
            <w:tcW w:w="131" w:type="dxa"/>
            <w:tcBorders/>
            <w:shd w:fill="CCEEFF" w:val="clear"/>
            <w:vAlign w:val="center"/>
          </w:tcPr>
          <w:p>
            <w:pPr>
              <w:pStyle w:val="TableContents"/>
              <w:bidi w:val="0"/>
              <w:spacing w:before="0" w:after="0"/>
              <w:jc w:val="left"/>
              <w:rPr/>
            </w:pPr>
            <w:r>
              <w:rPr/>
              <w:t> </w:t>
            </w:r>
          </w:p>
        </w:tc>
        <w:tc>
          <w:tcPr>
            <w:tcW w:w="73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157</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525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461</w:t>
            </w:r>
          </w:p>
        </w:tc>
        <w:tc>
          <w:tcPr>
            <w:tcW w:w="60" w:type="dxa"/>
            <w:tcBorders/>
            <w:shd w:fill="CCEEFF" w:val="clear"/>
            <w:vAlign w:val="center"/>
          </w:tcPr>
          <w:p>
            <w:pPr>
              <w:pStyle w:val="TableContents"/>
              <w:bidi w:val="0"/>
              <w:spacing w:before="0" w:after="0"/>
              <w:jc w:val="left"/>
              <w:rPr/>
            </w:pPr>
            <w:r>
              <w:rPr/>
              <w:t> </w:t>
            </w:r>
          </w:p>
        </w:tc>
        <w:tc>
          <w:tcPr>
            <w:tcW w:w="132"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211</w:t>
            </w:r>
          </w:p>
        </w:tc>
        <w:tc>
          <w:tcPr>
            <w:tcW w:w="63" w:type="dxa"/>
            <w:tcBorders/>
            <w:shd w:fill="CCEEFF" w:val="clear"/>
            <w:vAlign w:val="center"/>
          </w:tcPr>
          <w:p>
            <w:pPr>
              <w:pStyle w:val="TableContents"/>
              <w:bidi w:val="0"/>
              <w:spacing w:before="0" w:after="0"/>
              <w:jc w:val="left"/>
              <w:rPr/>
            </w:pPr>
            <w:r>
              <w:rPr/>
              <w:t> </w:t>
            </w:r>
          </w:p>
        </w:tc>
        <w:tc>
          <w:tcPr>
            <w:tcW w:w="132" w:type="dxa"/>
            <w:tcBorders/>
            <w:shd w:fill="CCEEFF" w:val="clear"/>
            <w:vAlign w:val="center"/>
          </w:tcPr>
          <w:p>
            <w:pPr>
              <w:pStyle w:val="TableContents"/>
              <w:bidi w:val="0"/>
              <w:spacing w:before="0" w:after="0"/>
              <w:jc w:val="left"/>
              <w:rPr/>
            </w:pPr>
            <w:r>
              <w:rPr/>
              <w:t> </w:t>
            </w:r>
          </w:p>
        </w:tc>
        <w:tc>
          <w:tcPr>
            <w:tcW w:w="74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228</w:t>
            </w:r>
          </w:p>
        </w:tc>
      </w:tr>
      <w:tr>
        <w:trPr/>
        <w:tc>
          <w:tcPr>
            <w:tcW w:w="1880" w:type="dxa"/>
            <w:tcBorders/>
            <w:shd w:fill="FFFFFF" w:val="clear"/>
            <w:vAlign w:val="center"/>
          </w:tcPr>
          <w:p>
            <w:pPr>
              <w:pStyle w:val="TableContents"/>
              <w:bidi w:val="0"/>
              <w:spacing w:before="0" w:after="0"/>
              <w:jc w:val="left"/>
              <w:rPr/>
            </w:pPr>
            <w:r>
              <w:rPr/>
              <w:t> </w:t>
            </w:r>
          </w:p>
        </w:tc>
        <w:tc>
          <w:tcPr>
            <w:tcW w:w="131" w:type="dxa"/>
            <w:tcBorders/>
            <w:shd w:fill="FFFFFF" w:val="clear"/>
            <w:vAlign w:val="center"/>
          </w:tcPr>
          <w:p>
            <w:pPr>
              <w:pStyle w:val="TableContents"/>
              <w:bidi w:val="0"/>
              <w:spacing w:before="0" w:after="0"/>
              <w:jc w:val="left"/>
              <w:rPr/>
            </w:pPr>
            <w:r>
              <w:rPr/>
              <w:t> </w:t>
            </w:r>
          </w:p>
        </w:tc>
        <w:tc>
          <w:tcPr>
            <w:tcW w:w="732" w:type="dxa"/>
            <w:tcBorders/>
            <w:shd w:fill="FFFFFF" w:val="clear"/>
            <w:vAlign w:val="center"/>
          </w:tcPr>
          <w:p>
            <w:pPr>
              <w:pStyle w:val="TableContents"/>
              <w:bidi w:val="0"/>
              <w:spacing w:before="0" w:after="0"/>
              <w:jc w:val="right"/>
              <w:rPr/>
            </w:pPr>
            <w:r>
              <w:rPr/>
              <w:t> </w:t>
            </w:r>
          </w:p>
        </w:tc>
        <w:tc>
          <w:tcPr>
            <w:tcW w:w="62" w:type="dxa"/>
            <w:tcBorders/>
            <w:shd w:fill="FFFFFF" w:val="clear"/>
            <w:vAlign w:val="center"/>
          </w:tcPr>
          <w:p>
            <w:pPr>
              <w:pStyle w:val="TableContents"/>
              <w:bidi w:val="0"/>
              <w:spacing w:before="0" w:after="0"/>
              <w:jc w:val="left"/>
              <w:rPr/>
            </w:pPr>
            <w:r>
              <w:rPr/>
              <w:t> </w:t>
            </w:r>
          </w:p>
        </w:tc>
        <w:tc>
          <w:tcPr>
            <w:tcW w:w="131" w:type="dxa"/>
            <w:tcBorders/>
            <w:shd w:fill="FFFFFF" w:val="clear"/>
            <w:vAlign w:val="center"/>
          </w:tcPr>
          <w:p>
            <w:pPr>
              <w:pStyle w:val="TableContents"/>
              <w:bidi w:val="0"/>
              <w:spacing w:before="0" w:after="0"/>
              <w:jc w:val="left"/>
              <w:rPr/>
            </w:pPr>
            <w:r>
              <w:rPr/>
              <w:t> </w:t>
            </w:r>
          </w:p>
        </w:tc>
        <w:tc>
          <w:tcPr>
            <w:tcW w:w="732"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32" w:type="dxa"/>
            <w:tcBorders/>
            <w:shd w:fill="FFFFFF" w:val="clear"/>
            <w:vAlign w:val="center"/>
          </w:tcPr>
          <w:p>
            <w:pPr>
              <w:pStyle w:val="TableContents"/>
              <w:bidi w:val="0"/>
              <w:spacing w:before="0" w:after="0"/>
              <w:jc w:val="left"/>
              <w:rPr/>
            </w:pPr>
            <w:r>
              <w:rPr/>
              <w:t> </w:t>
            </w:r>
          </w:p>
        </w:tc>
        <w:tc>
          <w:tcPr>
            <w:tcW w:w="892" w:type="dxa"/>
            <w:tcBorders/>
            <w:shd w:fill="FFFFFF" w:val="clear"/>
            <w:vAlign w:val="center"/>
          </w:tcPr>
          <w:p>
            <w:pPr>
              <w:pStyle w:val="TableContents"/>
              <w:bidi w:val="0"/>
              <w:spacing w:before="0" w:after="0"/>
              <w:jc w:val="right"/>
              <w:rPr/>
            </w:pPr>
            <w:r>
              <w:rPr/>
              <w:t> </w:t>
            </w:r>
          </w:p>
        </w:tc>
        <w:tc>
          <w:tcPr>
            <w:tcW w:w="63" w:type="dxa"/>
            <w:tcBorders/>
            <w:shd w:fill="FFFFFF" w:val="clear"/>
            <w:vAlign w:val="center"/>
          </w:tcPr>
          <w:p>
            <w:pPr>
              <w:pStyle w:val="TableContents"/>
              <w:bidi w:val="0"/>
              <w:spacing w:before="0" w:after="0"/>
              <w:jc w:val="left"/>
              <w:rPr/>
            </w:pPr>
            <w:r>
              <w:rPr/>
              <w:t> </w:t>
            </w:r>
          </w:p>
        </w:tc>
        <w:tc>
          <w:tcPr>
            <w:tcW w:w="132" w:type="dxa"/>
            <w:tcBorders/>
            <w:shd w:fill="FFFFFF" w:val="clear"/>
            <w:vAlign w:val="center"/>
          </w:tcPr>
          <w:p>
            <w:pPr>
              <w:pStyle w:val="TableContents"/>
              <w:bidi w:val="0"/>
              <w:spacing w:before="0" w:after="0"/>
              <w:jc w:val="left"/>
              <w:rPr/>
            </w:pPr>
            <w:r>
              <w:rPr/>
              <w:t> </w:t>
            </w:r>
          </w:p>
        </w:tc>
        <w:tc>
          <w:tcPr>
            <w:tcW w:w="749" w:type="dxa"/>
            <w:tcBorders/>
            <w:shd w:fill="FFFFFF" w:val="clear"/>
            <w:vAlign w:val="center"/>
          </w:tcPr>
          <w:p>
            <w:pPr>
              <w:pStyle w:val="TableContents"/>
              <w:bidi w:val="0"/>
              <w:spacing w:before="0" w:after="0"/>
              <w:jc w:val="right"/>
              <w:rPr/>
            </w:pPr>
            <w:r>
              <w:rPr/>
              <w:t> </w:t>
            </w:r>
          </w:p>
        </w:tc>
      </w:tr>
      <w:tr>
        <w:trPr/>
        <w:tc>
          <w:tcPr>
            <w:tcW w:w="18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West (1):</w:t>
            </w:r>
          </w:p>
        </w:tc>
        <w:tc>
          <w:tcPr>
            <w:tcW w:w="131" w:type="dxa"/>
            <w:tcBorders/>
            <w:shd w:fill="CCEEFF" w:val="clear"/>
            <w:vAlign w:val="center"/>
          </w:tcPr>
          <w:p>
            <w:pPr>
              <w:pStyle w:val="TableContents"/>
              <w:bidi w:val="0"/>
              <w:spacing w:before="0" w:after="0"/>
              <w:jc w:val="left"/>
              <w:rPr/>
            </w:pPr>
            <w:r>
              <w:rPr/>
              <w:t> </w:t>
            </w:r>
          </w:p>
        </w:tc>
        <w:tc>
          <w:tcPr>
            <w:tcW w:w="732" w:type="dxa"/>
            <w:tcBorders/>
            <w:shd w:fill="CCEEFF" w:val="clear"/>
            <w:vAlign w:val="center"/>
          </w:tcPr>
          <w:p>
            <w:pPr>
              <w:pStyle w:val="TableContents"/>
              <w:bidi w:val="0"/>
              <w:spacing w:before="0" w:after="0"/>
              <w:jc w:val="right"/>
              <w:rPr/>
            </w:pPr>
            <w:r>
              <w:rPr/>
              <w:t> </w:t>
            </w:r>
          </w:p>
        </w:tc>
        <w:tc>
          <w:tcPr>
            <w:tcW w:w="62" w:type="dxa"/>
            <w:tcBorders/>
            <w:shd w:fill="CCEEFF" w:val="clear"/>
            <w:vAlign w:val="center"/>
          </w:tcPr>
          <w:p>
            <w:pPr>
              <w:pStyle w:val="TableContents"/>
              <w:bidi w:val="0"/>
              <w:spacing w:before="0" w:after="0"/>
              <w:jc w:val="left"/>
              <w:rPr/>
            </w:pPr>
            <w:r>
              <w:rPr/>
              <w:t> </w:t>
            </w:r>
          </w:p>
        </w:tc>
        <w:tc>
          <w:tcPr>
            <w:tcW w:w="131" w:type="dxa"/>
            <w:tcBorders/>
            <w:shd w:fill="CCEEFF" w:val="clear"/>
            <w:vAlign w:val="center"/>
          </w:tcPr>
          <w:p>
            <w:pPr>
              <w:pStyle w:val="TableContents"/>
              <w:bidi w:val="0"/>
              <w:spacing w:before="0" w:after="0"/>
              <w:jc w:val="left"/>
              <w:rPr/>
            </w:pPr>
            <w:r>
              <w:rPr/>
              <w:t> </w:t>
            </w:r>
          </w:p>
        </w:tc>
        <w:tc>
          <w:tcPr>
            <w:tcW w:w="732"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32"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0"/>
              <w:jc w:val="right"/>
              <w:rPr/>
            </w:pPr>
            <w:r>
              <w:rPr/>
              <w:t> </w:t>
            </w:r>
          </w:p>
        </w:tc>
        <w:tc>
          <w:tcPr>
            <w:tcW w:w="63" w:type="dxa"/>
            <w:tcBorders/>
            <w:shd w:fill="CCEEFF" w:val="clear"/>
            <w:vAlign w:val="center"/>
          </w:tcPr>
          <w:p>
            <w:pPr>
              <w:pStyle w:val="TableContents"/>
              <w:bidi w:val="0"/>
              <w:spacing w:before="0" w:after="0"/>
              <w:jc w:val="left"/>
              <w:rPr/>
            </w:pPr>
            <w:r>
              <w:rPr/>
              <w:t> </w:t>
            </w:r>
          </w:p>
        </w:tc>
        <w:tc>
          <w:tcPr>
            <w:tcW w:w="132" w:type="dxa"/>
            <w:tcBorders/>
            <w:shd w:fill="CCEEFF" w:val="clear"/>
            <w:vAlign w:val="center"/>
          </w:tcPr>
          <w:p>
            <w:pPr>
              <w:pStyle w:val="TableContents"/>
              <w:bidi w:val="0"/>
              <w:spacing w:before="0" w:after="0"/>
              <w:jc w:val="left"/>
              <w:rPr/>
            </w:pPr>
            <w:r>
              <w:rPr/>
              <w:t> </w:t>
            </w:r>
          </w:p>
        </w:tc>
        <w:tc>
          <w:tcPr>
            <w:tcW w:w="749" w:type="dxa"/>
            <w:tcBorders/>
            <w:shd w:fill="CCEEFF" w:val="clear"/>
            <w:vAlign w:val="center"/>
          </w:tcPr>
          <w:p>
            <w:pPr>
              <w:pStyle w:val="TableContents"/>
              <w:bidi w:val="0"/>
              <w:spacing w:before="0" w:after="0"/>
              <w:jc w:val="right"/>
              <w:rPr/>
            </w:pPr>
            <w:r>
              <w:rPr/>
              <w:t> </w:t>
            </w:r>
          </w:p>
        </w:tc>
      </w:tr>
      <w:tr>
        <w:trPr/>
        <w:tc>
          <w:tcPr>
            <w:tcW w:w="18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Dollars</w:t>
            </w:r>
          </w:p>
        </w:tc>
        <w:tc>
          <w:tcPr>
            <w:tcW w:w="131"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271,884</w:t>
            </w:r>
          </w:p>
        </w:tc>
        <w:tc>
          <w:tcPr>
            <w:tcW w:w="62" w:type="dxa"/>
            <w:tcBorders/>
            <w:shd w:fill="FFFFFF" w:val="clear"/>
            <w:vAlign w:val="center"/>
          </w:tcPr>
          <w:p>
            <w:pPr>
              <w:pStyle w:val="TableContents"/>
              <w:bidi w:val="0"/>
              <w:spacing w:before="0" w:after="0"/>
              <w:jc w:val="left"/>
              <w:rPr/>
            </w:pPr>
            <w:r>
              <w:rPr/>
              <w:t> </w:t>
            </w:r>
          </w:p>
        </w:tc>
        <w:tc>
          <w:tcPr>
            <w:tcW w:w="131"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314,349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998,065</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990,833</w:t>
            </w:r>
          </w:p>
        </w:tc>
        <w:tc>
          <w:tcPr>
            <w:tcW w:w="60" w:type="dxa"/>
            <w:tcBorders/>
            <w:shd w:fill="FFFFFF" w:val="clear"/>
            <w:vAlign w:val="center"/>
          </w:tcPr>
          <w:p>
            <w:pPr>
              <w:pStyle w:val="TableContents"/>
              <w:bidi w:val="0"/>
              <w:spacing w:before="0" w:after="0"/>
              <w:jc w:val="left"/>
              <w:rPr/>
            </w:pPr>
            <w:r>
              <w:rPr/>
              <w:t> </w:t>
            </w:r>
          </w:p>
        </w:tc>
        <w:tc>
          <w:tcPr>
            <w:tcW w:w="13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285,462</w:t>
            </w:r>
          </w:p>
        </w:tc>
        <w:tc>
          <w:tcPr>
            <w:tcW w:w="63" w:type="dxa"/>
            <w:tcBorders/>
            <w:shd w:fill="FFFFFF" w:val="clear"/>
            <w:vAlign w:val="center"/>
          </w:tcPr>
          <w:p>
            <w:pPr>
              <w:pStyle w:val="TableContents"/>
              <w:bidi w:val="0"/>
              <w:spacing w:before="0" w:after="0"/>
              <w:jc w:val="left"/>
              <w:rPr/>
            </w:pPr>
            <w:r>
              <w:rPr/>
              <w:t> </w:t>
            </w:r>
          </w:p>
        </w:tc>
        <w:tc>
          <w:tcPr>
            <w:tcW w:w="13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263,272</w:t>
            </w:r>
          </w:p>
        </w:tc>
      </w:tr>
      <w:tr>
        <w:trPr/>
        <w:tc>
          <w:tcPr>
            <w:tcW w:w="18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Number of homes</w:t>
            </w:r>
          </w:p>
        </w:tc>
        <w:tc>
          <w:tcPr>
            <w:tcW w:w="131" w:type="dxa"/>
            <w:tcBorders/>
            <w:shd w:fill="CCEEFF" w:val="clear"/>
            <w:vAlign w:val="center"/>
          </w:tcPr>
          <w:p>
            <w:pPr>
              <w:pStyle w:val="TableContents"/>
              <w:bidi w:val="0"/>
              <w:spacing w:before="0" w:after="0"/>
              <w:jc w:val="left"/>
              <w:rPr/>
            </w:pPr>
            <w:r>
              <w:rPr/>
              <w:t> </w:t>
            </w:r>
          </w:p>
        </w:tc>
        <w:tc>
          <w:tcPr>
            <w:tcW w:w="73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510</w:t>
            </w:r>
          </w:p>
        </w:tc>
        <w:tc>
          <w:tcPr>
            <w:tcW w:w="62" w:type="dxa"/>
            <w:tcBorders/>
            <w:shd w:fill="CCEEFF" w:val="clear"/>
            <w:vAlign w:val="center"/>
          </w:tcPr>
          <w:p>
            <w:pPr>
              <w:pStyle w:val="TableContents"/>
              <w:bidi w:val="0"/>
              <w:spacing w:before="0" w:after="0"/>
              <w:jc w:val="left"/>
              <w:rPr/>
            </w:pPr>
            <w:r>
              <w:rPr/>
              <w:t> </w:t>
            </w:r>
          </w:p>
        </w:tc>
        <w:tc>
          <w:tcPr>
            <w:tcW w:w="131" w:type="dxa"/>
            <w:tcBorders/>
            <w:shd w:fill="CCEEFF" w:val="clear"/>
            <w:vAlign w:val="center"/>
          </w:tcPr>
          <w:p>
            <w:pPr>
              <w:pStyle w:val="TableContents"/>
              <w:bidi w:val="0"/>
              <w:spacing w:before="0" w:after="0"/>
              <w:jc w:val="left"/>
              <w:rPr/>
            </w:pPr>
            <w:r>
              <w:rPr/>
              <w:t> </w:t>
            </w:r>
          </w:p>
        </w:tc>
        <w:tc>
          <w:tcPr>
            <w:tcW w:w="73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638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1,865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2,000</w:t>
            </w:r>
          </w:p>
        </w:tc>
        <w:tc>
          <w:tcPr>
            <w:tcW w:w="60" w:type="dxa"/>
            <w:tcBorders/>
            <w:shd w:fill="CCEEFF" w:val="clear"/>
            <w:vAlign w:val="center"/>
          </w:tcPr>
          <w:p>
            <w:pPr>
              <w:pStyle w:val="TableContents"/>
              <w:bidi w:val="0"/>
              <w:spacing w:before="0" w:after="0"/>
              <w:jc w:val="left"/>
              <w:rPr/>
            </w:pPr>
            <w:r>
              <w:rPr/>
              <w:t> </w:t>
            </w:r>
          </w:p>
        </w:tc>
        <w:tc>
          <w:tcPr>
            <w:tcW w:w="132"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478</w:t>
            </w:r>
          </w:p>
        </w:tc>
        <w:tc>
          <w:tcPr>
            <w:tcW w:w="63" w:type="dxa"/>
            <w:tcBorders/>
            <w:shd w:fill="CCEEFF" w:val="clear"/>
            <w:vAlign w:val="center"/>
          </w:tcPr>
          <w:p>
            <w:pPr>
              <w:pStyle w:val="TableContents"/>
              <w:bidi w:val="0"/>
              <w:spacing w:before="0" w:after="0"/>
              <w:jc w:val="left"/>
              <w:rPr/>
            </w:pPr>
            <w:r>
              <w:rPr/>
              <w:t> </w:t>
            </w:r>
          </w:p>
        </w:tc>
        <w:tc>
          <w:tcPr>
            <w:tcW w:w="132" w:type="dxa"/>
            <w:tcBorders/>
            <w:shd w:fill="CCEEFF" w:val="clear"/>
            <w:vAlign w:val="center"/>
          </w:tcPr>
          <w:p>
            <w:pPr>
              <w:pStyle w:val="TableContents"/>
              <w:bidi w:val="0"/>
              <w:spacing w:before="0" w:after="0"/>
              <w:jc w:val="left"/>
              <w:rPr/>
            </w:pPr>
            <w:r>
              <w:rPr/>
              <w:t> </w:t>
            </w:r>
          </w:p>
        </w:tc>
        <w:tc>
          <w:tcPr>
            <w:tcW w:w="74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502</w:t>
            </w:r>
          </w:p>
        </w:tc>
      </w:tr>
      <w:tr>
        <w:trPr/>
        <w:tc>
          <w:tcPr>
            <w:tcW w:w="1880" w:type="dxa"/>
            <w:tcBorders/>
            <w:shd w:fill="FFFFFF" w:val="clear"/>
            <w:vAlign w:val="center"/>
          </w:tcPr>
          <w:p>
            <w:pPr>
              <w:pStyle w:val="TableContents"/>
              <w:bidi w:val="0"/>
              <w:spacing w:before="0" w:after="0"/>
              <w:jc w:val="left"/>
              <w:rPr/>
            </w:pPr>
            <w:r>
              <w:rPr/>
              <w:t> </w:t>
            </w:r>
          </w:p>
        </w:tc>
        <w:tc>
          <w:tcPr>
            <w:tcW w:w="131" w:type="dxa"/>
            <w:tcBorders/>
            <w:shd w:fill="FFFFFF" w:val="clear"/>
            <w:vAlign w:val="center"/>
          </w:tcPr>
          <w:p>
            <w:pPr>
              <w:pStyle w:val="TableContents"/>
              <w:bidi w:val="0"/>
              <w:spacing w:before="0" w:after="0"/>
              <w:jc w:val="left"/>
              <w:rPr/>
            </w:pPr>
            <w:r>
              <w:rPr/>
              <w:t> </w:t>
            </w:r>
          </w:p>
        </w:tc>
        <w:tc>
          <w:tcPr>
            <w:tcW w:w="732" w:type="dxa"/>
            <w:tcBorders/>
            <w:shd w:fill="FFFFFF" w:val="clear"/>
            <w:vAlign w:val="center"/>
          </w:tcPr>
          <w:p>
            <w:pPr>
              <w:pStyle w:val="TableContents"/>
              <w:bidi w:val="0"/>
              <w:spacing w:before="0" w:after="0"/>
              <w:jc w:val="right"/>
              <w:rPr/>
            </w:pPr>
            <w:r>
              <w:rPr/>
              <w:t> </w:t>
            </w:r>
          </w:p>
        </w:tc>
        <w:tc>
          <w:tcPr>
            <w:tcW w:w="62" w:type="dxa"/>
            <w:tcBorders/>
            <w:shd w:fill="FFFFFF" w:val="clear"/>
            <w:vAlign w:val="center"/>
          </w:tcPr>
          <w:p>
            <w:pPr>
              <w:pStyle w:val="TableContents"/>
              <w:bidi w:val="0"/>
              <w:spacing w:before="0" w:after="0"/>
              <w:jc w:val="left"/>
              <w:rPr/>
            </w:pPr>
            <w:r>
              <w:rPr/>
              <w:t> </w:t>
            </w:r>
          </w:p>
        </w:tc>
        <w:tc>
          <w:tcPr>
            <w:tcW w:w="131" w:type="dxa"/>
            <w:tcBorders/>
            <w:shd w:fill="FFFFFF" w:val="clear"/>
            <w:vAlign w:val="center"/>
          </w:tcPr>
          <w:p>
            <w:pPr>
              <w:pStyle w:val="TableContents"/>
              <w:bidi w:val="0"/>
              <w:spacing w:before="0" w:after="0"/>
              <w:jc w:val="left"/>
              <w:rPr/>
            </w:pPr>
            <w:r>
              <w:rPr/>
              <w:t> </w:t>
            </w:r>
          </w:p>
        </w:tc>
        <w:tc>
          <w:tcPr>
            <w:tcW w:w="732"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32" w:type="dxa"/>
            <w:tcBorders/>
            <w:shd w:fill="FFFFFF" w:val="clear"/>
            <w:vAlign w:val="center"/>
          </w:tcPr>
          <w:p>
            <w:pPr>
              <w:pStyle w:val="TableContents"/>
              <w:bidi w:val="0"/>
              <w:spacing w:before="0" w:after="0"/>
              <w:jc w:val="left"/>
              <w:rPr/>
            </w:pPr>
            <w:r>
              <w:rPr/>
              <w:t> </w:t>
            </w:r>
          </w:p>
        </w:tc>
        <w:tc>
          <w:tcPr>
            <w:tcW w:w="892" w:type="dxa"/>
            <w:tcBorders/>
            <w:shd w:fill="FFFFFF" w:val="clear"/>
            <w:vAlign w:val="center"/>
          </w:tcPr>
          <w:p>
            <w:pPr>
              <w:pStyle w:val="TableContents"/>
              <w:bidi w:val="0"/>
              <w:spacing w:before="0" w:after="0"/>
              <w:jc w:val="right"/>
              <w:rPr/>
            </w:pPr>
            <w:r>
              <w:rPr/>
              <w:t> </w:t>
            </w:r>
          </w:p>
        </w:tc>
        <w:tc>
          <w:tcPr>
            <w:tcW w:w="63" w:type="dxa"/>
            <w:tcBorders/>
            <w:shd w:fill="FFFFFF" w:val="clear"/>
            <w:vAlign w:val="center"/>
          </w:tcPr>
          <w:p>
            <w:pPr>
              <w:pStyle w:val="TableContents"/>
              <w:bidi w:val="0"/>
              <w:spacing w:before="0" w:after="0"/>
              <w:jc w:val="left"/>
              <w:rPr/>
            </w:pPr>
            <w:r>
              <w:rPr/>
              <w:t> </w:t>
            </w:r>
          </w:p>
        </w:tc>
        <w:tc>
          <w:tcPr>
            <w:tcW w:w="132" w:type="dxa"/>
            <w:tcBorders/>
            <w:shd w:fill="FFFFFF" w:val="clear"/>
            <w:vAlign w:val="center"/>
          </w:tcPr>
          <w:p>
            <w:pPr>
              <w:pStyle w:val="TableContents"/>
              <w:bidi w:val="0"/>
              <w:spacing w:before="0" w:after="0"/>
              <w:jc w:val="left"/>
              <w:rPr/>
            </w:pPr>
            <w:r>
              <w:rPr/>
              <w:t> </w:t>
            </w:r>
          </w:p>
        </w:tc>
        <w:tc>
          <w:tcPr>
            <w:tcW w:w="749" w:type="dxa"/>
            <w:tcBorders/>
            <w:shd w:fill="FFFFFF" w:val="clear"/>
            <w:vAlign w:val="center"/>
          </w:tcPr>
          <w:p>
            <w:pPr>
              <w:pStyle w:val="TableContents"/>
              <w:bidi w:val="0"/>
              <w:spacing w:before="0" w:after="0"/>
              <w:jc w:val="right"/>
              <w:rPr/>
            </w:pPr>
            <w:r>
              <w:rPr/>
              <w:t> </w:t>
            </w:r>
          </w:p>
        </w:tc>
      </w:tr>
      <w:tr>
        <w:trPr/>
        <w:tc>
          <w:tcPr>
            <w:tcW w:w="18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Domestic subtotal:</w:t>
            </w:r>
          </w:p>
        </w:tc>
        <w:tc>
          <w:tcPr>
            <w:tcW w:w="131" w:type="dxa"/>
            <w:tcBorders/>
            <w:shd w:fill="CCEEFF" w:val="clear"/>
            <w:vAlign w:val="center"/>
          </w:tcPr>
          <w:p>
            <w:pPr>
              <w:pStyle w:val="TableContents"/>
              <w:bidi w:val="0"/>
              <w:spacing w:before="0" w:after="0"/>
              <w:jc w:val="left"/>
              <w:rPr/>
            </w:pPr>
            <w:r>
              <w:rPr/>
              <w:t> </w:t>
            </w:r>
          </w:p>
        </w:tc>
        <w:tc>
          <w:tcPr>
            <w:tcW w:w="732" w:type="dxa"/>
            <w:tcBorders/>
            <w:shd w:fill="CCEEFF" w:val="clear"/>
            <w:vAlign w:val="center"/>
          </w:tcPr>
          <w:p>
            <w:pPr>
              <w:pStyle w:val="TableContents"/>
              <w:bidi w:val="0"/>
              <w:spacing w:before="0" w:after="0"/>
              <w:jc w:val="right"/>
              <w:rPr/>
            </w:pPr>
            <w:r>
              <w:rPr/>
              <w:t> </w:t>
            </w:r>
          </w:p>
        </w:tc>
        <w:tc>
          <w:tcPr>
            <w:tcW w:w="62" w:type="dxa"/>
            <w:tcBorders/>
            <w:shd w:fill="CCEEFF" w:val="clear"/>
            <w:vAlign w:val="center"/>
          </w:tcPr>
          <w:p>
            <w:pPr>
              <w:pStyle w:val="TableContents"/>
              <w:bidi w:val="0"/>
              <w:spacing w:before="0" w:after="0"/>
              <w:jc w:val="left"/>
              <w:rPr/>
            </w:pPr>
            <w:r>
              <w:rPr/>
              <w:t> </w:t>
            </w:r>
          </w:p>
        </w:tc>
        <w:tc>
          <w:tcPr>
            <w:tcW w:w="131" w:type="dxa"/>
            <w:tcBorders/>
            <w:shd w:fill="CCEEFF" w:val="clear"/>
            <w:vAlign w:val="center"/>
          </w:tcPr>
          <w:p>
            <w:pPr>
              <w:pStyle w:val="TableContents"/>
              <w:bidi w:val="0"/>
              <w:spacing w:before="0" w:after="0"/>
              <w:jc w:val="left"/>
              <w:rPr/>
            </w:pPr>
            <w:r>
              <w:rPr/>
              <w:t> </w:t>
            </w:r>
          </w:p>
        </w:tc>
        <w:tc>
          <w:tcPr>
            <w:tcW w:w="732"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32"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0"/>
              <w:jc w:val="right"/>
              <w:rPr/>
            </w:pPr>
            <w:r>
              <w:rPr/>
              <w:t> </w:t>
            </w:r>
          </w:p>
        </w:tc>
        <w:tc>
          <w:tcPr>
            <w:tcW w:w="63" w:type="dxa"/>
            <w:tcBorders/>
            <w:shd w:fill="CCEEFF" w:val="clear"/>
            <w:vAlign w:val="center"/>
          </w:tcPr>
          <w:p>
            <w:pPr>
              <w:pStyle w:val="TableContents"/>
              <w:bidi w:val="0"/>
              <w:spacing w:before="0" w:after="0"/>
              <w:jc w:val="left"/>
              <w:rPr/>
            </w:pPr>
            <w:r>
              <w:rPr/>
              <w:t> </w:t>
            </w:r>
          </w:p>
        </w:tc>
        <w:tc>
          <w:tcPr>
            <w:tcW w:w="132" w:type="dxa"/>
            <w:tcBorders/>
            <w:shd w:fill="CCEEFF" w:val="clear"/>
            <w:vAlign w:val="center"/>
          </w:tcPr>
          <w:p>
            <w:pPr>
              <w:pStyle w:val="TableContents"/>
              <w:bidi w:val="0"/>
              <w:spacing w:before="0" w:after="0"/>
              <w:jc w:val="left"/>
              <w:rPr/>
            </w:pPr>
            <w:r>
              <w:rPr/>
              <w:t> </w:t>
            </w:r>
          </w:p>
        </w:tc>
        <w:tc>
          <w:tcPr>
            <w:tcW w:w="749" w:type="dxa"/>
            <w:tcBorders/>
            <w:shd w:fill="CCEEFF" w:val="clear"/>
            <w:vAlign w:val="center"/>
          </w:tcPr>
          <w:p>
            <w:pPr>
              <w:pStyle w:val="TableContents"/>
              <w:bidi w:val="0"/>
              <w:spacing w:before="0" w:after="0"/>
              <w:jc w:val="right"/>
              <w:rPr/>
            </w:pPr>
            <w:r>
              <w:rPr/>
              <w:t> </w:t>
            </w:r>
          </w:p>
        </w:tc>
      </w:tr>
      <w:tr>
        <w:trPr/>
        <w:tc>
          <w:tcPr>
            <w:tcW w:w="18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Dollars</w:t>
            </w:r>
          </w:p>
        </w:tc>
        <w:tc>
          <w:tcPr>
            <w:tcW w:w="131"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622,553</w:t>
            </w:r>
          </w:p>
        </w:tc>
        <w:tc>
          <w:tcPr>
            <w:tcW w:w="62" w:type="dxa"/>
            <w:tcBorders/>
            <w:shd w:fill="FFFFFF" w:val="clear"/>
            <w:vAlign w:val="center"/>
          </w:tcPr>
          <w:p>
            <w:pPr>
              <w:pStyle w:val="TableContents"/>
              <w:bidi w:val="0"/>
              <w:spacing w:before="0" w:after="0"/>
              <w:jc w:val="left"/>
              <w:rPr/>
            </w:pPr>
            <w:r>
              <w:rPr/>
              <w:t> </w:t>
            </w:r>
          </w:p>
        </w:tc>
        <w:tc>
          <w:tcPr>
            <w:tcW w:w="131"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619,636</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2,047,316</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1,969,522</w:t>
            </w:r>
          </w:p>
        </w:tc>
        <w:tc>
          <w:tcPr>
            <w:tcW w:w="60" w:type="dxa"/>
            <w:tcBorders/>
            <w:shd w:fill="FFFFFF" w:val="clear"/>
            <w:vAlign w:val="center"/>
          </w:tcPr>
          <w:p>
            <w:pPr>
              <w:pStyle w:val="TableContents"/>
              <w:bidi w:val="0"/>
              <w:spacing w:before="0" w:after="0"/>
              <w:jc w:val="left"/>
              <w:rPr/>
            </w:pPr>
            <w:r>
              <w:rPr/>
              <w:t> </w:t>
            </w:r>
          </w:p>
        </w:tc>
        <w:tc>
          <w:tcPr>
            <w:tcW w:w="13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881,906</w:t>
            </w:r>
          </w:p>
        </w:tc>
        <w:tc>
          <w:tcPr>
            <w:tcW w:w="63" w:type="dxa"/>
            <w:tcBorders/>
            <w:shd w:fill="FFFFFF" w:val="clear"/>
            <w:vAlign w:val="center"/>
          </w:tcPr>
          <w:p>
            <w:pPr>
              <w:pStyle w:val="TableContents"/>
              <w:bidi w:val="0"/>
              <w:spacing w:before="0" w:after="0"/>
              <w:jc w:val="left"/>
              <w:rPr/>
            </w:pPr>
            <w:r>
              <w:rPr/>
              <w:t> </w:t>
            </w:r>
          </w:p>
        </w:tc>
        <w:tc>
          <w:tcPr>
            <w:tcW w:w="13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838,812</w:t>
            </w:r>
          </w:p>
        </w:tc>
      </w:tr>
      <w:tr>
        <w:trPr/>
        <w:tc>
          <w:tcPr>
            <w:tcW w:w="18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Number of homes</w:t>
            </w:r>
          </w:p>
        </w:tc>
        <w:tc>
          <w:tcPr>
            <w:tcW w:w="131" w:type="dxa"/>
            <w:tcBorders/>
            <w:shd w:fill="CCEEFF" w:val="clear"/>
            <w:vAlign w:val="center"/>
          </w:tcPr>
          <w:p>
            <w:pPr>
              <w:pStyle w:val="TableContents"/>
              <w:bidi w:val="0"/>
              <w:spacing w:before="0" w:after="0"/>
              <w:jc w:val="left"/>
              <w:rPr/>
            </w:pPr>
            <w:r>
              <w:rPr/>
              <w:t> </w:t>
            </w:r>
          </w:p>
        </w:tc>
        <w:tc>
          <w:tcPr>
            <w:tcW w:w="73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1,155</w:t>
            </w:r>
          </w:p>
        </w:tc>
        <w:tc>
          <w:tcPr>
            <w:tcW w:w="62" w:type="dxa"/>
            <w:tcBorders/>
            <w:shd w:fill="CCEEFF" w:val="clear"/>
            <w:vAlign w:val="center"/>
          </w:tcPr>
          <w:p>
            <w:pPr>
              <w:pStyle w:val="TableContents"/>
              <w:bidi w:val="0"/>
              <w:spacing w:before="0" w:after="0"/>
              <w:jc w:val="left"/>
              <w:rPr/>
            </w:pPr>
            <w:r>
              <w:rPr/>
              <w:t> </w:t>
            </w:r>
          </w:p>
        </w:tc>
        <w:tc>
          <w:tcPr>
            <w:tcW w:w="131" w:type="dxa"/>
            <w:tcBorders/>
            <w:shd w:fill="CCEEFF" w:val="clear"/>
            <w:vAlign w:val="center"/>
          </w:tcPr>
          <w:p>
            <w:pPr>
              <w:pStyle w:val="TableContents"/>
              <w:bidi w:val="0"/>
              <w:spacing w:before="0" w:after="0"/>
              <w:jc w:val="left"/>
              <w:rPr/>
            </w:pPr>
            <w:r>
              <w:rPr/>
              <w:t> </w:t>
            </w:r>
          </w:p>
        </w:tc>
        <w:tc>
          <w:tcPr>
            <w:tcW w:w="73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1,211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3,809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3,814</w:t>
            </w:r>
          </w:p>
        </w:tc>
        <w:tc>
          <w:tcPr>
            <w:tcW w:w="60" w:type="dxa"/>
            <w:tcBorders/>
            <w:shd w:fill="CCEEFF" w:val="clear"/>
            <w:vAlign w:val="center"/>
          </w:tcPr>
          <w:p>
            <w:pPr>
              <w:pStyle w:val="TableContents"/>
              <w:bidi w:val="0"/>
              <w:spacing w:before="0" w:after="0"/>
              <w:jc w:val="left"/>
              <w:rPr/>
            </w:pPr>
            <w:r>
              <w:rPr/>
              <w:t> </w:t>
            </w:r>
          </w:p>
        </w:tc>
        <w:tc>
          <w:tcPr>
            <w:tcW w:w="132"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1,509</w:t>
            </w:r>
          </w:p>
        </w:tc>
        <w:tc>
          <w:tcPr>
            <w:tcW w:w="63" w:type="dxa"/>
            <w:tcBorders/>
            <w:shd w:fill="CCEEFF" w:val="clear"/>
            <w:vAlign w:val="center"/>
          </w:tcPr>
          <w:p>
            <w:pPr>
              <w:pStyle w:val="TableContents"/>
              <w:bidi w:val="0"/>
              <w:spacing w:before="0" w:after="0"/>
              <w:jc w:val="left"/>
              <w:rPr/>
            </w:pPr>
            <w:r>
              <w:rPr/>
              <w:t> </w:t>
            </w:r>
          </w:p>
        </w:tc>
        <w:tc>
          <w:tcPr>
            <w:tcW w:w="132" w:type="dxa"/>
            <w:tcBorders/>
            <w:shd w:fill="CCEEFF" w:val="clear"/>
            <w:vAlign w:val="center"/>
          </w:tcPr>
          <w:p>
            <w:pPr>
              <w:pStyle w:val="TableContents"/>
              <w:bidi w:val="0"/>
              <w:spacing w:before="0" w:after="0"/>
              <w:jc w:val="left"/>
              <w:rPr/>
            </w:pPr>
            <w:r>
              <w:rPr/>
              <w:t> </w:t>
            </w:r>
          </w:p>
        </w:tc>
        <w:tc>
          <w:tcPr>
            <w:tcW w:w="74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1,491</w:t>
            </w:r>
          </w:p>
        </w:tc>
      </w:tr>
      <w:tr>
        <w:trPr/>
        <w:tc>
          <w:tcPr>
            <w:tcW w:w="1880" w:type="dxa"/>
            <w:tcBorders/>
            <w:shd w:fill="FFFFFF" w:val="clear"/>
            <w:vAlign w:val="center"/>
          </w:tcPr>
          <w:p>
            <w:pPr>
              <w:pStyle w:val="TableContents"/>
              <w:bidi w:val="0"/>
              <w:spacing w:before="0" w:after="0"/>
              <w:jc w:val="left"/>
              <w:rPr/>
            </w:pPr>
            <w:r>
              <w:rPr/>
              <w:t> </w:t>
            </w:r>
          </w:p>
        </w:tc>
        <w:tc>
          <w:tcPr>
            <w:tcW w:w="131" w:type="dxa"/>
            <w:tcBorders/>
            <w:shd w:fill="FFFFFF" w:val="clear"/>
            <w:vAlign w:val="center"/>
          </w:tcPr>
          <w:p>
            <w:pPr>
              <w:pStyle w:val="TableContents"/>
              <w:bidi w:val="0"/>
              <w:spacing w:before="0" w:after="0"/>
              <w:jc w:val="left"/>
              <w:rPr/>
            </w:pPr>
            <w:r>
              <w:rPr/>
              <w:t> </w:t>
            </w:r>
          </w:p>
        </w:tc>
        <w:tc>
          <w:tcPr>
            <w:tcW w:w="732" w:type="dxa"/>
            <w:tcBorders/>
            <w:shd w:fill="FFFFFF" w:val="clear"/>
            <w:vAlign w:val="center"/>
          </w:tcPr>
          <w:p>
            <w:pPr>
              <w:pStyle w:val="TableContents"/>
              <w:bidi w:val="0"/>
              <w:spacing w:before="0" w:after="0"/>
              <w:jc w:val="right"/>
              <w:rPr/>
            </w:pPr>
            <w:r>
              <w:rPr/>
              <w:t> </w:t>
            </w:r>
          </w:p>
        </w:tc>
        <w:tc>
          <w:tcPr>
            <w:tcW w:w="62" w:type="dxa"/>
            <w:tcBorders/>
            <w:shd w:fill="FFFFFF" w:val="clear"/>
            <w:vAlign w:val="center"/>
          </w:tcPr>
          <w:p>
            <w:pPr>
              <w:pStyle w:val="TableContents"/>
              <w:bidi w:val="0"/>
              <w:spacing w:before="0" w:after="0"/>
              <w:jc w:val="left"/>
              <w:rPr/>
            </w:pPr>
            <w:r>
              <w:rPr/>
              <w:t> </w:t>
            </w:r>
          </w:p>
        </w:tc>
        <w:tc>
          <w:tcPr>
            <w:tcW w:w="131" w:type="dxa"/>
            <w:tcBorders/>
            <w:shd w:fill="FFFFFF" w:val="clear"/>
            <w:vAlign w:val="center"/>
          </w:tcPr>
          <w:p>
            <w:pPr>
              <w:pStyle w:val="TableContents"/>
              <w:bidi w:val="0"/>
              <w:spacing w:before="0" w:after="0"/>
              <w:jc w:val="left"/>
              <w:rPr/>
            </w:pPr>
            <w:r>
              <w:rPr/>
              <w:t> </w:t>
            </w:r>
          </w:p>
        </w:tc>
        <w:tc>
          <w:tcPr>
            <w:tcW w:w="732"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32" w:type="dxa"/>
            <w:tcBorders/>
            <w:shd w:fill="FFFFFF" w:val="clear"/>
            <w:vAlign w:val="center"/>
          </w:tcPr>
          <w:p>
            <w:pPr>
              <w:pStyle w:val="TableContents"/>
              <w:bidi w:val="0"/>
              <w:spacing w:before="0" w:after="0"/>
              <w:jc w:val="left"/>
              <w:rPr/>
            </w:pPr>
            <w:r>
              <w:rPr/>
              <w:t> </w:t>
            </w:r>
          </w:p>
        </w:tc>
        <w:tc>
          <w:tcPr>
            <w:tcW w:w="892" w:type="dxa"/>
            <w:tcBorders/>
            <w:shd w:fill="FFFFFF" w:val="clear"/>
            <w:vAlign w:val="center"/>
          </w:tcPr>
          <w:p>
            <w:pPr>
              <w:pStyle w:val="TableContents"/>
              <w:bidi w:val="0"/>
              <w:spacing w:before="0" w:after="0"/>
              <w:jc w:val="right"/>
              <w:rPr/>
            </w:pPr>
            <w:r>
              <w:rPr/>
              <w:t> </w:t>
            </w:r>
          </w:p>
        </w:tc>
        <w:tc>
          <w:tcPr>
            <w:tcW w:w="63" w:type="dxa"/>
            <w:tcBorders/>
            <w:shd w:fill="FFFFFF" w:val="clear"/>
            <w:vAlign w:val="center"/>
          </w:tcPr>
          <w:p>
            <w:pPr>
              <w:pStyle w:val="TableContents"/>
              <w:bidi w:val="0"/>
              <w:spacing w:before="0" w:after="0"/>
              <w:jc w:val="left"/>
              <w:rPr/>
            </w:pPr>
            <w:r>
              <w:rPr/>
              <w:t> </w:t>
            </w:r>
          </w:p>
        </w:tc>
        <w:tc>
          <w:tcPr>
            <w:tcW w:w="132" w:type="dxa"/>
            <w:tcBorders/>
            <w:shd w:fill="FFFFFF" w:val="clear"/>
            <w:vAlign w:val="center"/>
          </w:tcPr>
          <w:p>
            <w:pPr>
              <w:pStyle w:val="TableContents"/>
              <w:bidi w:val="0"/>
              <w:spacing w:before="0" w:after="0"/>
              <w:jc w:val="left"/>
              <w:rPr/>
            </w:pPr>
            <w:r>
              <w:rPr/>
              <w:t> </w:t>
            </w:r>
          </w:p>
        </w:tc>
        <w:tc>
          <w:tcPr>
            <w:tcW w:w="749" w:type="dxa"/>
            <w:tcBorders/>
            <w:shd w:fill="FFFFFF" w:val="clear"/>
            <w:vAlign w:val="center"/>
          </w:tcPr>
          <w:p>
            <w:pPr>
              <w:pStyle w:val="TableContents"/>
              <w:bidi w:val="0"/>
              <w:spacing w:before="0" w:after="0"/>
              <w:jc w:val="right"/>
              <w:rPr/>
            </w:pPr>
            <w:r>
              <w:rPr/>
              <w:t> </w:t>
            </w:r>
          </w:p>
        </w:tc>
      </w:tr>
      <w:tr>
        <w:trPr/>
        <w:tc>
          <w:tcPr>
            <w:tcW w:w="18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KSA:</w:t>
            </w:r>
          </w:p>
        </w:tc>
        <w:tc>
          <w:tcPr>
            <w:tcW w:w="131" w:type="dxa"/>
            <w:tcBorders/>
            <w:shd w:fill="CCEEFF" w:val="clear"/>
            <w:vAlign w:val="center"/>
          </w:tcPr>
          <w:p>
            <w:pPr>
              <w:pStyle w:val="TableContents"/>
              <w:bidi w:val="0"/>
              <w:spacing w:before="0" w:after="0"/>
              <w:jc w:val="left"/>
              <w:rPr/>
            </w:pPr>
            <w:r>
              <w:rPr/>
              <w:t> </w:t>
            </w:r>
          </w:p>
        </w:tc>
        <w:tc>
          <w:tcPr>
            <w:tcW w:w="732" w:type="dxa"/>
            <w:tcBorders/>
            <w:shd w:fill="CCEEFF" w:val="clear"/>
            <w:vAlign w:val="center"/>
          </w:tcPr>
          <w:p>
            <w:pPr>
              <w:pStyle w:val="TableContents"/>
              <w:bidi w:val="0"/>
              <w:spacing w:before="0" w:after="0"/>
              <w:jc w:val="right"/>
              <w:rPr/>
            </w:pPr>
            <w:r>
              <w:rPr/>
              <w:t> </w:t>
            </w:r>
          </w:p>
        </w:tc>
        <w:tc>
          <w:tcPr>
            <w:tcW w:w="62" w:type="dxa"/>
            <w:tcBorders/>
            <w:shd w:fill="CCEEFF" w:val="clear"/>
            <w:vAlign w:val="center"/>
          </w:tcPr>
          <w:p>
            <w:pPr>
              <w:pStyle w:val="TableContents"/>
              <w:bidi w:val="0"/>
              <w:spacing w:before="0" w:after="0"/>
              <w:jc w:val="left"/>
              <w:rPr/>
            </w:pPr>
            <w:r>
              <w:rPr/>
              <w:t> </w:t>
            </w:r>
          </w:p>
        </w:tc>
        <w:tc>
          <w:tcPr>
            <w:tcW w:w="131" w:type="dxa"/>
            <w:tcBorders/>
            <w:shd w:fill="CCEEFF" w:val="clear"/>
            <w:vAlign w:val="center"/>
          </w:tcPr>
          <w:p>
            <w:pPr>
              <w:pStyle w:val="TableContents"/>
              <w:bidi w:val="0"/>
              <w:spacing w:before="0" w:after="0"/>
              <w:jc w:val="left"/>
              <w:rPr/>
            </w:pPr>
            <w:r>
              <w:rPr/>
              <w:t> </w:t>
            </w:r>
          </w:p>
        </w:tc>
        <w:tc>
          <w:tcPr>
            <w:tcW w:w="732"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32"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0"/>
              <w:jc w:val="right"/>
              <w:rPr/>
            </w:pPr>
            <w:r>
              <w:rPr/>
              <w:t> </w:t>
            </w:r>
          </w:p>
        </w:tc>
        <w:tc>
          <w:tcPr>
            <w:tcW w:w="63" w:type="dxa"/>
            <w:tcBorders/>
            <w:shd w:fill="CCEEFF" w:val="clear"/>
            <w:vAlign w:val="center"/>
          </w:tcPr>
          <w:p>
            <w:pPr>
              <w:pStyle w:val="TableContents"/>
              <w:bidi w:val="0"/>
              <w:spacing w:before="0" w:after="0"/>
              <w:jc w:val="left"/>
              <w:rPr/>
            </w:pPr>
            <w:r>
              <w:rPr/>
              <w:t> </w:t>
            </w:r>
          </w:p>
        </w:tc>
        <w:tc>
          <w:tcPr>
            <w:tcW w:w="132" w:type="dxa"/>
            <w:tcBorders/>
            <w:shd w:fill="CCEEFF" w:val="clear"/>
            <w:vAlign w:val="center"/>
          </w:tcPr>
          <w:p>
            <w:pPr>
              <w:pStyle w:val="TableContents"/>
              <w:bidi w:val="0"/>
              <w:spacing w:before="0" w:after="0"/>
              <w:jc w:val="left"/>
              <w:rPr/>
            </w:pPr>
            <w:r>
              <w:rPr/>
              <w:t> </w:t>
            </w:r>
          </w:p>
        </w:tc>
        <w:tc>
          <w:tcPr>
            <w:tcW w:w="749" w:type="dxa"/>
            <w:tcBorders/>
            <w:shd w:fill="CCEEFF" w:val="clear"/>
            <w:vAlign w:val="center"/>
          </w:tcPr>
          <w:p>
            <w:pPr>
              <w:pStyle w:val="TableContents"/>
              <w:bidi w:val="0"/>
              <w:spacing w:before="0" w:after="0"/>
              <w:jc w:val="right"/>
              <w:rPr/>
            </w:pPr>
            <w:r>
              <w:rPr/>
              <w:t> </w:t>
            </w:r>
          </w:p>
        </w:tc>
      </w:tr>
      <w:tr>
        <w:trPr/>
        <w:tc>
          <w:tcPr>
            <w:tcW w:w="18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Dollars</w:t>
            </w:r>
          </w:p>
        </w:tc>
        <w:tc>
          <w:tcPr>
            <w:tcW w:w="131"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5,481</w:t>
            </w:r>
          </w:p>
        </w:tc>
        <w:tc>
          <w:tcPr>
            <w:tcW w:w="62" w:type="dxa"/>
            <w:tcBorders/>
            <w:shd w:fill="FFFFFF" w:val="clear"/>
            <w:vAlign w:val="center"/>
          </w:tcPr>
          <w:p>
            <w:pPr>
              <w:pStyle w:val="TableContents"/>
              <w:bidi w:val="0"/>
              <w:spacing w:before="0" w:after="0"/>
              <w:jc w:val="left"/>
              <w:rPr/>
            </w:pPr>
            <w:r>
              <w:rPr/>
              <w:t> </w:t>
            </w:r>
          </w:p>
        </w:tc>
        <w:tc>
          <w:tcPr>
            <w:tcW w:w="131"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9,978</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3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191,445</w:t>
            </w:r>
          </w:p>
        </w:tc>
        <w:tc>
          <w:tcPr>
            <w:tcW w:w="63" w:type="dxa"/>
            <w:tcBorders/>
            <w:shd w:fill="FFFFFF" w:val="clear"/>
            <w:vAlign w:val="center"/>
          </w:tcPr>
          <w:p>
            <w:pPr>
              <w:pStyle w:val="TableContents"/>
              <w:bidi w:val="0"/>
              <w:spacing w:before="0" w:after="0"/>
              <w:jc w:val="left"/>
              <w:rPr/>
            </w:pPr>
            <w:r>
              <w:rPr/>
              <w:t> </w:t>
            </w:r>
          </w:p>
        </w:tc>
        <w:tc>
          <w:tcPr>
            <w:tcW w:w="13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18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Number of homes</w:t>
            </w:r>
          </w:p>
        </w:tc>
        <w:tc>
          <w:tcPr>
            <w:tcW w:w="131" w:type="dxa"/>
            <w:tcBorders/>
            <w:shd w:fill="CCEEFF" w:val="clear"/>
            <w:vAlign w:val="center"/>
          </w:tcPr>
          <w:p>
            <w:pPr>
              <w:pStyle w:val="TableContents"/>
              <w:bidi w:val="0"/>
              <w:spacing w:before="0" w:after="0"/>
              <w:jc w:val="left"/>
              <w:rPr/>
            </w:pPr>
            <w:r>
              <w:rPr/>
              <w:t> </w:t>
            </w:r>
          </w:p>
        </w:tc>
        <w:tc>
          <w:tcPr>
            <w:tcW w:w="73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w:t>
            </w:r>
          </w:p>
        </w:tc>
        <w:tc>
          <w:tcPr>
            <w:tcW w:w="62" w:type="dxa"/>
            <w:tcBorders/>
            <w:shd w:fill="CCEEFF" w:val="clear"/>
            <w:vAlign w:val="center"/>
          </w:tcPr>
          <w:p>
            <w:pPr>
              <w:pStyle w:val="TableContents"/>
              <w:bidi w:val="0"/>
              <w:spacing w:before="0" w:after="0"/>
              <w:jc w:val="left"/>
              <w:rPr/>
            </w:pPr>
            <w:r>
              <w:rPr/>
              <w:t> </w:t>
            </w:r>
          </w:p>
        </w:tc>
        <w:tc>
          <w:tcPr>
            <w:tcW w:w="131" w:type="dxa"/>
            <w:tcBorders/>
            <w:shd w:fill="CCEEFF" w:val="clear"/>
            <w:vAlign w:val="center"/>
          </w:tcPr>
          <w:p>
            <w:pPr>
              <w:pStyle w:val="TableContents"/>
              <w:bidi w:val="0"/>
              <w:spacing w:before="0" w:after="0"/>
              <w:jc w:val="left"/>
              <w:rPr/>
            </w:pPr>
            <w:r>
              <w:rPr/>
              <w:t> </w:t>
            </w:r>
          </w:p>
        </w:tc>
        <w:tc>
          <w:tcPr>
            <w:tcW w:w="73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32"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788</w:t>
            </w:r>
          </w:p>
        </w:tc>
        <w:tc>
          <w:tcPr>
            <w:tcW w:w="63" w:type="dxa"/>
            <w:tcBorders/>
            <w:shd w:fill="CCEEFF" w:val="clear"/>
            <w:vAlign w:val="center"/>
          </w:tcPr>
          <w:p>
            <w:pPr>
              <w:pStyle w:val="TableContents"/>
              <w:bidi w:val="0"/>
              <w:spacing w:before="0" w:after="0"/>
              <w:jc w:val="left"/>
              <w:rPr/>
            </w:pPr>
            <w:r>
              <w:rPr/>
              <w:t> </w:t>
            </w:r>
          </w:p>
        </w:tc>
        <w:tc>
          <w:tcPr>
            <w:tcW w:w="132" w:type="dxa"/>
            <w:tcBorders/>
            <w:shd w:fill="CCEEFF" w:val="clear"/>
            <w:vAlign w:val="center"/>
          </w:tcPr>
          <w:p>
            <w:pPr>
              <w:pStyle w:val="TableContents"/>
              <w:bidi w:val="0"/>
              <w:spacing w:before="0" w:after="0"/>
              <w:jc w:val="left"/>
              <w:rPr/>
            </w:pPr>
            <w:r>
              <w:rPr/>
              <w:t> </w:t>
            </w:r>
          </w:p>
        </w:tc>
        <w:tc>
          <w:tcPr>
            <w:tcW w:w="74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1880" w:type="dxa"/>
            <w:tcBorders/>
            <w:shd w:fill="FFFFFF" w:val="clear"/>
            <w:vAlign w:val="center"/>
          </w:tcPr>
          <w:p>
            <w:pPr>
              <w:pStyle w:val="TableContents"/>
              <w:bidi w:val="0"/>
              <w:spacing w:before="0" w:after="0"/>
              <w:jc w:val="left"/>
              <w:rPr/>
            </w:pPr>
            <w:r>
              <w:rPr/>
              <w:t> </w:t>
            </w:r>
          </w:p>
        </w:tc>
        <w:tc>
          <w:tcPr>
            <w:tcW w:w="131" w:type="dxa"/>
            <w:tcBorders/>
            <w:shd w:fill="FFFFFF" w:val="clear"/>
            <w:vAlign w:val="center"/>
          </w:tcPr>
          <w:p>
            <w:pPr>
              <w:pStyle w:val="TableContents"/>
              <w:bidi w:val="0"/>
              <w:spacing w:before="0" w:after="0"/>
              <w:jc w:val="left"/>
              <w:rPr/>
            </w:pPr>
            <w:r>
              <w:rPr/>
              <w:t> </w:t>
            </w:r>
          </w:p>
        </w:tc>
        <w:tc>
          <w:tcPr>
            <w:tcW w:w="732" w:type="dxa"/>
            <w:tcBorders/>
            <w:shd w:fill="FFFFFF" w:val="clear"/>
            <w:vAlign w:val="center"/>
          </w:tcPr>
          <w:p>
            <w:pPr>
              <w:pStyle w:val="TableContents"/>
              <w:bidi w:val="0"/>
              <w:spacing w:before="0" w:after="0"/>
              <w:jc w:val="right"/>
              <w:rPr/>
            </w:pPr>
            <w:r>
              <w:rPr/>
              <w:t> </w:t>
            </w:r>
          </w:p>
        </w:tc>
        <w:tc>
          <w:tcPr>
            <w:tcW w:w="62" w:type="dxa"/>
            <w:tcBorders/>
            <w:shd w:fill="FFFFFF" w:val="clear"/>
            <w:vAlign w:val="center"/>
          </w:tcPr>
          <w:p>
            <w:pPr>
              <w:pStyle w:val="TableContents"/>
              <w:bidi w:val="0"/>
              <w:spacing w:before="0" w:after="0"/>
              <w:jc w:val="left"/>
              <w:rPr/>
            </w:pPr>
            <w:r>
              <w:rPr/>
              <w:t> </w:t>
            </w:r>
          </w:p>
        </w:tc>
        <w:tc>
          <w:tcPr>
            <w:tcW w:w="131" w:type="dxa"/>
            <w:tcBorders/>
            <w:shd w:fill="FFFFFF" w:val="clear"/>
            <w:vAlign w:val="center"/>
          </w:tcPr>
          <w:p>
            <w:pPr>
              <w:pStyle w:val="TableContents"/>
              <w:bidi w:val="0"/>
              <w:spacing w:before="0" w:after="0"/>
              <w:jc w:val="left"/>
              <w:rPr/>
            </w:pPr>
            <w:r>
              <w:rPr/>
              <w:t> </w:t>
            </w:r>
          </w:p>
        </w:tc>
        <w:tc>
          <w:tcPr>
            <w:tcW w:w="732"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32" w:type="dxa"/>
            <w:tcBorders/>
            <w:shd w:fill="FFFFFF" w:val="clear"/>
            <w:vAlign w:val="center"/>
          </w:tcPr>
          <w:p>
            <w:pPr>
              <w:pStyle w:val="TableContents"/>
              <w:bidi w:val="0"/>
              <w:spacing w:before="0" w:after="0"/>
              <w:jc w:val="left"/>
              <w:rPr/>
            </w:pPr>
            <w:r>
              <w:rPr/>
              <w:t> </w:t>
            </w:r>
          </w:p>
        </w:tc>
        <w:tc>
          <w:tcPr>
            <w:tcW w:w="892" w:type="dxa"/>
            <w:tcBorders/>
            <w:shd w:fill="FFFFFF" w:val="clear"/>
            <w:vAlign w:val="center"/>
          </w:tcPr>
          <w:p>
            <w:pPr>
              <w:pStyle w:val="TableContents"/>
              <w:bidi w:val="0"/>
              <w:spacing w:before="0" w:after="0"/>
              <w:jc w:val="right"/>
              <w:rPr/>
            </w:pPr>
            <w:r>
              <w:rPr/>
              <w:t> </w:t>
            </w:r>
          </w:p>
        </w:tc>
        <w:tc>
          <w:tcPr>
            <w:tcW w:w="63" w:type="dxa"/>
            <w:tcBorders/>
            <w:shd w:fill="FFFFFF" w:val="clear"/>
            <w:vAlign w:val="center"/>
          </w:tcPr>
          <w:p>
            <w:pPr>
              <w:pStyle w:val="TableContents"/>
              <w:bidi w:val="0"/>
              <w:spacing w:before="0" w:after="0"/>
              <w:jc w:val="left"/>
              <w:rPr/>
            </w:pPr>
            <w:r>
              <w:rPr/>
              <w:t> </w:t>
            </w:r>
          </w:p>
        </w:tc>
        <w:tc>
          <w:tcPr>
            <w:tcW w:w="132" w:type="dxa"/>
            <w:tcBorders/>
            <w:shd w:fill="FFFFFF" w:val="clear"/>
            <w:vAlign w:val="center"/>
          </w:tcPr>
          <w:p>
            <w:pPr>
              <w:pStyle w:val="TableContents"/>
              <w:bidi w:val="0"/>
              <w:spacing w:before="0" w:after="0"/>
              <w:jc w:val="left"/>
              <w:rPr/>
            </w:pPr>
            <w:r>
              <w:rPr/>
              <w:t> </w:t>
            </w:r>
          </w:p>
        </w:tc>
        <w:tc>
          <w:tcPr>
            <w:tcW w:w="749" w:type="dxa"/>
            <w:tcBorders/>
            <w:shd w:fill="FFFFFF" w:val="clear"/>
            <w:vAlign w:val="center"/>
          </w:tcPr>
          <w:p>
            <w:pPr>
              <w:pStyle w:val="TableContents"/>
              <w:bidi w:val="0"/>
              <w:spacing w:before="0" w:after="0"/>
              <w:jc w:val="right"/>
              <w:rPr/>
            </w:pPr>
            <w:r>
              <w:rPr/>
              <w:t> </w:t>
            </w:r>
          </w:p>
        </w:tc>
      </w:tr>
      <w:tr>
        <w:trPr/>
        <w:tc>
          <w:tcPr>
            <w:tcW w:w="1880" w:type="dxa"/>
            <w:tcBorders/>
            <w:shd w:fill="CCEEFF" w:val="clear"/>
            <w:vAlign w:val="center"/>
          </w:tcPr>
          <w:p>
            <w:pPr>
              <w:pStyle w:val="TableContents"/>
              <w:bidi w:val="0"/>
              <w:spacing w:before="0" w:after="0"/>
              <w:jc w:val="left"/>
              <w:rPr>
                <w:sz w:val="20"/>
              </w:rPr>
            </w:pPr>
            <w:r>
              <w:rPr>
                <w:rFonts w:ascii="Times New Roman" w:hAnsi="Times New Roman"/>
                <w:sz w:val="20"/>
              </w:rPr>
              <w:t>Consolidated total</w:t>
            </w:r>
            <w:r>
              <w:rPr>
                <w:sz w:val="20"/>
              </w:rPr>
              <w:t> </w:t>
            </w:r>
            <w:r>
              <w:rPr>
                <w:rFonts w:ascii="Times New Roman" w:hAnsi="Times New Roman"/>
                <w:sz w:val="20"/>
              </w:rPr>
              <w:t>(1):</w:t>
            </w:r>
          </w:p>
        </w:tc>
        <w:tc>
          <w:tcPr>
            <w:tcW w:w="131" w:type="dxa"/>
            <w:tcBorders/>
            <w:shd w:fill="CCEEFF" w:val="clear"/>
            <w:vAlign w:val="center"/>
          </w:tcPr>
          <w:p>
            <w:pPr>
              <w:pStyle w:val="TableContents"/>
              <w:bidi w:val="0"/>
              <w:spacing w:before="0" w:after="0"/>
              <w:jc w:val="left"/>
              <w:rPr/>
            </w:pPr>
            <w:r>
              <w:rPr/>
              <w:t> </w:t>
            </w:r>
          </w:p>
        </w:tc>
        <w:tc>
          <w:tcPr>
            <w:tcW w:w="732" w:type="dxa"/>
            <w:tcBorders/>
            <w:shd w:fill="CCEEFF" w:val="clear"/>
            <w:vAlign w:val="center"/>
          </w:tcPr>
          <w:p>
            <w:pPr>
              <w:pStyle w:val="TableContents"/>
              <w:bidi w:val="0"/>
              <w:spacing w:before="0" w:after="0"/>
              <w:jc w:val="right"/>
              <w:rPr/>
            </w:pPr>
            <w:r>
              <w:rPr/>
              <w:t> </w:t>
            </w:r>
          </w:p>
        </w:tc>
        <w:tc>
          <w:tcPr>
            <w:tcW w:w="62" w:type="dxa"/>
            <w:tcBorders/>
            <w:shd w:fill="CCEEFF" w:val="clear"/>
            <w:vAlign w:val="center"/>
          </w:tcPr>
          <w:p>
            <w:pPr>
              <w:pStyle w:val="TableContents"/>
              <w:bidi w:val="0"/>
              <w:spacing w:before="0" w:after="0"/>
              <w:jc w:val="left"/>
              <w:rPr/>
            </w:pPr>
            <w:r>
              <w:rPr/>
              <w:t> </w:t>
            </w:r>
          </w:p>
        </w:tc>
        <w:tc>
          <w:tcPr>
            <w:tcW w:w="131" w:type="dxa"/>
            <w:tcBorders/>
            <w:shd w:fill="CCEEFF" w:val="clear"/>
            <w:vAlign w:val="center"/>
          </w:tcPr>
          <w:p>
            <w:pPr>
              <w:pStyle w:val="TableContents"/>
              <w:bidi w:val="0"/>
              <w:spacing w:before="0" w:after="0"/>
              <w:jc w:val="left"/>
              <w:rPr/>
            </w:pPr>
            <w:r>
              <w:rPr/>
              <w:t> </w:t>
            </w:r>
          </w:p>
        </w:tc>
        <w:tc>
          <w:tcPr>
            <w:tcW w:w="732"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32"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0"/>
              <w:jc w:val="right"/>
              <w:rPr/>
            </w:pPr>
            <w:r>
              <w:rPr/>
              <w:t> </w:t>
            </w:r>
          </w:p>
        </w:tc>
        <w:tc>
          <w:tcPr>
            <w:tcW w:w="63" w:type="dxa"/>
            <w:tcBorders/>
            <w:shd w:fill="CCEEFF" w:val="clear"/>
            <w:vAlign w:val="center"/>
          </w:tcPr>
          <w:p>
            <w:pPr>
              <w:pStyle w:val="TableContents"/>
              <w:bidi w:val="0"/>
              <w:spacing w:before="0" w:after="0"/>
              <w:jc w:val="left"/>
              <w:rPr/>
            </w:pPr>
            <w:r>
              <w:rPr/>
              <w:t> </w:t>
            </w:r>
          </w:p>
        </w:tc>
        <w:tc>
          <w:tcPr>
            <w:tcW w:w="132" w:type="dxa"/>
            <w:tcBorders/>
            <w:shd w:fill="CCEEFF" w:val="clear"/>
            <w:vAlign w:val="center"/>
          </w:tcPr>
          <w:p>
            <w:pPr>
              <w:pStyle w:val="TableContents"/>
              <w:bidi w:val="0"/>
              <w:spacing w:before="0" w:after="0"/>
              <w:jc w:val="left"/>
              <w:rPr/>
            </w:pPr>
            <w:r>
              <w:rPr/>
              <w:t> </w:t>
            </w:r>
          </w:p>
        </w:tc>
        <w:tc>
          <w:tcPr>
            <w:tcW w:w="749" w:type="dxa"/>
            <w:tcBorders/>
            <w:shd w:fill="CCEEFF" w:val="clear"/>
            <w:vAlign w:val="center"/>
          </w:tcPr>
          <w:p>
            <w:pPr>
              <w:pStyle w:val="TableContents"/>
              <w:bidi w:val="0"/>
              <w:spacing w:before="0" w:after="0"/>
              <w:jc w:val="right"/>
              <w:rPr/>
            </w:pPr>
            <w:r>
              <w:rPr/>
              <w:t> </w:t>
            </w:r>
          </w:p>
        </w:tc>
      </w:tr>
      <w:tr>
        <w:trPr/>
        <w:tc>
          <w:tcPr>
            <w:tcW w:w="18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Dollars</w:t>
            </w:r>
          </w:p>
        </w:tc>
        <w:tc>
          <w:tcPr>
            <w:tcW w:w="131"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628,034</w:t>
            </w:r>
          </w:p>
        </w:tc>
        <w:tc>
          <w:tcPr>
            <w:tcW w:w="62" w:type="dxa"/>
            <w:tcBorders/>
            <w:shd w:fill="FFFFFF" w:val="clear"/>
            <w:vAlign w:val="center"/>
          </w:tcPr>
          <w:p>
            <w:pPr>
              <w:pStyle w:val="TableContents"/>
              <w:bidi w:val="0"/>
              <w:spacing w:before="0" w:after="0"/>
              <w:jc w:val="left"/>
              <w:rPr/>
            </w:pPr>
            <w:r>
              <w:rPr/>
              <w:t> </w:t>
            </w:r>
          </w:p>
        </w:tc>
        <w:tc>
          <w:tcPr>
            <w:tcW w:w="131"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619,636</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2,057,294</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1,969,522</w:t>
            </w:r>
          </w:p>
        </w:tc>
        <w:tc>
          <w:tcPr>
            <w:tcW w:w="60" w:type="dxa"/>
            <w:tcBorders/>
            <w:shd w:fill="FFFFFF" w:val="clear"/>
            <w:vAlign w:val="center"/>
          </w:tcPr>
          <w:p>
            <w:pPr>
              <w:pStyle w:val="TableContents"/>
              <w:bidi w:val="0"/>
              <w:spacing w:before="0" w:after="0"/>
              <w:jc w:val="left"/>
              <w:rPr/>
            </w:pPr>
            <w:r>
              <w:rPr/>
              <w:t> </w:t>
            </w:r>
          </w:p>
        </w:tc>
        <w:tc>
          <w:tcPr>
            <w:tcW w:w="13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1,073,351</w:t>
            </w:r>
          </w:p>
        </w:tc>
        <w:tc>
          <w:tcPr>
            <w:tcW w:w="63" w:type="dxa"/>
            <w:tcBorders/>
            <w:shd w:fill="FFFFFF" w:val="clear"/>
            <w:vAlign w:val="center"/>
          </w:tcPr>
          <w:p>
            <w:pPr>
              <w:pStyle w:val="TableContents"/>
              <w:bidi w:val="0"/>
              <w:spacing w:before="0" w:after="0"/>
              <w:jc w:val="left"/>
              <w:rPr/>
            </w:pPr>
            <w:r>
              <w:rPr/>
              <w:t> </w:t>
            </w:r>
          </w:p>
        </w:tc>
        <w:tc>
          <w:tcPr>
            <w:tcW w:w="13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838,812</w:t>
            </w:r>
          </w:p>
        </w:tc>
      </w:tr>
      <w:tr>
        <w:trPr/>
        <w:tc>
          <w:tcPr>
            <w:tcW w:w="18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Number of homes</w:t>
            </w:r>
          </w:p>
        </w:tc>
        <w:tc>
          <w:tcPr>
            <w:tcW w:w="131" w:type="dxa"/>
            <w:tcBorders/>
            <w:shd w:fill="CCEEFF" w:val="clear"/>
            <w:vAlign w:val="center"/>
          </w:tcPr>
          <w:p>
            <w:pPr>
              <w:pStyle w:val="TableContents"/>
              <w:bidi w:val="0"/>
              <w:spacing w:before="0" w:after="0"/>
              <w:jc w:val="left"/>
              <w:rPr/>
            </w:pPr>
            <w:r>
              <w:rPr/>
              <w:t> </w:t>
            </w:r>
          </w:p>
        </w:tc>
        <w:tc>
          <w:tcPr>
            <w:tcW w:w="73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1,178</w:t>
            </w:r>
          </w:p>
        </w:tc>
        <w:tc>
          <w:tcPr>
            <w:tcW w:w="62" w:type="dxa"/>
            <w:tcBorders/>
            <w:shd w:fill="CCEEFF" w:val="clear"/>
            <w:vAlign w:val="center"/>
          </w:tcPr>
          <w:p>
            <w:pPr>
              <w:pStyle w:val="TableContents"/>
              <w:bidi w:val="0"/>
              <w:spacing w:before="0" w:after="0"/>
              <w:jc w:val="left"/>
              <w:rPr/>
            </w:pPr>
            <w:r>
              <w:rPr/>
              <w:t> </w:t>
            </w:r>
          </w:p>
        </w:tc>
        <w:tc>
          <w:tcPr>
            <w:tcW w:w="131" w:type="dxa"/>
            <w:tcBorders/>
            <w:shd w:fill="CCEEFF" w:val="clear"/>
            <w:vAlign w:val="center"/>
          </w:tcPr>
          <w:p>
            <w:pPr>
              <w:pStyle w:val="TableContents"/>
              <w:bidi w:val="0"/>
              <w:spacing w:before="0" w:after="0"/>
              <w:jc w:val="left"/>
              <w:rPr/>
            </w:pPr>
            <w:r>
              <w:rPr/>
              <w:t> </w:t>
            </w:r>
          </w:p>
        </w:tc>
        <w:tc>
          <w:tcPr>
            <w:tcW w:w="73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1,211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3,851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3,814</w:t>
            </w:r>
          </w:p>
        </w:tc>
        <w:tc>
          <w:tcPr>
            <w:tcW w:w="60" w:type="dxa"/>
            <w:tcBorders/>
            <w:shd w:fill="CCEEFF" w:val="clear"/>
            <w:vAlign w:val="center"/>
          </w:tcPr>
          <w:p>
            <w:pPr>
              <w:pStyle w:val="TableContents"/>
              <w:bidi w:val="0"/>
              <w:spacing w:before="0" w:after="0"/>
              <w:jc w:val="left"/>
              <w:rPr/>
            </w:pPr>
            <w:r>
              <w:rPr/>
              <w:t> </w:t>
            </w:r>
          </w:p>
        </w:tc>
        <w:tc>
          <w:tcPr>
            <w:tcW w:w="132"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2,297</w:t>
            </w:r>
          </w:p>
        </w:tc>
        <w:tc>
          <w:tcPr>
            <w:tcW w:w="63" w:type="dxa"/>
            <w:tcBorders/>
            <w:shd w:fill="CCEEFF" w:val="clear"/>
            <w:vAlign w:val="center"/>
          </w:tcPr>
          <w:p>
            <w:pPr>
              <w:pStyle w:val="TableContents"/>
              <w:bidi w:val="0"/>
              <w:spacing w:before="0" w:after="0"/>
              <w:jc w:val="left"/>
              <w:rPr/>
            </w:pPr>
            <w:r>
              <w:rPr/>
              <w:t> </w:t>
            </w:r>
          </w:p>
        </w:tc>
        <w:tc>
          <w:tcPr>
            <w:tcW w:w="132" w:type="dxa"/>
            <w:tcBorders/>
            <w:shd w:fill="CCEEFF" w:val="clear"/>
            <w:vAlign w:val="center"/>
          </w:tcPr>
          <w:p>
            <w:pPr>
              <w:pStyle w:val="TableContents"/>
              <w:bidi w:val="0"/>
              <w:spacing w:before="0" w:after="0"/>
              <w:jc w:val="left"/>
              <w:rPr/>
            </w:pPr>
            <w:r>
              <w:rPr/>
              <w:t> </w:t>
            </w:r>
          </w:p>
        </w:tc>
        <w:tc>
          <w:tcPr>
            <w:tcW w:w="74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1,491</w:t>
            </w:r>
          </w:p>
        </w:tc>
      </w:tr>
    </w:tbl>
    <w:p>
      <w:pPr>
        <w:pStyle w:val="TextBody"/>
        <w:bidi w:val="0"/>
        <w:spacing w:lineRule="atLeast" w:line="240" w:before="0" w:after="0"/>
        <w:jc w:val="left"/>
        <w:rPr/>
      </w:pPr>
      <w:r>
        <w:rPr/>
        <w:t> </w:t>
      </w:r>
    </w:p>
    <w:p>
      <w:pPr>
        <w:pStyle w:val="TextBody"/>
        <w:bidi w:val="0"/>
        <w:spacing w:lineRule="atLeast" w:line="240" w:before="0" w:after="0"/>
        <w:jc w:val="left"/>
        <w:rPr/>
      </w:pPr>
      <w:r>
        <w:rPr>
          <w:i/>
          <w:sz w:val="20"/>
        </w:rPr>
        <w:t>(1)</w:t>
      </w:r>
      <w:r>
        <w:rPr/>
        <w:t xml:space="preserve"> </w:t>
      </w:r>
      <w:r>
        <w:rPr>
          <w:i/>
          <w:sz w:val="20"/>
        </w:rPr>
        <w:t>Excludes</w:t>
      </w:r>
      <w:r>
        <w:rPr/>
        <w:t> </w:t>
      </w:r>
      <w:r>
        <w:rPr>
          <w:i/>
          <w:sz w:val="20"/>
        </w:rPr>
        <w:t>eight consolidated homes and $5.0</w:t>
      </w:r>
      <w:r>
        <w:rPr/>
        <w:t> </w:t>
      </w:r>
      <w:r>
        <w:rPr>
          <w:i/>
          <w:sz w:val="20"/>
        </w:rPr>
        <w:t>million of contract backlog related to the assets and liabilities contributed from the West segment to a joint venture we entered into during the three months ended January 31, 2025.</w:t>
      </w:r>
      <w:r>
        <w:rPr/>
        <w:t> </w:t>
      </w:r>
    </w:p>
    <w:p>
      <w:pPr>
        <w:pStyle w:val="TextBody"/>
        <w:bidi w:val="0"/>
        <w:spacing w:lineRule="atLeast" w:line="240" w:before="200" w:after="0"/>
        <w:ind w:left="0" w:right="0" w:firstLine="900"/>
        <w:jc w:val="left"/>
        <w:rPr/>
      </w:pPr>
      <w:r>
        <w:rPr>
          <w:sz w:val="20"/>
        </w:rPr>
        <w:t xml:space="preserve">Domestic contract backlog dollars increased 5.1% as of </w:t>
      </w:r>
      <w:r>
        <w:rPr>
          <w:rFonts w:ascii="Times New Roman" w:hAnsi="Times New Roman"/>
          <w:sz w:val="20"/>
        </w:rPr>
        <w:t>July 31, 2026</w:t>
      </w:r>
      <w:r>
        <w:rPr/>
        <w:t xml:space="preserve"> </w:t>
      </w:r>
      <w:r>
        <w:rPr>
          <w:sz w:val="20"/>
        </w:rPr>
        <w:t xml:space="preserve">compared with </w:t>
      </w:r>
      <w:r>
        <w:rPr>
          <w:rFonts w:ascii="Times New Roman" w:hAnsi="Times New Roman"/>
          <w:sz w:val="20"/>
        </w:rPr>
        <w:t>July 31, 2025</w:t>
      </w:r>
      <w:r>
        <w:rPr>
          <w:sz w:val="20"/>
        </w:rPr>
        <w:t>, while the number of homes in domestic backlog increased 1.2%. These increases were driven by a modest decline in QMI home sales, offset by higher to-be-built home sales, which are generally more profitable.</w:t>
      </w:r>
    </w:p>
    <w:p>
      <w:pPr>
        <w:pStyle w:val="TextBody"/>
        <w:bidi w:val="0"/>
        <w:spacing w:lineRule="atLeast" w:line="240" w:before="200" w:after="0"/>
        <w:ind w:left="0" w:right="0" w:firstLine="900"/>
        <w:jc w:val="left"/>
        <w:rPr>
          <w:b/>
          <w:i/>
          <w:sz w:val="20"/>
        </w:rPr>
      </w:pPr>
      <w:r>
        <w:rPr>
          <w:b/>
          <w:i/>
          <w:sz w:val="20"/>
        </w:rPr>
        <w:t>Homebuilding: Results by Reportable Segment</w:t>
      </w:r>
    </w:p>
    <w:p>
      <w:pPr>
        <w:pStyle w:val="TextBody"/>
        <w:bidi w:val="0"/>
        <w:spacing w:lineRule="atLeast" w:line="240" w:before="200" w:after="200"/>
        <w:ind w:left="0" w:right="0" w:firstLine="900"/>
        <w:jc w:val="left"/>
        <w:rPr>
          <w:sz w:val="20"/>
        </w:rPr>
      </w:pPr>
      <w:r>
        <w:rPr>
          <w:sz w:val="20"/>
        </w:rPr>
        <w:t>Financial information relating to our homebuilding operations by reportable segment was as follows:</w:t>
      </w:r>
    </w:p>
    <w:tbl>
      <w:tblPr>
        <w:tblW w:w="7779" w:type="dxa"/>
        <w:jc w:val="left"/>
        <w:tblInd w:w="0" w:type="dxa"/>
        <w:tblLayout w:type="fixed"/>
        <w:tblCellMar>
          <w:top w:w="0" w:type="dxa"/>
          <w:left w:w="0" w:type="dxa"/>
          <w:bottom w:w="28" w:type="dxa"/>
          <w:right w:w="0" w:type="dxa"/>
        </w:tblCellMar>
      </w:tblPr>
      <w:tblGrid>
        <w:gridCol w:w="4010"/>
        <w:gridCol w:w="125"/>
        <w:gridCol w:w="695"/>
        <w:gridCol w:w="60"/>
        <w:gridCol w:w="125"/>
        <w:gridCol w:w="695"/>
        <w:gridCol w:w="60"/>
        <w:gridCol w:w="125"/>
        <w:gridCol w:w="710"/>
        <w:gridCol w:w="60"/>
        <w:gridCol w:w="60"/>
        <w:gridCol w:w="724"/>
        <w:gridCol w:w="330"/>
      </w:tblGrid>
      <w:tr>
        <w:trPr/>
        <w:tc>
          <w:tcPr>
            <w:tcW w:w="4010" w:type="dxa"/>
            <w:tcBorders>
              <w:bottom w:val="single" w:sz="8" w:space="0" w:color="000000"/>
            </w:tcBorders>
            <w:vAlign w:val="center"/>
          </w:tcPr>
          <w:p>
            <w:pPr>
              <w:pStyle w:val="TableContents"/>
              <w:bidi w:val="0"/>
              <w:spacing w:before="0" w:after="0"/>
              <w:jc w:val="left"/>
              <w:rPr/>
            </w:pPr>
            <w:r>
              <w:rPr/>
              <w:t> </w:t>
            </w:r>
          </w:p>
        </w:tc>
        <w:tc>
          <w:tcPr>
            <w:tcW w:w="3769" w:type="dxa"/>
            <w:gridSpan w:val="1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Three Months Ended July 31,</w:t>
            </w:r>
          </w:p>
        </w:tc>
      </w:tr>
      <w:tr>
        <w:trPr/>
        <w:tc>
          <w:tcPr>
            <w:tcW w:w="4010" w:type="dxa"/>
            <w:tcBorders>
              <w:top w:val="single" w:sz="8" w:space="0" w:color="000000"/>
              <w:bottom w:val="single" w:sz="8" w:space="0" w:color="000000"/>
            </w:tcBorders>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(Dollars in thousands, except average sales price)</w:t>
            </w:r>
          </w:p>
        </w:tc>
        <w:tc>
          <w:tcPr>
            <w:tcW w:w="820" w:type="dxa"/>
            <w:gridSpan w:val="2"/>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820" w:type="dxa"/>
            <w:gridSpan w:val="2"/>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835" w:type="dxa"/>
            <w:gridSpan w:val="2"/>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Variance</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054" w:type="dxa"/>
            <w:gridSpan w:val="2"/>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Variance %</w:t>
            </w:r>
          </w:p>
        </w:tc>
      </w:tr>
      <w:tr>
        <w:trPr/>
        <w:tc>
          <w:tcPr>
            <w:tcW w:w="4010"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Northeast</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69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69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71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724"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33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r>
      <w:tr>
        <w:trPr/>
        <w:tc>
          <w:tcPr>
            <w:tcW w:w="401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Homebuilding revenue</w:t>
            </w:r>
          </w:p>
        </w:tc>
        <w:tc>
          <w:tcPr>
            <w:tcW w:w="12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232,559</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289,180</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(56,621)</w:t>
            </w:r>
          </w:p>
        </w:tc>
        <w:tc>
          <w:tcPr>
            <w:tcW w:w="60"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right"/>
              <w:rPr/>
            </w:pPr>
            <w:r>
              <w:rPr/>
              <w:t> </w:t>
            </w:r>
          </w:p>
        </w:tc>
        <w:tc>
          <w:tcPr>
            <w:tcW w:w="724"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(19.6)</w:t>
            </w:r>
          </w:p>
        </w:tc>
        <w:tc>
          <w:tcPr>
            <w:tcW w:w="33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1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30,741</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47,322</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(16,581)</w:t>
            </w:r>
          </w:p>
        </w:tc>
        <w:tc>
          <w:tcPr>
            <w:tcW w:w="60" w:type="dxa"/>
            <w:tcBorders/>
            <w:shd w:fill="CCEEFF" w:val="clear"/>
            <w:tcMar>
              <w:bottom w:w="0" w:type="dxa"/>
            </w:tcM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right"/>
              <w:rPr/>
            </w:pPr>
            <w:r>
              <w:rPr/>
              <w:t> </w:t>
            </w:r>
          </w:p>
        </w:tc>
        <w:tc>
          <w:tcPr>
            <w:tcW w:w="724"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(35.0)</w:t>
            </w:r>
          </w:p>
        </w:tc>
        <w:tc>
          <w:tcPr>
            <w:tcW w:w="33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1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Homes delivered</w:t>
            </w:r>
          </w:p>
        </w:tc>
        <w:tc>
          <w:tcPr>
            <w:tcW w:w="125" w:type="dxa"/>
            <w:tcBorders/>
            <w:shd w:fill="FFFFFF" w:val="clear"/>
            <w:tcMar>
              <w:bottom w:w="0" w:type="dxa"/>
            </w:tcMar>
            <w:vAlign w:val="center"/>
          </w:tcPr>
          <w:p>
            <w:pPr>
              <w:pStyle w:val="TableContents"/>
              <w:bidi w:val="0"/>
              <w:spacing w:before="0" w:after="0"/>
              <w:jc w:val="left"/>
              <w:rPr/>
            </w:pPr>
            <w:r>
              <w:rPr/>
              <w:t> </w:t>
            </w:r>
          </w:p>
        </w:tc>
        <w:tc>
          <w:tcPr>
            <w:tcW w:w="69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423</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69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479</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71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(56)</w:t>
            </w:r>
          </w:p>
        </w:tc>
        <w:tc>
          <w:tcPr>
            <w:tcW w:w="60"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right"/>
              <w:rPr/>
            </w:pPr>
            <w:r>
              <w:rPr/>
              <w:t> </w:t>
            </w:r>
          </w:p>
        </w:tc>
        <w:tc>
          <w:tcPr>
            <w:tcW w:w="724"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(11.7)</w:t>
            </w:r>
          </w:p>
        </w:tc>
        <w:tc>
          <w:tcPr>
            <w:tcW w:w="33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1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Average sales price</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549,121</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601,269</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(52,148)</w:t>
            </w:r>
          </w:p>
        </w:tc>
        <w:tc>
          <w:tcPr>
            <w:tcW w:w="60" w:type="dxa"/>
            <w:tcBorders/>
            <w:shd w:fill="CCEEFF" w:val="clear"/>
            <w:tcMar>
              <w:bottom w:w="0" w:type="dxa"/>
            </w:tcM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right"/>
              <w:rPr/>
            </w:pPr>
            <w:r>
              <w:rPr/>
              <w:t> </w:t>
            </w:r>
          </w:p>
        </w:tc>
        <w:tc>
          <w:tcPr>
            <w:tcW w:w="724"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(8.7)</w:t>
            </w:r>
          </w:p>
        </w:tc>
        <w:tc>
          <w:tcPr>
            <w:tcW w:w="33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1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695"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695"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710"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right"/>
              <w:rPr/>
            </w:pPr>
            <w:r>
              <w:rPr/>
              <w:t> </w:t>
            </w:r>
          </w:p>
        </w:tc>
        <w:tc>
          <w:tcPr>
            <w:tcW w:w="724" w:type="dxa"/>
            <w:tcBorders/>
            <w:shd w:fill="FFFFFF" w:val="clear"/>
            <w:tcMar>
              <w:bottom w:w="0" w:type="dxa"/>
            </w:tcMar>
            <w:vAlign w:val="center"/>
          </w:tcPr>
          <w:p>
            <w:pPr>
              <w:pStyle w:val="TableContents"/>
              <w:bidi w:val="0"/>
              <w:spacing w:before="0" w:after="0"/>
              <w:jc w:val="right"/>
              <w:rPr/>
            </w:pPr>
            <w:r>
              <w:rPr/>
              <w:t> </w:t>
            </w:r>
          </w:p>
        </w:tc>
        <w:tc>
          <w:tcPr>
            <w:tcW w:w="330" w:type="dxa"/>
            <w:tcBorders/>
            <w:shd w:fill="FFFFFF" w:val="clear"/>
            <w:tcMar>
              <w:bottom w:w="0" w:type="dxa"/>
            </w:tcMar>
            <w:vAlign w:val="center"/>
          </w:tcPr>
          <w:p>
            <w:pPr>
              <w:pStyle w:val="TableContents"/>
              <w:bidi w:val="0"/>
              <w:spacing w:before="0" w:after="0"/>
              <w:jc w:val="left"/>
              <w:rPr/>
            </w:pPr>
            <w:r>
              <w:rPr/>
              <w:t> </w:t>
            </w:r>
          </w:p>
        </w:tc>
      </w:tr>
      <w:tr>
        <w:trPr/>
        <w:tc>
          <w:tcPr>
            <w:tcW w:w="4010" w:type="dxa"/>
            <w:tcBorders/>
            <w:shd w:fill="CCEEFF" w:val="clear"/>
            <w:tcMar>
              <w:bottom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Southeast</w:t>
            </w:r>
          </w:p>
        </w:tc>
        <w:tc>
          <w:tcPr>
            <w:tcW w:w="125" w:type="dxa"/>
            <w:tcBorders/>
            <w:shd w:fill="CCEEFF" w:val="clear"/>
            <w:tcMar>
              <w:bottom w:w="0" w:type="dxa"/>
            </w:tcMar>
            <w:vAlign w:val="center"/>
          </w:tcPr>
          <w:p>
            <w:pPr>
              <w:pStyle w:val="TableContents"/>
              <w:bidi w:val="0"/>
              <w:spacing w:before="0" w:after="0"/>
              <w:jc w:val="left"/>
              <w:rPr/>
            </w:pPr>
            <w:r>
              <w:rPr/>
              <w:t> </w:t>
            </w:r>
          </w:p>
        </w:tc>
        <w:tc>
          <w:tcPr>
            <w:tcW w:w="695" w:type="dxa"/>
            <w:tcBorders/>
            <w:shd w:fill="CCEEFF" w:val="clear"/>
            <w:tcMar>
              <w:bottom w:w="0" w:type="dxa"/>
            </w:tcM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695" w:type="dxa"/>
            <w:tcBorders/>
            <w:shd w:fill="CCEEFF" w:val="clear"/>
            <w:tcMar>
              <w:bottom w:w="0" w:type="dxa"/>
            </w:tcM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710" w:type="dxa"/>
            <w:tcBorders/>
            <w:shd w:fill="CCEEFF" w:val="clear"/>
            <w:tcMar>
              <w:bottom w:w="0" w:type="dxa"/>
            </w:tcM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right"/>
              <w:rPr/>
            </w:pPr>
            <w:r>
              <w:rPr/>
              <w:t> </w:t>
            </w:r>
          </w:p>
        </w:tc>
        <w:tc>
          <w:tcPr>
            <w:tcW w:w="724" w:type="dxa"/>
            <w:tcBorders/>
            <w:shd w:fill="CCEEFF" w:val="clear"/>
            <w:tcMar>
              <w:bottom w:w="0" w:type="dxa"/>
            </w:tcMar>
            <w:vAlign w:val="center"/>
          </w:tcPr>
          <w:p>
            <w:pPr>
              <w:pStyle w:val="TableContents"/>
              <w:bidi w:val="0"/>
              <w:spacing w:before="0" w:after="0"/>
              <w:jc w:val="right"/>
              <w:rPr/>
            </w:pPr>
            <w:r>
              <w:rPr/>
              <w:t> </w:t>
            </w:r>
          </w:p>
        </w:tc>
        <w:tc>
          <w:tcPr>
            <w:tcW w:w="330" w:type="dxa"/>
            <w:tcBorders/>
            <w:shd w:fill="CCEEFF" w:val="clear"/>
            <w:tcMar>
              <w:bottom w:w="0" w:type="dxa"/>
            </w:tcMar>
            <w:vAlign w:val="center"/>
          </w:tcPr>
          <w:p>
            <w:pPr>
              <w:pStyle w:val="TableContents"/>
              <w:bidi w:val="0"/>
              <w:spacing w:before="0" w:after="0"/>
              <w:jc w:val="left"/>
              <w:rPr/>
            </w:pPr>
            <w:r>
              <w:rPr/>
              <w:t> </w:t>
            </w:r>
          </w:p>
        </w:tc>
      </w:tr>
      <w:tr>
        <w:trPr/>
        <w:tc>
          <w:tcPr>
            <w:tcW w:w="401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Homebuilding revenue</w:t>
            </w:r>
          </w:p>
        </w:tc>
        <w:tc>
          <w:tcPr>
            <w:tcW w:w="12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93,345</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104,747</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(11,402)</w:t>
            </w:r>
          </w:p>
        </w:tc>
        <w:tc>
          <w:tcPr>
            <w:tcW w:w="60"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right"/>
              <w:rPr/>
            </w:pPr>
            <w:r>
              <w:rPr/>
              <w:t> </w:t>
            </w:r>
          </w:p>
        </w:tc>
        <w:tc>
          <w:tcPr>
            <w:tcW w:w="724"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(10.9)</w:t>
            </w:r>
          </w:p>
        </w:tc>
        <w:tc>
          <w:tcPr>
            <w:tcW w:w="33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1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213</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7,745</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(7,532)</w:t>
            </w:r>
          </w:p>
        </w:tc>
        <w:tc>
          <w:tcPr>
            <w:tcW w:w="60" w:type="dxa"/>
            <w:tcBorders/>
            <w:shd w:fill="CCEEFF" w:val="clear"/>
            <w:tcMar>
              <w:bottom w:w="0" w:type="dxa"/>
            </w:tcM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right"/>
              <w:rPr/>
            </w:pPr>
            <w:r>
              <w:rPr/>
              <w:t> </w:t>
            </w:r>
          </w:p>
        </w:tc>
        <w:tc>
          <w:tcPr>
            <w:tcW w:w="724"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(97.2)</w:t>
            </w:r>
          </w:p>
        </w:tc>
        <w:tc>
          <w:tcPr>
            <w:tcW w:w="33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1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Homes delivered</w:t>
            </w:r>
          </w:p>
        </w:tc>
        <w:tc>
          <w:tcPr>
            <w:tcW w:w="125" w:type="dxa"/>
            <w:tcBorders/>
            <w:shd w:fill="FFFFFF" w:val="clear"/>
            <w:tcMar>
              <w:bottom w:w="0" w:type="dxa"/>
            </w:tcMar>
            <w:vAlign w:val="center"/>
          </w:tcPr>
          <w:p>
            <w:pPr>
              <w:pStyle w:val="TableContents"/>
              <w:bidi w:val="0"/>
              <w:spacing w:before="0" w:after="0"/>
              <w:jc w:val="left"/>
              <w:rPr/>
            </w:pPr>
            <w:r>
              <w:rPr/>
              <w:t> </w:t>
            </w:r>
          </w:p>
        </w:tc>
        <w:tc>
          <w:tcPr>
            <w:tcW w:w="69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178</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69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195</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71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w:t>
            </w:r>
          </w:p>
        </w:tc>
        <w:tc>
          <w:tcPr>
            <w:tcW w:w="60"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right"/>
              <w:rPr/>
            </w:pPr>
            <w:r>
              <w:rPr/>
              <w:t> </w:t>
            </w:r>
          </w:p>
        </w:tc>
        <w:tc>
          <w:tcPr>
            <w:tcW w:w="724"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(8.7)</w:t>
            </w:r>
          </w:p>
        </w:tc>
        <w:tc>
          <w:tcPr>
            <w:tcW w:w="33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1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Average sales price</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522,994</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535,862</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(12,868)</w:t>
            </w:r>
          </w:p>
        </w:tc>
        <w:tc>
          <w:tcPr>
            <w:tcW w:w="60" w:type="dxa"/>
            <w:tcBorders/>
            <w:shd w:fill="CCEEFF" w:val="clear"/>
            <w:tcMar>
              <w:bottom w:w="0" w:type="dxa"/>
            </w:tcM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right"/>
              <w:rPr/>
            </w:pPr>
            <w:r>
              <w:rPr/>
              <w:t> </w:t>
            </w:r>
          </w:p>
        </w:tc>
        <w:tc>
          <w:tcPr>
            <w:tcW w:w="724"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w:t>
            </w:r>
          </w:p>
        </w:tc>
        <w:tc>
          <w:tcPr>
            <w:tcW w:w="33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1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695"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695"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710"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right"/>
              <w:rPr/>
            </w:pPr>
            <w:r>
              <w:rPr/>
              <w:t> </w:t>
            </w:r>
          </w:p>
        </w:tc>
        <w:tc>
          <w:tcPr>
            <w:tcW w:w="724" w:type="dxa"/>
            <w:tcBorders/>
            <w:shd w:fill="FFFFFF" w:val="clear"/>
            <w:tcMar>
              <w:bottom w:w="0" w:type="dxa"/>
            </w:tcMar>
            <w:vAlign w:val="center"/>
          </w:tcPr>
          <w:p>
            <w:pPr>
              <w:pStyle w:val="TableContents"/>
              <w:bidi w:val="0"/>
              <w:spacing w:before="0" w:after="0"/>
              <w:jc w:val="right"/>
              <w:rPr/>
            </w:pPr>
            <w:r>
              <w:rPr/>
              <w:t> </w:t>
            </w:r>
          </w:p>
        </w:tc>
        <w:tc>
          <w:tcPr>
            <w:tcW w:w="330" w:type="dxa"/>
            <w:tcBorders/>
            <w:shd w:fill="FFFFFF" w:val="clear"/>
            <w:tcMar>
              <w:bottom w:w="0" w:type="dxa"/>
            </w:tcMar>
            <w:vAlign w:val="center"/>
          </w:tcPr>
          <w:p>
            <w:pPr>
              <w:pStyle w:val="TableContents"/>
              <w:bidi w:val="0"/>
              <w:spacing w:before="0" w:after="0"/>
              <w:jc w:val="left"/>
              <w:rPr/>
            </w:pPr>
            <w:r>
              <w:rPr/>
              <w:t> </w:t>
            </w:r>
          </w:p>
        </w:tc>
      </w:tr>
      <w:tr>
        <w:trPr/>
        <w:tc>
          <w:tcPr>
            <w:tcW w:w="4010" w:type="dxa"/>
            <w:tcBorders/>
            <w:shd w:fill="CCEEFF" w:val="clear"/>
            <w:tcMar>
              <w:bottom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West</w:t>
            </w:r>
          </w:p>
        </w:tc>
        <w:tc>
          <w:tcPr>
            <w:tcW w:w="125" w:type="dxa"/>
            <w:tcBorders/>
            <w:shd w:fill="CCEEFF" w:val="clear"/>
            <w:tcMar>
              <w:bottom w:w="0" w:type="dxa"/>
            </w:tcMar>
            <w:vAlign w:val="center"/>
          </w:tcPr>
          <w:p>
            <w:pPr>
              <w:pStyle w:val="TableContents"/>
              <w:bidi w:val="0"/>
              <w:spacing w:before="0" w:after="0"/>
              <w:jc w:val="left"/>
              <w:rPr/>
            </w:pPr>
            <w:r>
              <w:rPr/>
              <w:t> </w:t>
            </w:r>
          </w:p>
        </w:tc>
        <w:tc>
          <w:tcPr>
            <w:tcW w:w="695" w:type="dxa"/>
            <w:tcBorders/>
            <w:shd w:fill="CCEEFF" w:val="clear"/>
            <w:tcMar>
              <w:bottom w:w="0" w:type="dxa"/>
            </w:tcM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695" w:type="dxa"/>
            <w:tcBorders/>
            <w:shd w:fill="CCEEFF" w:val="clear"/>
            <w:tcMar>
              <w:bottom w:w="0" w:type="dxa"/>
            </w:tcM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710" w:type="dxa"/>
            <w:tcBorders/>
            <w:shd w:fill="CCEEFF" w:val="clear"/>
            <w:tcMar>
              <w:bottom w:w="0" w:type="dxa"/>
            </w:tcM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right"/>
              <w:rPr/>
            </w:pPr>
            <w:r>
              <w:rPr/>
              <w:t> </w:t>
            </w:r>
          </w:p>
        </w:tc>
        <w:tc>
          <w:tcPr>
            <w:tcW w:w="724" w:type="dxa"/>
            <w:tcBorders/>
            <w:shd w:fill="CCEEFF" w:val="clear"/>
            <w:tcMar>
              <w:bottom w:w="0" w:type="dxa"/>
            </w:tcMar>
            <w:vAlign w:val="center"/>
          </w:tcPr>
          <w:p>
            <w:pPr>
              <w:pStyle w:val="TableContents"/>
              <w:bidi w:val="0"/>
              <w:spacing w:before="0" w:after="0"/>
              <w:jc w:val="right"/>
              <w:rPr/>
            </w:pPr>
            <w:r>
              <w:rPr/>
              <w:t> </w:t>
            </w:r>
          </w:p>
        </w:tc>
        <w:tc>
          <w:tcPr>
            <w:tcW w:w="330" w:type="dxa"/>
            <w:tcBorders/>
            <w:shd w:fill="CCEEFF" w:val="clear"/>
            <w:tcMar>
              <w:bottom w:w="0" w:type="dxa"/>
            </w:tcMar>
            <w:vAlign w:val="center"/>
          </w:tcPr>
          <w:p>
            <w:pPr>
              <w:pStyle w:val="TableContents"/>
              <w:bidi w:val="0"/>
              <w:spacing w:before="0" w:after="0"/>
              <w:jc w:val="left"/>
              <w:rPr/>
            </w:pPr>
            <w:r>
              <w:rPr/>
              <w:t> </w:t>
            </w:r>
          </w:p>
        </w:tc>
      </w:tr>
      <w:tr>
        <w:trPr/>
        <w:tc>
          <w:tcPr>
            <w:tcW w:w="401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Homebuilding revenue</w:t>
            </w:r>
          </w:p>
        </w:tc>
        <w:tc>
          <w:tcPr>
            <w:tcW w:w="12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353,975</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377,185</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(23,210)</w:t>
            </w:r>
          </w:p>
        </w:tc>
        <w:tc>
          <w:tcPr>
            <w:tcW w:w="60"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right"/>
              <w:rPr/>
            </w:pPr>
            <w:r>
              <w:rPr/>
              <w:t> </w:t>
            </w:r>
          </w:p>
        </w:tc>
        <w:tc>
          <w:tcPr>
            <w:tcW w:w="724"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(6.2)</w:t>
            </w:r>
          </w:p>
        </w:tc>
        <w:tc>
          <w:tcPr>
            <w:tcW w:w="33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1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(5,304)</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(3,179)</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(2,125)</w:t>
            </w:r>
          </w:p>
        </w:tc>
        <w:tc>
          <w:tcPr>
            <w:tcW w:w="60" w:type="dxa"/>
            <w:tcBorders/>
            <w:shd w:fill="CCEEFF" w:val="clear"/>
            <w:tcMar>
              <w:bottom w:w="0" w:type="dxa"/>
            </w:tcM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right"/>
              <w:rPr/>
            </w:pPr>
            <w:r>
              <w:rPr/>
              <w:t> </w:t>
            </w:r>
          </w:p>
        </w:tc>
        <w:tc>
          <w:tcPr>
            <w:tcW w:w="724"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(66.8)</w:t>
            </w:r>
          </w:p>
        </w:tc>
        <w:tc>
          <w:tcPr>
            <w:tcW w:w="33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1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Homes delivered</w:t>
            </w:r>
          </w:p>
        </w:tc>
        <w:tc>
          <w:tcPr>
            <w:tcW w:w="125" w:type="dxa"/>
            <w:tcBorders/>
            <w:shd w:fill="FFFFFF" w:val="clear"/>
            <w:tcMar>
              <w:bottom w:w="0" w:type="dxa"/>
            </w:tcMar>
            <w:vAlign w:val="center"/>
          </w:tcPr>
          <w:p>
            <w:pPr>
              <w:pStyle w:val="TableContents"/>
              <w:bidi w:val="0"/>
              <w:spacing w:before="0" w:after="0"/>
              <w:jc w:val="left"/>
              <w:rPr/>
            </w:pPr>
            <w:r>
              <w:rPr/>
              <w:t> </w:t>
            </w:r>
          </w:p>
        </w:tc>
        <w:tc>
          <w:tcPr>
            <w:tcW w:w="69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658</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69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757</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71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(99)</w:t>
            </w:r>
          </w:p>
        </w:tc>
        <w:tc>
          <w:tcPr>
            <w:tcW w:w="60"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right"/>
              <w:rPr/>
            </w:pPr>
            <w:r>
              <w:rPr/>
              <w:t> </w:t>
            </w:r>
          </w:p>
        </w:tc>
        <w:tc>
          <w:tcPr>
            <w:tcW w:w="724"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(13.1)</w:t>
            </w:r>
          </w:p>
        </w:tc>
        <w:tc>
          <w:tcPr>
            <w:tcW w:w="33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1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Average sales price</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537,494</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497,423</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40,071</w:t>
            </w:r>
          </w:p>
        </w:tc>
        <w:tc>
          <w:tcPr>
            <w:tcW w:w="60" w:type="dxa"/>
            <w:tcBorders/>
            <w:shd w:fill="CCEEFF" w:val="clear"/>
            <w:tcMar>
              <w:bottom w:w="0" w:type="dxa"/>
            </w:tcM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right"/>
              <w:rPr/>
            </w:pPr>
            <w:r>
              <w:rPr/>
              <w:t> </w:t>
            </w:r>
          </w:p>
        </w:tc>
        <w:tc>
          <w:tcPr>
            <w:tcW w:w="724"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8.1</w:t>
            </w:r>
          </w:p>
        </w:tc>
        <w:tc>
          <w:tcPr>
            <w:tcW w:w="33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pPr>
      <w:hyperlink w:anchor="TOC_TableofContent">
        <w:r>
          <w:rPr>
            <w:rStyle w:val="InternetLink"/>
            <w:strike w:val="false"/>
            <w:dstrike w:val="false"/>
            <w:color w:val="0000FF"/>
            <w:sz w:val="20"/>
            <w:u w:val="single"/>
            <w:effect w:val="none"/>
          </w:rPr>
          <w:t>Table of Contents</w:t>
        </w:r>
      </w:hyperlink>
    </w:p>
    <w:p>
      <w:pPr>
        <w:pStyle w:val="TextBody"/>
        <w:bidi w:val="0"/>
        <w:spacing w:lineRule="atLeast" w:line="240" w:before="0" w:after="0"/>
        <w:jc w:val="left"/>
        <w:rPr/>
      </w:pPr>
      <w:r>
        <w:rPr/>
        <w:t> </w:t>
      </w:r>
    </w:p>
    <w:tbl>
      <w:tblPr>
        <w:tblW w:w="7944" w:type="dxa"/>
        <w:jc w:val="left"/>
        <w:tblInd w:w="0" w:type="dxa"/>
        <w:tblLayout w:type="fixed"/>
        <w:tblCellMar>
          <w:top w:w="0" w:type="dxa"/>
          <w:left w:w="0" w:type="dxa"/>
          <w:bottom w:w="28" w:type="dxa"/>
          <w:right w:w="0" w:type="dxa"/>
        </w:tblCellMar>
      </w:tblPr>
      <w:tblGrid>
        <w:gridCol w:w="4010"/>
        <w:gridCol w:w="125"/>
        <w:gridCol w:w="710"/>
        <w:gridCol w:w="60"/>
        <w:gridCol w:w="125"/>
        <w:gridCol w:w="845"/>
        <w:gridCol w:w="60"/>
        <w:gridCol w:w="125"/>
        <w:gridCol w:w="710"/>
        <w:gridCol w:w="60"/>
        <w:gridCol w:w="60"/>
        <w:gridCol w:w="774"/>
        <w:gridCol w:w="280"/>
      </w:tblGrid>
      <w:tr>
        <w:trPr/>
        <w:tc>
          <w:tcPr>
            <w:tcW w:w="4010" w:type="dxa"/>
            <w:tcBorders>
              <w:bottom w:val="single" w:sz="8" w:space="0" w:color="000000"/>
            </w:tcBorders>
            <w:vAlign w:val="center"/>
          </w:tcPr>
          <w:p>
            <w:pPr>
              <w:pStyle w:val="TableContents"/>
              <w:bidi w:val="0"/>
              <w:spacing w:before="0" w:after="0"/>
              <w:jc w:val="left"/>
              <w:rPr/>
            </w:pPr>
            <w:r>
              <w:rPr/>
              <w:t> </w:t>
            </w:r>
          </w:p>
        </w:tc>
        <w:tc>
          <w:tcPr>
            <w:tcW w:w="3934" w:type="dxa"/>
            <w:gridSpan w:val="1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Nine Months Ended July 31,</w:t>
            </w:r>
          </w:p>
        </w:tc>
      </w:tr>
      <w:tr>
        <w:trPr/>
        <w:tc>
          <w:tcPr>
            <w:tcW w:w="4010" w:type="dxa"/>
            <w:tcBorders>
              <w:top w:val="single" w:sz="8" w:space="0" w:color="000000"/>
              <w:bottom w:val="single" w:sz="8" w:space="0" w:color="000000"/>
            </w:tcBorders>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(Dollars in thousands, except average sales price)</w:t>
            </w:r>
          </w:p>
        </w:tc>
        <w:tc>
          <w:tcPr>
            <w:tcW w:w="835" w:type="dxa"/>
            <w:gridSpan w:val="2"/>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970" w:type="dxa"/>
            <w:gridSpan w:val="2"/>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835" w:type="dxa"/>
            <w:gridSpan w:val="2"/>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Variance</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60"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w:t>
            </w:r>
          </w:p>
        </w:tc>
        <w:tc>
          <w:tcPr>
            <w:tcW w:w="1054" w:type="dxa"/>
            <w:gridSpan w:val="2"/>
            <w:tcBorders>
              <w:top w:val="single" w:sz="8" w:space="0" w:color="000000"/>
              <w:bottom w:val="single" w:sz="8" w:space="0" w:color="000000"/>
            </w:tcBorders>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Variance %</w:t>
            </w:r>
          </w:p>
        </w:tc>
      </w:tr>
      <w:tr>
        <w:trPr/>
        <w:tc>
          <w:tcPr>
            <w:tcW w:w="4010"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Northeast</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71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84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71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774"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28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r>
      <w:tr>
        <w:trPr/>
        <w:tc>
          <w:tcPr>
            <w:tcW w:w="401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Homebuilding revenue </w:t>
            </w:r>
          </w:p>
        </w:tc>
        <w:tc>
          <w:tcPr>
            <w:tcW w:w="12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759,239</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830,209</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(70,970)</w:t>
            </w:r>
          </w:p>
        </w:tc>
        <w:tc>
          <w:tcPr>
            <w:tcW w:w="60"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774"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(8.5)</w:t>
            </w:r>
          </w:p>
        </w:tc>
        <w:tc>
          <w:tcPr>
            <w:tcW w:w="28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1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129,514</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127,115</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2,399</w:t>
            </w:r>
          </w:p>
        </w:tc>
        <w:tc>
          <w:tcPr>
            <w:tcW w:w="60"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774"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28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1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Homes delivered</w:t>
            </w:r>
          </w:p>
        </w:tc>
        <w:tc>
          <w:tcPr>
            <w:tcW w:w="125" w:type="dxa"/>
            <w:tcBorders/>
            <w:shd w:fill="FFFFFF" w:val="clear"/>
            <w:tcMar>
              <w:bottom w:w="0" w:type="dxa"/>
            </w:tcMar>
            <w:vAlign w:val="center"/>
          </w:tcPr>
          <w:p>
            <w:pPr>
              <w:pStyle w:val="TableContents"/>
              <w:bidi w:val="0"/>
              <w:spacing w:before="0" w:after="0"/>
              <w:jc w:val="left"/>
              <w:rPr/>
            </w:pPr>
            <w:r>
              <w:rPr/>
              <w:t> </w:t>
            </w:r>
          </w:p>
        </w:tc>
        <w:tc>
          <w:tcPr>
            <w:tcW w:w="71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1,226</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84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1,374</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71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(148)</w:t>
            </w:r>
          </w:p>
        </w:tc>
        <w:tc>
          <w:tcPr>
            <w:tcW w:w="60"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774"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(10.8)</w:t>
            </w:r>
          </w:p>
        </w:tc>
        <w:tc>
          <w:tcPr>
            <w:tcW w:w="28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1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Average sales price</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561,822</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601,216</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(39,394)</w:t>
            </w:r>
          </w:p>
        </w:tc>
        <w:tc>
          <w:tcPr>
            <w:tcW w:w="60"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774"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(6.6)</w:t>
            </w:r>
          </w:p>
        </w:tc>
        <w:tc>
          <w:tcPr>
            <w:tcW w:w="28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1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710"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845"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710"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774" w:type="dxa"/>
            <w:tcBorders/>
            <w:shd w:fill="FFFFFF" w:val="clear"/>
            <w:tcMar>
              <w:bottom w:w="0" w:type="dxa"/>
            </w:tcMar>
            <w:vAlign w:val="center"/>
          </w:tcPr>
          <w:p>
            <w:pPr>
              <w:pStyle w:val="TableContents"/>
              <w:bidi w:val="0"/>
              <w:spacing w:before="0" w:after="0"/>
              <w:jc w:val="right"/>
              <w:rPr/>
            </w:pPr>
            <w:r>
              <w:rPr/>
              <w:t> </w:t>
            </w:r>
          </w:p>
        </w:tc>
        <w:tc>
          <w:tcPr>
            <w:tcW w:w="280" w:type="dxa"/>
            <w:tcBorders/>
            <w:shd w:fill="FFFFFF" w:val="clear"/>
            <w:tcMar>
              <w:bottom w:w="0" w:type="dxa"/>
            </w:tcMar>
            <w:vAlign w:val="center"/>
          </w:tcPr>
          <w:p>
            <w:pPr>
              <w:pStyle w:val="TableContents"/>
              <w:bidi w:val="0"/>
              <w:spacing w:before="0" w:after="0"/>
              <w:jc w:val="left"/>
              <w:rPr/>
            </w:pPr>
            <w:r>
              <w:rPr/>
              <w:t> </w:t>
            </w:r>
          </w:p>
        </w:tc>
      </w:tr>
      <w:tr>
        <w:trPr/>
        <w:tc>
          <w:tcPr>
            <w:tcW w:w="4010" w:type="dxa"/>
            <w:tcBorders/>
            <w:shd w:fill="CCEEFF" w:val="clear"/>
            <w:tcMar>
              <w:bottom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Southeast</w:t>
            </w:r>
          </w:p>
        </w:tc>
        <w:tc>
          <w:tcPr>
            <w:tcW w:w="125" w:type="dxa"/>
            <w:tcBorders/>
            <w:shd w:fill="CCEEFF" w:val="clear"/>
            <w:tcMar>
              <w:bottom w:w="0" w:type="dxa"/>
            </w:tcMar>
            <w:vAlign w:val="center"/>
          </w:tcPr>
          <w:p>
            <w:pPr>
              <w:pStyle w:val="TableContents"/>
              <w:bidi w:val="0"/>
              <w:spacing w:before="0" w:after="0"/>
              <w:jc w:val="left"/>
              <w:rPr/>
            </w:pPr>
            <w:r>
              <w:rPr/>
              <w:t> </w:t>
            </w:r>
          </w:p>
        </w:tc>
        <w:tc>
          <w:tcPr>
            <w:tcW w:w="710" w:type="dxa"/>
            <w:tcBorders/>
            <w:shd w:fill="CCEEFF" w:val="clear"/>
            <w:tcMar>
              <w:bottom w:w="0" w:type="dxa"/>
            </w:tcM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845" w:type="dxa"/>
            <w:tcBorders/>
            <w:shd w:fill="CCEEFF" w:val="clear"/>
            <w:tcMar>
              <w:bottom w:w="0" w:type="dxa"/>
            </w:tcM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710" w:type="dxa"/>
            <w:tcBorders/>
            <w:shd w:fill="CCEEFF" w:val="clear"/>
            <w:tcMar>
              <w:bottom w:w="0" w:type="dxa"/>
            </w:tcM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774" w:type="dxa"/>
            <w:tcBorders/>
            <w:shd w:fill="CCEEFF" w:val="clear"/>
            <w:tcMar>
              <w:bottom w:w="0" w:type="dxa"/>
            </w:tcMar>
            <w:vAlign w:val="center"/>
          </w:tcPr>
          <w:p>
            <w:pPr>
              <w:pStyle w:val="TableContents"/>
              <w:bidi w:val="0"/>
              <w:spacing w:before="0" w:after="0"/>
              <w:jc w:val="right"/>
              <w:rPr/>
            </w:pPr>
            <w:r>
              <w:rPr/>
              <w:t> </w:t>
            </w:r>
          </w:p>
        </w:tc>
        <w:tc>
          <w:tcPr>
            <w:tcW w:w="280" w:type="dxa"/>
            <w:tcBorders/>
            <w:shd w:fill="CCEEFF" w:val="clear"/>
            <w:tcMar>
              <w:bottom w:w="0" w:type="dxa"/>
            </w:tcMar>
            <w:vAlign w:val="center"/>
          </w:tcPr>
          <w:p>
            <w:pPr>
              <w:pStyle w:val="TableContents"/>
              <w:bidi w:val="0"/>
              <w:spacing w:before="0" w:after="0"/>
              <w:jc w:val="left"/>
              <w:rPr/>
            </w:pPr>
            <w:r>
              <w:rPr/>
              <w:t> </w:t>
            </w:r>
          </w:p>
        </w:tc>
      </w:tr>
      <w:tr>
        <w:trPr/>
        <w:tc>
          <w:tcPr>
            <w:tcW w:w="401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Homebuilding revenue</w:t>
            </w:r>
          </w:p>
        </w:tc>
        <w:tc>
          <w:tcPr>
            <w:tcW w:w="12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240,863</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231,025</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9,838</w:t>
            </w:r>
          </w:p>
        </w:tc>
        <w:tc>
          <w:tcPr>
            <w:tcW w:w="60"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774"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w:t>
            </w:r>
          </w:p>
        </w:tc>
        <w:tc>
          <w:tcPr>
            <w:tcW w:w="28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1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(Loss) income before income taxes</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(8,383)</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8,351</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(16,734)</w:t>
            </w:r>
          </w:p>
        </w:tc>
        <w:tc>
          <w:tcPr>
            <w:tcW w:w="60"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774"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(200.4)</w:t>
            </w:r>
          </w:p>
        </w:tc>
        <w:tc>
          <w:tcPr>
            <w:tcW w:w="28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1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Homes delivered</w:t>
            </w:r>
          </w:p>
        </w:tc>
        <w:tc>
          <w:tcPr>
            <w:tcW w:w="125" w:type="dxa"/>
            <w:tcBorders/>
            <w:shd w:fill="FFFFFF" w:val="clear"/>
            <w:tcMar>
              <w:bottom w:w="0" w:type="dxa"/>
            </w:tcMar>
            <w:vAlign w:val="center"/>
          </w:tcPr>
          <w:p>
            <w:pPr>
              <w:pStyle w:val="TableContents"/>
              <w:bidi w:val="0"/>
              <w:spacing w:before="0" w:after="0"/>
              <w:jc w:val="left"/>
              <w:rPr/>
            </w:pPr>
            <w:r>
              <w:rPr/>
              <w:t> </w:t>
            </w:r>
          </w:p>
        </w:tc>
        <w:tc>
          <w:tcPr>
            <w:tcW w:w="71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485</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84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472</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71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60"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774"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w:t>
            </w:r>
          </w:p>
        </w:tc>
        <w:tc>
          <w:tcPr>
            <w:tcW w:w="28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1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Average sales price</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495,911</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488,417</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7,494</w:t>
            </w:r>
          </w:p>
        </w:tc>
        <w:tc>
          <w:tcPr>
            <w:tcW w:w="60"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774"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28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1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710"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845"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710"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774" w:type="dxa"/>
            <w:tcBorders/>
            <w:shd w:fill="FFFFFF" w:val="clear"/>
            <w:tcMar>
              <w:bottom w:w="0" w:type="dxa"/>
            </w:tcMar>
            <w:vAlign w:val="center"/>
          </w:tcPr>
          <w:p>
            <w:pPr>
              <w:pStyle w:val="TableContents"/>
              <w:bidi w:val="0"/>
              <w:spacing w:before="0" w:after="0"/>
              <w:jc w:val="right"/>
              <w:rPr/>
            </w:pPr>
            <w:r>
              <w:rPr/>
              <w:t> </w:t>
            </w:r>
          </w:p>
        </w:tc>
        <w:tc>
          <w:tcPr>
            <w:tcW w:w="280" w:type="dxa"/>
            <w:tcBorders/>
            <w:shd w:fill="FFFFFF" w:val="clear"/>
            <w:tcMar>
              <w:bottom w:w="0" w:type="dxa"/>
            </w:tcMar>
            <w:vAlign w:val="center"/>
          </w:tcPr>
          <w:p>
            <w:pPr>
              <w:pStyle w:val="TableContents"/>
              <w:bidi w:val="0"/>
              <w:spacing w:before="0" w:after="0"/>
              <w:jc w:val="left"/>
              <w:rPr/>
            </w:pPr>
            <w:r>
              <w:rPr/>
              <w:t> </w:t>
            </w:r>
          </w:p>
        </w:tc>
      </w:tr>
      <w:tr>
        <w:trPr/>
        <w:tc>
          <w:tcPr>
            <w:tcW w:w="4010" w:type="dxa"/>
            <w:tcBorders/>
            <w:shd w:fill="CCEEFF" w:val="clear"/>
            <w:tcMar>
              <w:bottom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West</w:t>
            </w:r>
          </w:p>
        </w:tc>
        <w:tc>
          <w:tcPr>
            <w:tcW w:w="125" w:type="dxa"/>
            <w:tcBorders/>
            <w:shd w:fill="CCEEFF" w:val="clear"/>
            <w:tcMar>
              <w:bottom w:w="0" w:type="dxa"/>
            </w:tcMar>
            <w:vAlign w:val="center"/>
          </w:tcPr>
          <w:p>
            <w:pPr>
              <w:pStyle w:val="TableContents"/>
              <w:bidi w:val="0"/>
              <w:spacing w:before="0" w:after="0"/>
              <w:jc w:val="left"/>
              <w:rPr/>
            </w:pPr>
            <w:r>
              <w:rPr/>
              <w:t> </w:t>
            </w:r>
          </w:p>
        </w:tc>
        <w:tc>
          <w:tcPr>
            <w:tcW w:w="710" w:type="dxa"/>
            <w:tcBorders/>
            <w:shd w:fill="CCEEFF" w:val="clear"/>
            <w:tcMar>
              <w:bottom w:w="0" w:type="dxa"/>
            </w:tcM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845" w:type="dxa"/>
            <w:tcBorders/>
            <w:shd w:fill="CCEEFF" w:val="clear"/>
            <w:tcMar>
              <w:bottom w:w="0" w:type="dxa"/>
            </w:tcM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710" w:type="dxa"/>
            <w:tcBorders/>
            <w:shd w:fill="CCEEFF" w:val="clear"/>
            <w:tcMar>
              <w:bottom w:w="0" w:type="dxa"/>
            </w:tcM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774" w:type="dxa"/>
            <w:tcBorders/>
            <w:shd w:fill="CCEEFF" w:val="clear"/>
            <w:tcMar>
              <w:bottom w:w="0" w:type="dxa"/>
            </w:tcMar>
            <w:vAlign w:val="center"/>
          </w:tcPr>
          <w:p>
            <w:pPr>
              <w:pStyle w:val="TableContents"/>
              <w:bidi w:val="0"/>
              <w:spacing w:before="0" w:after="0"/>
              <w:jc w:val="right"/>
              <w:rPr/>
            </w:pPr>
            <w:r>
              <w:rPr/>
              <w:t> </w:t>
            </w:r>
          </w:p>
        </w:tc>
        <w:tc>
          <w:tcPr>
            <w:tcW w:w="280" w:type="dxa"/>
            <w:tcBorders/>
            <w:shd w:fill="CCEEFF" w:val="clear"/>
            <w:tcMar>
              <w:bottom w:w="0" w:type="dxa"/>
            </w:tcMar>
            <w:vAlign w:val="center"/>
          </w:tcPr>
          <w:p>
            <w:pPr>
              <w:pStyle w:val="TableContents"/>
              <w:bidi w:val="0"/>
              <w:spacing w:before="0" w:after="0"/>
              <w:jc w:val="left"/>
              <w:rPr/>
            </w:pPr>
            <w:r>
              <w:rPr/>
              <w:t> </w:t>
            </w:r>
          </w:p>
        </w:tc>
      </w:tr>
      <w:tr>
        <w:trPr/>
        <w:tc>
          <w:tcPr>
            <w:tcW w:w="401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Homebuilding revenue</w:t>
            </w:r>
          </w:p>
        </w:tc>
        <w:tc>
          <w:tcPr>
            <w:tcW w:w="12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932,724</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1,029,524</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(96,800)</w:t>
            </w:r>
          </w:p>
        </w:tc>
        <w:tc>
          <w:tcPr>
            <w:tcW w:w="60"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774"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(9.4)</w:t>
            </w:r>
          </w:p>
        </w:tc>
        <w:tc>
          <w:tcPr>
            <w:tcW w:w="28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1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(Loss) income before income taxes</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(28,022)</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19,234</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(47,256)</w:t>
            </w:r>
          </w:p>
        </w:tc>
        <w:tc>
          <w:tcPr>
            <w:tcW w:w="60"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774"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(245.7)</w:t>
            </w:r>
          </w:p>
        </w:tc>
        <w:tc>
          <w:tcPr>
            <w:tcW w:w="28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1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Homes delivered</w:t>
            </w:r>
          </w:p>
        </w:tc>
        <w:tc>
          <w:tcPr>
            <w:tcW w:w="125" w:type="dxa"/>
            <w:tcBorders/>
            <w:shd w:fill="FFFFFF" w:val="clear"/>
            <w:tcMar>
              <w:bottom w:w="0" w:type="dxa"/>
            </w:tcMar>
            <w:vAlign w:val="center"/>
          </w:tcPr>
          <w:p>
            <w:pPr>
              <w:pStyle w:val="TableContents"/>
              <w:bidi w:val="0"/>
              <w:spacing w:before="0" w:after="0"/>
              <w:jc w:val="left"/>
              <w:rPr/>
            </w:pPr>
            <w:r>
              <w:rPr/>
              <w:t> </w:t>
            </w:r>
          </w:p>
        </w:tc>
        <w:tc>
          <w:tcPr>
            <w:tcW w:w="71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1,781</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84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2,124</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71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(343)</w:t>
            </w:r>
          </w:p>
        </w:tc>
        <w:tc>
          <w:tcPr>
            <w:tcW w:w="60"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774"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(16.1)</w:t>
            </w:r>
          </w:p>
        </w:tc>
        <w:tc>
          <w:tcPr>
            <w:tcW w:w="28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1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Average sales price</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521,998</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475,364</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46,634</w:t>
            </w:r>
          </w:p>
        </w:tc>
        <w:tc>
          <w:tcPr>
            <w:tcW w:w="60"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774"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9.8</w:t>
            </w:r>
          </w:p>
        </w:tc>
        <w:tc>
          <w:tcPr>
            <w:tcW w:w="28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i/>
          <w:sz w:val="20"/>
        </w:rPr>
        <w:t>Northeast -</w:t>
      </w:r>
      <w:r>
        <w:rPr/>
        <w:t xml:space="preserve"> </w:t>
      </w:r>
      <w:r>
        <w:rPr>
          <w:sz w:val="20"/>
        </w:rPr>
        <w:t xml:space="preserve">Homebuilding revenue </w:t>
      </w:r>
      <w:r>
        <w:rPr>
          <w:rFonts w:ascii="Times New Roman" w:hAnsi="Times New Roman"/>
          <w:sz w:val="20"/>
        </w:rPr>
        <w:t>decreased</w:t>
      </w:r>
      <w:r>
        <w:rPr/>
        <w:t xml:space="preserve"> </w:t>
      </w:r>
      <w:r>
        <w:rPr>
          <w:rFonts w:ascii="Times New Roman" w:hAnsi="Times New Roman"/>
          <w:sz w:val="20"/>
        </w:rPr>
        <w:t>19.6</w:t>
      </w:r>
      <w:r>
        <w:rPr>
          <w:sz w:val="20"/>
        </w:rPr>
        <w:t xml:space="preserve">% for the </w:t>
      </w:r>
      <w:r>
        <w:rPr>
          <w:rFonts w:ascii="Times New Roman" w:hAnsi="Times New Roman"/>
          <w:sz w:val="20"/>
        </w:rPr>
        <w:t>three months ended July 31, 2026</w:t>
      </w:r>
      <w:r>
        <w:rPr/>
        <w:t xml:space="preserve"> </w:t>
      </w:r>
      <w:r>
        <w:rPr>
          <w:sz w:val="20"/>
        </w:rPr>
        <w:t>compared to the same period in the prior year. The decrease</w:t>
      </w:r>
      <w:r>
        <w:rPr/>
        <w:t> </w:t>
      </w:r>
      <w:r>
        <w:rPr>
          <w:sz w:val="20"/>
        </w:rPr>
        <w:t xml:space="preserve">for the </w:t>
      </w:r>
      <w:r>
        <w:rPr>
          <w:rFonts w:ascii="Times New Roman" w:hAnsi="Times New Roman"/>
          <w:sz w:val="20"/>
        </w:rPr>
        <w:t>three months ended July 31, 2026</w:t>
      </w:r>
      <w:r>
        <w:rPr/>
        <w:t xml:space="preserve"> </w:t>
      </w:r>
      <w:r>
        <w:rPr>
          <w:sz w:val="20"/>
        </w:rPr>
        <w:t>was attributed to an 11.7% decrease in homes delivered and an</w:t>
      </w:r>
      <w:r>
        <w:rPr/>
        <w:t> </w:t>
      </w:r>
      <w:r>
        <w:rPr>
          <w:sz w:val="20"/>
        </w:rPr>
        <w:t>8.7% decrease in average sales price. The decrease in average sales price was the result of new communities delivering lower priced, smaller single family homes and townhomes in lower-end submarkets of the segment for the three months ended July 31, 2026 compared to some communities delivering higher priced, larger single family homes and townhomes in higher-end submarkets of the segment for the three months ended July 31, 2025, which we are no longer delivering in the current year.</w:t>
      </w:r>
      <w:r>
        <w:rPr/>
        <w:t> </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sz w:val="20"/>
        </w:rPr>
        <w:t xml:space="preserve">Income before income taxes </w:t>
      </w:r>
      <w:r>
        <w:rPr>
          <w:rFonts w:ascii="Times New Roman" w:hAnsi="Times New Roman"/>
          <w:sz w:val="20"/>
        </w:rPr>
        <w:t>decreased</w:t>
      </w:r>
      <w:r>
        <w:rPr/>
        <w:t xml:space="preserve"> </w:t>
      </w:r>
      <w:r>
        <w:rPr>
          <w:sz w:val="20"/>
        </w:rPr>
        <w:t>$</w:t>
      </w:r>
      <w:r>
        <w:rPr>
          <w:rFonts w:ascii="Times New Roman" w:hAnsi="Times New Roman"/>
          <w:sz w:val="20"/>
        </w:rPr>
        <w:t>16.6</w:t>
      </w:r>
      <w:r>
        <w:rPr/>
        <w:t xml:space="preserve"> </w:t>
      </w:r>
      <w:r>
        <w:rPr>
          <w:sz w:val="20"/>
        </w:rPr>
        <w:t>million to $</w:t>
      </w:r>
      <w:r>
        <w:rPr>
          <w:rFonts w:ascii="Times New Roman" w:hAnsi="Times New Roman"/>
          <w:sz w:val="20"/>
        </w:rPr>
        <w:t>30.7</w:t>
      </w:r>
      <w:r>
        <w:rPr/>
        <w:t xml:space="preserve"> </w:t>
      </w:r>
      <w:r>
        <w:rPr>
          <w:sz w:val="20"/>
        </w:rPr>
        <w:t xml:space="preserve">million for the </w:t>
      </w:r>
      <w:r>
        <w:rPr>
          <w:rFonts w:ascii="Times New Roman" w:hAnsi="Times New Roman"/>
          <w:sz w:val="20"/>
        </w:rPr>
        <w:t>three months ended July 31, 2026</w:t>
      </w:r>
      <w:r>
        <w:rPr/>
        <w:t xml:space="preserve"> </w:t>
      </w:r>
      <w:r>
        <w:rPr>
          <w:sz w:val="20"/>
        </w:rPr>
        <w:t>as compared to the same period in the prior year.</w:t>
      </w:r>
      <w:r>
        <w:rPr/>
        <w:t> </w:t>
      </w:r>
      <w:r>
        <w:rPr>
          <w:sz w:val="20"/>
        </w:rPr>
        <w:t>This was primarily due to the decrease in homebuilding revenue discussed above and a $3.6</w:t>
      </w:r>
      <w:r>
        <w:rPr/>
        <w:t> </w:t>
      </w:r>
      <w:r>
        <w:rPr>
          <w:sz w:val="20"/>
        </w:rPr>
        <w:t>million decrease in income from unconsolidated joint ventures, while gross margin percentage was relatively flat.</w:t>
      </w:r>
      <w:r>
        <w:rPr/>
        <w:t> </w:t>
      </w:r>
      <w:r>
        <w:rPr>
          <w:sz w:val="20"/>
        </w:rPr>
        <w:t>For a discussion of gross margin see</w:t>
      </w:r>
      <w:r>
        <w:rPr/>
        <w:t> “</w:t>
      </w:r>
      <w:r>
        <w:rPr>
          <w:sz w:val="20"/>
        </w:rPr>
        <w:t>Homebuilding: Cost of Sales”</w:t>
      </w:r>
      <w:r>
        <w:rPr/>
        <w:t> </w:t>
      </w:r>
      <w:r>
        <w:rPr>
          <w:sz w:val="20"/>
        </w:rPr>
        <w:t>above.</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sz w:val="20"/>
        </w:rPr>
        <w:t>Homebuilding revenue</w:t>
      </w:r>
      <w:r>
        <w:rPr/>
        <w:t> </w:t>
      </w:r>
      <w:r>
        <w:rPr>
          <w:rFonts w:ascii="Times New Roman" w:hAnsi="Times New Roman"/>
          <w:sz w:val="20"/>
        </w:rPr>
        <w:t>decreased</w:t>
      </w:r>
      <w:r>
        <w:rPr/>
        <w:t> </w:t>
      </w:r>
      <w:r>
        <w:rPr>
          <w:rFonts w:ascii="Times New Roman" w:hAnsi="Times New Roman"/>
          <w:sz w:val="20"/>
        </w:rPr>
        <w:t>8.5</w:t>
      </w:r>
      <w:r>
        <w:rPr>
          <w:sz w:val="20"/>
        </w:rPr>
        <w:t>% for the</w:t>
      </w:r>
      <w:r>
        <w:rPr/>
        <w:t> </w:t>
      </w:r>
      <w:r>
        <w:rPr>
          <w:rFonts w:ascii="Times New Roman" w:hAnsi="Times New Roman"/>
          <w:sz w:val="20"/>
        </w:rPr>
        <w:t>nine months ended July 31, 2026</w:t>
      </w:r>
      <w:r>
        <w:rPr/>
        <w:t> </w:t>
      </w:r>
      <w:r>
        <w:rPr>
          <w:sz w:val="20"/>
        </w:rPr>
        <w:t>compared to the same period in the prior year.</w:t>
      </w:r>
      <w:r>
        <w:rPr/>
        <w:t> </w:t>
      </w:r>
      <w:r>
        <w:rPr>
          <w:sz w:val="20"/>
        </w:rPr>
        <w:t>The decrease for the</w:t>
      </w:r>
      <w:r>
        <w:rPr/>
        <w:t> </w:t>
      </w:r>
      <w:r>
        <w:rPr>
          <w:rFonts w:ascii="Times New Roman" w:hAnsi="Times New Roman"/>
          <w:sz w:val="20"/>
        </w:rPr>
        <w:t>nine months ended July 31, 2026</w:t>
      </w:r>
      <w:r>
        <w:rPr/>
        <w:t> </w:t>
      </w:r>
      <w:r>
        <w:rPr>
          <w:sz w:val="20"/>
        </w:rPr>
        <w:t>was attributed to a</w:t>
      </w:r>
      <w:r>
        <w:rPr/>
        <w:t> </w:t>
      </w:r>
      <w:r>
        <w:rPr>
          <w:sz w:val="20"/>
        </w:rPr>
        <w:t>10.8% decrease in homes delivered and a</w:t>
      </w:r>
      <w:r>
        <w:rPr/>
        <w:t> </w:t>
      </w:r>
      <w:r>
        <w:rPr>
          <w:sz w:val="20"/>
        </w:rPr>
        <w:t>6.6% decrease in average sales price, partially offset by a $66.3 million increase in land sales and other revenue. The decrease in the average sales price was the result of new communities delivering lower priced, smaller single family homes,</w:t>
      </w:r>
      <w:r>
        <w:rPr/>
        <w:t> </w:t>
      </w:r>
      <w:r>
        <w:rPr>
          <w:sz w:val="20"/>
        </w:rPr>
        <w:t>townhomes</w:t>
      </w:r>
      <w:r>
        <w:rPr/>
        <w:t> </w:t>
      </w:r>
      <w:r>
        <w:rPr>
          <w:sz w:val="20"/>
        </w:rPr>
        <w:t>and affordable-housing homes in lower-end submarkets of the segment for the nine months ended July 31, 2026 compared to some communities delivering higher priced, larger single family homes and townhomes in higher-end submarkets of the segment for the nine months ended July 31, 2025, which we are no longer delivering in the current year.</w:t>
      </w:r>
      <w:r>
        <w:rPr/>
        <w:t> </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sz w:val="20"/>
        </w:rPr>
        <w:t>Income before income taxes</w:t>
      </w:r>
      <w:r>
        <w:rPr/>
        <w:t> </w:t>
      </w:r>
      <w:r>
        <w:rPr>
          <w:rFonts w:ascii="Times New Roman" w:hAnsi="Times New Roman"/>
          <w:sz w:val="20"/>
        </w:rPr>
        <w:t>increased</w:t>
      </w:r>
      <w:r>
        <w:rPr/>
        <w:t> </w:t>
      </w:r>
      <w:r>
        <w:rPr>
          <w:sz w:val="20"/>
        </w:rPr>
        <w:t>$</w:t>
      </w:r>
      <w:r>
        <w:rPr>
          <w:rFonts w:ascii="Times New Roman" w:hAnsi="Times New Roman"/>
          <w:sz w:val="20"/>
        </w:rPr>
        <w:t>2.4</w:t>
      </w:r>
      <w:r>
        <w:rPr/>
        <w:t> </w:t>
      </w:r>
      <w:r>
        <w:rPr>
          <w:sz w:val="20"/>
        </w:rPr>
        <w:t>million to $</w:t>
      </w:r>
      <w:r>
        <w:rPr>
          <w:rFonts w:ascii="Times New Roman" w:hAnsi="Times New Roman"/>
          <w:sz w:val="20"/>
        </w:rPr>
        <w:t>129.5</w:t>
      </w:r>
      <w:r>
        <w:rPr/>
        <w:t> </w:t>
      </w:r>
      <w:r>
        <w:rPr>
          <w:sz w:val="20"/>
        </w:rPr>
        <w:t>million for the</w:t>
      </w:r>
      <w:r>
        <w:rPr/>
        <w:t> </w:t>
      </w:r>
      <w:r>
        <w:rPr>
          <w:rFonts w:ascii="Times New Roman" w:hAnsi="Times New Roman"/>
          <w:sz w:val="20"/>
        </w:rPr>
        <w:t>nine months ended July 31, 2026</w:t>
      </w:r>
      <w:r>
        <w:rPr/>
        <w:t> </w:t>
      </w:r>
      <w:r>
        <w:rPr>
          <w:sz w:val="20"/>
        </w:rPr>
        <w:t>as compared to the same period in the prior year. This was primarily due to the $66.3 million increase in land sales and other revenue discussed above, partially offset by a decrease in gross margin percentage.</w:t>
      </w:r>
    </w:p>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i/>
          <w:sz w:val="20"/>
        </w:rPr>
        <w:t>Southeast</w:t>
      </w:r>
      <w:r>
        <w:rPr/>
        <w:t xml:space="preserve"> – </w:t>
      </w:r>
      <w:r>
        <w:rPr>
          <w:sz w:val="20"/>
        </w:rPr>
        <w:t xml:space="preserve">Homebuilding revenue </w:t>
      </w:r>
      <w:r>
        <w:rPr>
          <w:rFonts w:ascii="Times New Roman" w:hAnsi="Times New Roman"/>
          <w:sz w:val="20"/>
        </w:rPr>
        <w:t>decreased</w:t>
      </w:r>
      <w:r>
        <w:rPr/>
        <w:t xml:space="preserve"> </w:t>
      </w:r>
      <w:r>
        <w:rPr>
          <w:rFonts w:ascii="Times New Roman" w:hAnsi="Times New Roman"/>
          <w:sz w:val="20"/>
        </w:rPr>
        <w:t>10.9</w:t>
      </w:r>
      <w:r>
        <w:rPr>
          <w:sz w:val="20"/>
        </w:rPr>
        <w:t xml:space="preserve">% for the </w:t>
      </w:r>
      <w:r>
        <w:rPr>
          <w:rFonts w:ascii="Times New Roman" w:hAnsi="Times New Roman"/>
          <w:sz w:val="20"/>
        </w:rPr>
        <w:t>three months ended July 31, 2026</w:t>
      </w:r>
      <w:r>
        <w:rPr/>
        <w:t xml:space="preserve"> </w:t>
      </w:r>
      <w:r>
        <w:rPr>
          <w:sz w:val="20"/>
        </w:rPr>
        <w:t>compared to the same period in the prior year. The decrease for the</w:t>
      </w:r>
      <w:r>
        <w:rPr/>
        <w:t> </w:t>
      </w:r>
      <w:r>
        <w:rPr>
          <w:rFonts w:ascii="Times New Roman" w:hAnsi="Times New Roman"/>
          <w:sz w:val="20"/>
        </w:rPr>
        <w:t>three months ended July 31, 2026</w:t>
      </w:r>
      <w:r>
        <w:rPr/>
        <w:t> </w:t>
      </w:r>
      <w:r>
        <w:rPr>
          <w:sz w:val="20"/>
        </w:rPr>
        <w:t>was attributed to an 8.7% decrease in homes delivered and a 2.4% decrease in average sales price. The decrease in average sales price was the result of new communities delivering lower priced, smaller single family homes in lower-end submarkets of the segment for the three months ended July 31, 2026 compared to some communities delivering higher priced, larger single family homes in higher-end submarkets of the segment for the three months ended July 31, 2025, which were no longer delivering in the current year.</w:t>
      </w:r>
      <w:r>
        <w:rPr/>
        <w:t> </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sz w:val="20"/>
        </w:rPr>
        <w:t xml:space="preserve">Income before income taxes </w:t>
      </w:r>
      <w:r>
        <w:rPr>
          <w:rFonts w:ascii="Times New Roman" w:hAnsi="Times New Roman"/>
          <w:sz w:val="20"/>
        </w:rPr>
        <w:t>decreased</w:t>
      </w:r>
      <w:r>
        <w:rPr/>
        <w:t xml:space="preserve"> </w:t>
      </w:r>
      <w:r>
        <w:rPr>
          <w:sz w:val="20"/>
        </w:rPr>
        <w:t>$</w:t>
      </w:r>
      <w:r>
        <w:rPr>
          <w:rFonts w:ascii="Times New Roman" w:hAnsi="Times New Roman"/>
          <w:sz w:val="20"/>
        </w:rPr>
        <w:t>7.5</w:t>
      </w:r>
      <w:r>
        <w:rPr/>
        <w:t xml:space="preserve"> </w:t>
      </w:r>
      <w:r>
        <w:rPr>
          <w:sz w:val="20"/>
        </w:rPr>
        <w:t>million to $</w:t>
      </w:r>
      <w:r>
        <w:rPr>
          <w:rFonts w:ascii="Times New Roman" w:hAnsi="Times New Roman"/>
          <w:sz w:val="20"/>
        </w:rPr>
        <w:t>0.2</w:t>
      </w:r>
      <w:r>
        <w:rPr/>
        <w:t xml:space="preserve"> </w:t>
      </w:r>
      <w:r>
        <w:rPr>
          <w:sz w:val="20"/>
        </w:rPr>
        <w:t xml:space="preserve">million for the </w:t>
      </w:r>
      <w:r>
        <w:rPr>
          <w:rFonts w:ascii="Times New Roman" w:hAnsi="Times New Roman"/>
          <w:sz w:val="20"/>
        </w:rPr>
        <w:t>three months ended July 31, 2026</w:t>
      </w:r>
      <w:r>
        <w:rPr/>
        <w:t xml:space="preserve"> </w:t>
      </w:r>
      <w:r>
        <w:rPr>
          <w:sz w:val="20"/>
        </w:rPr>
        <w:t>compared to the same period in the prior year.</w:t>
      </w:r>
      <w:r>
        <w:rPr/>
        <w:t> </w:t>
      </w:r>
      <w:r>
        <w:rPr>
          <w:sz w:val="20"/>
        </w:rPr>
        <w:t>This was primarily due to the decrease in homebuilding revenue discussed above, a $2.6 million decrease in income from unconsolidated joint ventures and a decrease in gross margin percentage. For a discussion of gross margin see “Homebuilding: Cost of Sales” above.</w:t>
      </w:r>
    </w:p>
    <w:p>
      <w:pPr>
        <w:pStyle w:val="TextBody"/>
        <w:bidi w:val="0"/>
        <w:spacing w:lineRule="atLeast" w:line="240" w:before="0" w:after="0"/>
        <w:ind w:left="0" w:right="0" w:firstLine="900"/>
        <w:jc w:val="left"/>
        <w:rPr/>
      </w:pPr>
      <w:r>
        <w:rPr/>
        <w:t> </w:t>
      </w:r>
    </w:p>
    <w:p>
      <w:pPr>
        <w:pStyle w:val="TextBody"/>
        <w:bidi w:val="0"/>
        <w:spacing w:before="0" w:after="0"/>
        <w:ind w:left="0" w:right="0" w:firstLine="907"/>
        <w:jc w:val="left"/>
        <w:rPr>
          <w:sz w:val="20"/>
        </w:rPr>
      </w:pPr>
      <w:r>
        <w:rPr>
          <w:sz w:val="20"/>
        </w:rPr>
        <w:t>Homebuilding revenue </w:t>
      </w:r>
      <w:r>
        <w:rPr>
          <w:rFonts w:ascii="Times New Roman" w:hAnsi="Times New Roman"/>
          <w:sz w:val="20"/>
        </w:rPr>
        <w:t>increased</w:t>
      </w:r>
      <w:r>
        <w:rPr>
          <w:sz w:val="20"/>
        </w:rPr>
        <w:t> </w:t>
      </w:r>
      <w:r>
        <w:rPr>
          <w:rFonts w:ascii="Times New Roman" w:hAnsi="Times New Roman"/>
          <w:sz w:val="20"/>
        </w:rPr>
        <w:t>4.3</w:t>
      </w:r>
      <w:r>
        <w:rPr>
          <w:sz w:val="20"/>
        </w:rPr>
        <w:t>% for the </w:t>
      </w:r>
      <w:r>
        <w:rPr>
          <w:rFonts w:ascii="Times New Roman" w:hAnsi="Times New Roman"/>
          <w:sz w:val="20"/>
        </w:rPr>
        <w:t>nine months ended July 31, 2026</w:t>
      </w:r>
      <w:r>
        <w:rPr>
          <w:sz w:val="20"/>
        </w:rPr>
        <w:t xml:space="preserve"> compared to the same period in the prior year. The increase was due to a 2.8% increase in homes delivered and a 1.5% increase in average sales price. The increase in average sales price was the result of new communities delivering higher priced, larger single family homes in higher-end submarkets of the segment for the </w:t>
      </w:r>
      <w:r>
        <w:rPr>
          <w:rFonts w:ascii="Times New Roman" w:hAnsi="Times New Roman"/>
          <w:sz w:val="20"/>
        </w:rPr>
        <w:t>nine months ended July 31, 2026</w:t>
      </w:r>
      <w:r>
        <w:rPr>
          <w:sz w:val="20"/>
        </w:rPr>
        <w:t xml:space="preserve"> compared to some communities delivering lower priced, smaller single family homes and build-for-rent homes in lower-end submarkets of the segment for the </w:t>
      </w:r>
      <w:r>
        <w:rPr>
          <w:rFonts w:ascii="Times New Roman" w:hAnsi="Times New Roman"/>
          <w:sz w:val="20"/>
        </w:rPr>
        <w:t>nine months ended July 31, 2025</w:t>
      </w:r>
      <w:r>
        <w:rPr>
          <w:sz w:val="20"/>
        </w:rPr>
        <w:t>, which we are no longer delivering in the current year.</w:t>
      </w:r>
    </w:p>
    <w:p>
      <w:pPr>
        <w:pStyle w:val="TextBody"/>
        <w:bidi w:val="0"/>
        <w:spacing w:before="0" w:after="0"/>
        <w:jc w:val="left"/>
        <w:rPr/>
      </w:pPr>
      <w:r>
        <w:rPr/>
        <w:t> </w:t>
      </w:r>
    </w:p>
    <w:p>
      <w:pPr>
        <w:pStyle w:val="TextBody"/>
        <w:bidi w:val="0"/>
        <w:spacing w:lineRule="atLeast" w:line="240" w:before="0" w:after="0"/>
        <w:ind w:left="0" w:right="0" w:firstLine="900"/>
        <w:jc w:val="left"/>
        <w:rPr/>
      </w:pPr>
      <w:r>
        <w:rPr>
          <w:sz w:val="20"/>
        </w:rPr>
        <w:t>Income before income taxes</w:t>
      </w:r>
      <w:r>
        <w:rPr/>
        <w:t> </w:t>
      </w:r>
      <w:r>
        <w:rPr>
          <w:rFonts w:ascii="Times New Roman" w:hAnsi="Times New Roman"/>
          <w:sz w:val="20"/>
        </w:rPr>
        <w:t>decreased</w:t>
      </w:r>
      <w:r>
        <w:rPr/>
        <w:t> </w:t>
      </w:r>
      <w:r>
        <w:rPr>
          <w:sz w:val="20"/>
        </w:rPr>
        <w:t>$</w:t>
      </w:r>
      <w:r>
        <w:rPr>
          <w:rFonts w:ascii="Times New Roman" w:hAnsi="Times New Roman"/>
          <w:sz w:val="20"/>
        </w:rPr>
        <w:t>16.7</w:t>
      </w:r>
      <w:r>
        <w:rPr/>
        <w:t> </w:t>
      </w:r>
      <w:r>
        <w:rPr>
          <w:sz w:val="20"/>
        </w:rPr>
        <w:t>million to a loss of $</w:t>
      </w:r>
      <w:r>
        <w:rPr>
          <w:rFonts w:ascii="Times New Roman" w:hAnsi="Times New Roman"/>
          <w:sz w:val="20"/>
        </w:rPr>
        <w:t>8.4</w:t>
      </w:r>
      <w:r>
        <w:rPr/>
        <w:t xml:space="preserve"> </w:t>
      </w:r>
      <w:r>
        <w:rPr>
          <w:sz w:val="20"/>
        </w:rPr>
        <w:t>million for the</w:t>
      </w:r>
      <w:r>
        <w:rPr/>
        <w:t> </w:t>
      </w:r>
      <w:r>
        <w:rPr>
          <w:rFonts w:ascii="Times New Roman" w:hAnsi="Times New Roman"/>
          <w:sz w:val="20"/>
        </w:rPr>
        <w:t>nine months ended July 31, 2026</w:t>
      </w:r>
      <w:r>
        <w:rPr/>
        <w:t xml:space="preserve"> </w:t>
      </w:r>
      <w:r>
        <w:rPr>
          <w:sz w:val="20"/>
        </w:rPr>
        <w:t>compared to the same period in the prior year.</w:t>
      </w:r>
      <w:r>
        <w:rPr/>
        <w:t> </w:t>
      </w:r>
      <w:r>
        <w:rPr>
          <w:sz w:val="20"/>
        </w:rPr>
        <w:t>This was primarily due to a $7.7 million decrease in income from unconsolidated joint ventures, a $4.3 million increase in inventory impairments and land option write-offs, along with a decrease in gross margin percentage. For a discussion of gross margin see “Homebuilding: Cost of Sales” above.</w:t>
      </w:r>
    </w:p>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pPr>
      <w:hyperlink w:anchor="TOC_TableofContent">
        <w:r>
          <w:rPr>
            <w:rStyle w:val="InternetLink"/>
            <w:strike w:val="false"/>
            <w:dstrike w:val="false"/>
            <w:color w:val="0000FF"/>
            <w:sz w:val="20"/>
            <w:u w:val="single"/>
            <w:effect w:val="none"/>
          </w:rPr>
          <w:t>Table of Contents</w:t>
        </w:r>
      </w:hyperlink>
    </w:p>
    <w:p>
      <w:pPr>
        <w:pStyle w:val="TextBody"/>
        <w:bidi w:val="0"/>
        <w:spacing w:lineRule="atLeast" w:line="240" w:before="0" w:after="0"/>
        <w:jc w:val="left"/>
        <w:rPr/>
      </w:pPr>
      <w:r>
        <w:rPr/>
        <w:t> </w:t>
      </w:r>
    </w:p>
    <w:p>
      <w:pPr>
        <w:pStyle w:val="TextBody"/>
        <w:bidi w:val="0"/>
        <w:spacing w:lineRule="atLeast" w:line="240" w:before="0" w:after="0"/>
        <w:ind w:left="0" w:right="0" w:firstLine="907"/>
        <w:jc w:val="left"/>
        <w:rPr/>
      </w:pPr>
      <w:r>
        <w:rPr>
          <w:i/>
          <w:sz w:val="20"/>
        </w:rPr>
        <w:t>West</w:t>
      </w:r>
      <w:r>
        <w:rPr/>
        <w:t xml:space="preserve"> – </w:t>
      </w:r>
      <w:r>
        <w:rPr>
          <w:sz w:val="20"/>
        </w:rPr>
        <w:t xml:space="preserve">Homebuilding revenue </w:t>
      </w:r>
      <w:r>
        <w:rPr>
          <w:rFonts w:ascii="Times New Roman" w:hAnsi="Times New Roman"/>
          <w:sz w:val="20"/>
        </w:rPr>
        <w:t>decreased</w:t>
      </w:r>
      <w:r>
        <w:rPr/>
        <w:t xml:space="preserve"> </w:t>
      </w:r>
      <w:r>
        <w:rPr>
          <w:rFonts w:ascii="Times New Roman" w:hAnsi="Times New Roman"/>
          <w:sz w:val="20"/>
        </w:rPr>
        <w:t>6.2</w:t>
      </w:r>
      <w:r>
        <w:rPr>
          <w:sz w:val="20"/>
        </w:rPr>
        <w:t xml:space="preserve">% for the </w:t>
      </w:r>
      <w:r>
        <w:rPr>
          <w:rFonts w:ascii="Times New Roman" w:hAnsi="Times New Roman"/>
          <w:sz w:val="20"/>
        </w:rPr>
        <w:t>three months ended July 31, 2026</w:t>
      </w:r>
      <w:r>
        <w:rPr/>
        <w:t xml:space="preserve"> </w:t>
      </w:r>
      <w:r>
        <w:rPr>
          <w:sz w:val="20"/>
        </w:rPr>
        <w:t>compared to the same period in the prior year. The decrease was due to a 13.1% decrease in homes delivered, partially</w:t>
      </w:r>
      <w:r>
        <w:rPr/>
        <w:t> </w:t>
      </w:r>
      <w:r>
        <w:rPr>
          <w:sz w:val="20"/>
        </w:rPr>
        <w:t>offset by an 8.1% increase in average sales price.</w:t>
      </w:r>
      <w:r>
        <w:rPr/>
        <w:t> </w:t>
      </w:r>
      <w:r>
        <w:rPr>
          <w:sz w:val="20"/>
        </w:rPr>
        <w:t xml:space="preserve">The increase in average sales price was the result of new communities delivering higher priced, larger single family homes in higher-end submarkets of the segment for the </w:t>
      </w:r>
      <w:r>
        <w:rPr>
          <w:rFonts w:ascii="Times New Roman" w:hAnsi="Times New Roman"/>
          <w:sz w:val="20"/>
        </w:rPr>
        <w:t>three months ended July 31, 2026</w:t>
      </w:r>
      <w:r>
        <w:rPr/>
        <w:t xml:space="preserve"> </w:t>
      </w:r>
      <w:r>
        <w:rPr>
          <w:sz w:val="20"/>
        </w:rPr>
        <w:t xml:space="preserve">compared to some communities delivering lower priced, smaller single family homes and townhomes in lower-end submarkets of the segment for the </w:t>
      </w:r>
      <w:r>
        <w:rPr>
          <w:rFonts w:ascii="Times New Roman" w:hAnsi="Times New Roman"/>
          <w:sz w:val="20"/>
        </w:rPr>
        <w:t>three months ended July 31, 2025</w:t>
      </w:r>
      <w:r>
        <w:rPr>
          <w:sz w:val="20"/>
        </w:rPr>
        <w:t>, which we are no longer delivering in the current year.</w:t>
      </w:r>
    </w:p>
    <w:p>
      <w:pPr>
        <w:pStyle w:val="TextBody"/>
        <w:bidi w:val="0"/>
        <w:spacing w:lineRule="atLeast" w:line="240" w:before="0" w:after="0"/>
        <w:ind w:left="0" w:right="0" w:firstLine="720"/>
        <w:jc w:val="left"/>
        <w:rPr/>
      </w:pPr>
      <w:r>
        <w:rPr/>
        <w:t> </w:t>
      </w:r>
    </w:p>
    <w:p>
      <w:pPr>
        <w:pStyle w:val="TextBody"/>
        <w:bidi w:val="0"/>
        <w:spacing w:lineRule="atLeast" w:line="240" w:before="0" w:after="0"/>
        <w:ind w:left="0" w:right="0" w:firstLine="900"/>
        <w:jc w:val="left"/>
        <w:rPr/>
      </w:pPr>
      <w:r>
        <w:rPr>
          <w:sz w:val="20"/>
        </w:rPr>
        <w:t xml:space="preserve">Loss before income taxes </w:t>
      </w:r>
      <w:r>
        <w:rPr>
          <w:rFonts w:ascii="Times New Roman" w:hAnsi="Times New Roman"/>
          <w:sz w:val="20"/>
        </w:rPr>
        <w:t>increased</w:t>
      </w:r>
      <w:r>
        <w:rPr/>
        <w:t xml:space="preserve"> </w:t>
      </w:r>
      <w:r>
        <w:rPr>
          <w:sz w:val="20"/>
        </w:rPr>
        <w:t>$</w:t>
      </w:r>
      <w:r>
        <w:rPr>
          <w:rFonts w:ascii="Times New Roman" w:hAnsi="Times New Roman"/>
          <w:sz w:val="20"/>
        </w:rPr>
        <w:t>2.1</w:t>
      </w:r>
      <w:r>
        <w:rPr/>
        <w:t xml:space="preserve"> </w:t>
      </w:r>
      <w:r>
        <w:rPr>
          <w:sz w:val="20"/>
        </w:rPr>
        <w:t>million to a loss of $</w:t>
      </w:r>
      <w:r>
        <w:rPr>
          <w:rFonts w:ascii="Times New Roman" w:hAnsi="Times New Roman"/>
          <w:sz w:val="20"/>
        </w:rPr>
        <w:t xml:space="preserve">5.3 </w:t>
      </w:r>
      <w:r>
        <w:rPr>
          <w:sz w:val="20"/>
        </w:rPr>
        <w:t xml:space="preserve">million for the </w:t>
      </w:r>
      <w:r>
        <w:rPr>
          <w:rFonts w:ascii="Times New Roman" w:hAnsi="Times New Roman"/>
          <w:sz w:val="20"/>
        </w:rPr>
        <w:t>three months ended July 31, 2026</w:t>
      </w:r>
      <w:r>
        <w:rPr/>
        <w:t xml:space="preserve"> </w:t>
      </w:r>
      <w:r>
        <w:rPr>
          <w:sz w:val="20"/>
        </w:rPr>
        <w:t>compared to the same period in the prior year. This is primarily due to the decrease in homebuilding revenue discussed above, a $5.9 million increase in loss from unconsolidated joint ventures, partially offset by an increase in gross margin percentage.</w:t>
      </w:r>
      <w:r>
        <w:rPr/>
        <w:t> </w:t>
      </w:r>
      <w:r>
        <w:rPr>
          <w:sz w:val="20"/>
        </w:rPr>
        <w:t>For a discussion of gross margin see</w:t>
      </w:r>
      <w:r>
        <w:rPr/>
        <w:t> “</w:t>
      </w:r>
      <w:r>
        <w:rPr>
          <w:sz w:val="20"/>
        </w:rPr>
        <w:t>Homebuilding: Cost of Sales”</w:t>
      </w:r>
      <w:r>
        <w:rPr/>
        <w:t> </w:t>
      </w:r>
      <w:r>
        <w:rPr>
          <w:sz w:val="20"/>
        </w:rPr>
        <w:t>above.</w:t>
      </w:r>
      <w:r>
        <w:rPr/>
        <w:t> </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7"/>
        <w:jc w:val="left"/>
        <w:rPr/>
      </w:pPr>
      <w:r>
        <w:rPr>
          <w:sz w:val="20"/>
        </w:rPr>
        <w:t>Homebuilding revenue</w:t>
      </w:r>
      <w:r>
        <w:rPr/>
        <w:t> </w:t>
      </w:r>
      <w:r>
        <w:rPr>
          <w:rFonts w:ascii="Times New Roman" w:hAnsi="Times New Roman"/>
          <w:sz w:val="20"/>
        </w:rPr>
        <w:t>decreased</w:t>
      </w:r>
      <w:r>
        <w:rPr/>
        <w:t> </w:t>
      </w:r>
      <w:r>
        <w:rPr>
          <w:rFonts w:ascii="Times New Roman" w:hAnsi="Times New Roman"/>
          <w:sz w:val="20"/>
        </w:rPr>
        <w:t>9.4</w:t>
      </w:r>
      <w:r>
        <w:rPr>
          <w:sz w:val="20"/>
        </w:rPr>
        <w:t>% for the</w:t>
      </w:r>
      <w:r>
        <w:rPr/>
        <w:t> </w:t>
      </w:r>
      <w:r>
        <w:rPr>
          <w:rFonts w:ascii="Times New Roman" w:hAnsi="Times New Roman"/>
          <w:sz w:val="20"/>
        </w:rPr>
        <w:t>nine months ended July 31, 2026</w:t>
      </w:r>
      <w:r>
        <w:rPr/>
        <w:t> </w:t>
      </w:r>
      <w:r>
        <w:rPr>
          <w:sz w:val="20"/>
        </w:rPr>
        <w:t>compared to the same period in the prior year.</w:t>
      </w:r>
      <w:r>
        <w:rPr/>
        <w:t> </w:t>
      </w:r>
      <w:r>
        <w:rPr>
          <w:sz w:val="20"/>
        </w:rPr>
        <w:t>The decrease was due to a 16.1% decrease in homes delivered and a $16.8 million decrease in land sales and other revenue, partially offset by a</w:t>
      </w:r>
      <w:r>
        <w:rPr/>
        <w:t> </w:t>
      </w:r>
      <w:r>
        <w:rPr>
          <w:sz w:val="20"/>
        </w:rPr>
        <w:t xml:space="preserve">9.8% increase in average sales price. The increase in average sales price was the result of new communities delivering higher priced, larger single family homes in higher-end submarkets of the segment for the </w:t>
      </w:r>
      <w:r>
        <w:rPr>
          <w:rFonts w:ascii="Times New Roman" w:hAnsi="Times New Roman"/>
          <w:sz w:val="20"/>
        </w:rPr>
        <w:t>nine months ended July 31, 2026</w:t>
      </w:r>
      <w:r>
        <w:rPr/>
        <w:t xml:space="preserve"> </w:t>
      </w:r>
      <w:r>
        <w:rPr>
          <w:sz w:val="20"/>
        </w:rPr>
        <w:t xml:space="preserve">compared to some communities delivering lower priced, smaller single family homes and townhomes in lower-end submarkets of the segment for the </w:t>
      </w:r>
      <w:r>
        <w:rPr>
          <w:rFonts w:ascii="Times New Roman" w:hAnsi="Times New Roman"/>
          <w:sz w:val="20"/>
        </w:rPr>
        <w:t>nine months ended July 31, 2025</w:t>
      </w:r>
      <w:r>
        <w:rPr>
          <w:sz w:val="20"/>
        </w:rPr>
        <w:t>, which we are no longer delivering in the current year.</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sz w:val="20"/>
        </w:rPr>
        <w:t>Income before income taxes</w:t>
      </w:r>
      <w:r>
        <w:rPr/>
        <w:t> </w:t>
      </w:r>
      <w:r>
        <w:rPr>
          <w:rFonts w:ascii="Times New Roman" w:hAnsi="Times New Roman"/>
          <w:sz w:val="20"/>
        </w:rPr>
        <w:t>decreased</w:t>
      </w:r>
      <w:r>
        <w:rPr/>
        <w:t> </w:t>
      </w:r>
      <w:r>
        <w:rPr>
          <w:sz w:val="20"/>
        </w:rPr>
        <w:t>$</w:t>
      </w:r>
      <w:r>
        <w:rPr>
          <w:rFonts w:ascii="Times New Roman" w:hAnsi="Times New Roman"/>
          <w:sz w:val="20"/>
        </w:rPr>
        <w:t>47.3</w:t>
      </w:r>
      <w:r>
        <w:rPr/>
        <w:t xml:space="preserve"> </w:t>
      </w:r>
      <w:r>
        <w:rPr>
          <w:sz w:val="20"/>
        </w:rPr>
        <w:t>million to a loss of $</w:t>
      </w:r>
      <w:r>
        <w:rPr>
          <w:rFonts w:ascii="Times New Roman" w:hAnsi="Times New Roman"/>
          <w:sz w:val="20"/>
        </w:rPr>
        <w:t>28.0</w:t>
      </w:r>
      <w:r>
        <w:rPr/>
        <w:t> </w:t>
      </w:r>
      <w:r>
        <w:rPr>
          <w:sz w:val="20"/>
        </w:rPr>
        <w:t>million for the</w:t>
      </w:r>
      <w:r>
        <w:rPr/>
        <w:t> </w:t>
      </w:r>
      <w:r>
        <w:rPr>
          <w:rFonts w:ascii="Times New Roman" w:hAnsi="Times New Roman"/>
          <w:sz w:val="20"/>
        </w:rPr>
        <w:t>nine months ended July 31, 2026</w:t>
      </w:r>
      <w:r>
        <w:rPr/>
        <w:t xml:space="preserve"> </w:t>
      </w:r>
      <w:r>
        <w:rPr>
          <w:sz w:val="20"/>
        </w:rPr>
        <w:t>compared to the same period in the prior year. This is</w:t>
      </w:r>
      <w:r>
        <w:rPr/>
        <w:t> </w:t>
      </w:r>
      <w:r>
        <w:rPr>
          <w:sz w:val="20"/>
        </w:rPr>
        <w:t>primarily due to the decrease in homebuilding revenue discussed above, a $13.0 million increase in loss from unconsolidated joint ventures and a decrease in gross margin percentage.</w:t>
      </w:r>
      <w:r>
        <w:rPr/>
        <w:t> </w:t>
      </w:r>
      <w:r>
        <w:rPr>
          <w:sz w:val="20"/>
        </w:rPr>
        <w:t>For a discussion of gross margin see</w:t>
      </w:r>
      <w:r>
        <w:rPr/>
        <w:t> “</w:t>
      </w:r>
      <w:r>
        <w:rPr>
          <w:sz w:val="20"/>
        </w:rPr>
        <w:t>Homebuilding: Cost of Sales”</w:t>
      </w:r>
      <w:r>
        <w:rPr/>
        <w:t> </w:t>
      </w:r>
      <w:r>
        <w:rPr>
          <w:sz w:val="20"/>
        </w:rPr>
        <w:t>above.</w:t>
      </w:r>
    </w:p>
    <w:p>
      <w:pPr>
        <w:pStyle w:val="TextBody"/>
        <w:bidi w:val="0"/>
        <w:spacing w:lineRule="atLeast" w:line="240" w:before="0" w:after="0"/>
        <w:ind w:left="0" w:right="0" w:firstLine="900"/>
        <w:jc w:val="left"/>
        <w:rPr/>
      </w:pPr>
      <w:r>
        <w:rPr/>
        <w:t> </w:t>
      </w:r>
    </w:p>
    <w:p>
      <w:pPr>
        <w:pStyle w:val="TextBody"/>
        <w:bidi w:val="0"/>
        <w:spacing w:lineRule="atLeast" w:line="240" w:before="0" w:after="0"/>
        <w:jc w:val="left"/>
        <w:rPr>
          <w:i/>
          <w:sz w:val="20"/>
        </w:rPr>
      </w:pPr>
      <w:r>
        <w:rPr>
          <w:i/>
          <w:sz w:val="20"/>
        </w:rPr>
        <w:t xml:space="preserve">Financial Services </w:t>
      </w:r>
    </w:p>
    <w:p>
      <w:pPr>
        <w:pStyle w:val="TextBody"/>
        <w:bidi w:val="0"/>
        <w:spacing w:lineRule="atLeast" w:line="240" w:before="200" w:after="200"/>
        <w:ind w:left="0" w:right="0" w:firstLine="900"/>
        <w:jc w:val="left"/>
        <w:rPr/>
      </w:pPr>
      <w:r>
        <w:rPr>
          <w:sz w:val="20"/>
        </w:rPr>
        <w:t xml:space="preserve">Financial services consists primarily of originating mortgages from our home buyers, selling such mortgages in the secondary market, and title insurance activities. We use mandatory investor commitments and forward sales of mortgage-backed securities (“MBS”) to hedge our mortgage-related interest rate exposure on agency and government loans. For the </w:t>
      </w:r>
      <w:r>
        <w:rPr>
          <w:rFonts w:ascii="Times New Roman" w:hAnsi="Times New Roman"/>
          <w:sz w:val="20"/>
        </w:rPr>
        <w:t>nine months ended July 31, 2026</w:t>
      </w:r>
      <w:r>
        <w:rPr/>
        <w:t xml:space="preserve"> </w:t>
      </w:r>
      <w:r>
        <w:rPr>
          <w:sz w:val="20"/>
        </w:rPr>
        <w:t xml:space="preserve">and </w:t>
      </w:r>
      <w:r>
        <w:rPr>
          <w:rFonts w:ascii="Times New Roman" w:hAnsi="Times New Roman"/>
          <w:sz w:val="20"/>
        </w:rPr>
        <w:t>2025</w:t>
      </w:r>
      <w:r>
        <w:rPr>
          <w:sz w:val="20"/>
        </w:rPr>
        <w:t xml:space="preserve">, Federal Housing Administration and Veterans Administration (“FHA/VA”) loans represented 36.4% and 41.0%, respectively, of our total loans. For the </w:t>
      </w:r>
      <w:r>
        <w:rPr>
          <w:rFonts w:ascii="Times New Roman" w:hAnsi="Times New Roman"/>
          <w:sz w:val="20"/>
        </w:rPr>
        <w:t>nine months ended July 31, 2026</w:t>
      </w:r>
      <w:r>
        <w:rPr/>
        <w:t xml:space="preserve"> </w:t>
      </w:r>
      <w:r>
        <w:rPr>
          <w:sz w:val="20"/>
        </w:rPr>
        <w:t xml:space="preserve">compared to the same period in the prior year, our conforming conventional loan originations as a percentage of our total loans increased from 58.0% to 62.1%. The origination of loans which exceed conforming conventions increased from 1.0% to 1.5% for the </w:t>
      </w:r>
      <w:r>
        <w:rPr>
          <w:rFonts w:ascii="Times New Roman" w:hAnsi="Times New Roman"/>
          <w:sz w:val="20"/>
        </w:rPr>
        <w:t>nine months ended July 31, 2026</w:t>
      </w:r>
      <w:r>
        <w:rPr/>
        <w:t xml:space="preserve"> </w:t>
      </w:r>
      <w:r>
        <w:rPr>
          <w:sz w:val="20"/>
        </w:rPr>
        <w:t>compared to the same period in the prior year.</w:t>
      </w:r>
    </w:p>
    <w:p>
      <w:pPr>
        <w:pStyle w:val="TextBody"/>
        <w:bidi w:val="0"/>
        <w:spacing w:lineRule="atLeast" w:line="240" w:before="200" w:after="0"/>
        <w:ind w:left="0" w:right="0" w:firstLine="900"/>
        <w:jc w:val="left"/>
        <w:rPr/>
      </w:pPr>
      <w:r>
        <w:rPr>
          <w:sz w:val="20"/>
        </w:rPr>
        <w:t xml:space="preserve">During the </w:t>
      </w:r>
      <w:r>
        <w:rPr>
          <w:rFonts w:ascii="Times New Roman" w:hAnsi="Times New Roman"/>
          <w:sz w:val="20"/>
        </w:rPr>
        <w:t>three and nine</w:t>
      </w:r>
      <w:r>
        <w:rPr/>
        <w:t xml:space="preserve"> </w:t>
      </w:r>
      <w:r>
        <w:rPr>
          <w:sz w:val="20"/>
        </w:rPr>
        <w:t xml:space="preserve">months ended </w:t>
      </w:r>
      <w:r>
        <w:rPr>
          <w:rFonts w:ascii="Times New Roman" w:hAnsi="Times New Roman"/>
          <w:sz w:val="20"/>
        </w:rPr>
        <w:t>July 31, 2026</w:t>
      </w:r>
      <w:r>
        <w:rPr/>
        <w:t xml:space="preserve"> </w:t>
      </w:r>
      <w:r>
        <w:rPr>
          <w:sz w:val="20"/>
        </w:rPr>
        <w:t xml:space="preserve">and </w:t>
      </w:r>
      <w:r>
        <w:rPr>
          <w:rFonts w:ascii="Times New Roman" w:hAnsi="Times New Roman"/>
          <w:sz w:val="20"/>
        </w:rPr>
        <w:t>2025</w:t>
      </w:r>
      <w:r>
        <w:rPr>
          <w:sz w:val="20"/>
        </w:rPr>
        <w:t>, financial services provided $9.7 million and $25.5 million of income before income taxes, respectively, compared to $13.9</w:t>
      </w:r>
      <w:r>
        <w:rPr/>
        <w:t> </w:t>
      </w:r>
      <w:r>
        <w:rPr>
          <w:sz w:val="20"/>
        </w:rPr>
        <w:t>million and $25.8</w:t>
      </w:r>
      <w:r>
        <w:rPr/>
        <w:t> </w:t>
      </w:r>
      <w:r>
        <w:rPr>
          <w:sz w:val="20"/>
        </w:rPr>
        <w:t>million for the same periods in the prior year.</w:t>
      </w:r>
      <w:r>
        <w:rPr/>
        <w:t> </w:t>
      </w:r>
      <w:r>
        <w:rPr>
          <w:sz w:val="20"/>
        </w:rPr>
        <w:t xml:space="preserve">The decrease in financial services income before income taxes for the </w:t>
      </w:r>
      <w:r>
        <w:rPr>
          <w:rFonts w:ascii="Times New Roman" w:hAnsi="Times New Roman"/>
          <w:sz w:val="20"/>
        </w:rPr>
        <w:t>three and nine</w:t>
      </w:r>
      <w:r>
        <w:rPr/>
        <w:t xml:space="preserve"> </w:t>
      </w:r>
      <w:r>
        <w:rPr>
          <w:sz w:val="20"/>
        </w:rPr>
        <w:t xml:space="preserve">months ended </w:t>
      </w:r>
      <w:r>
        <w:rPr>
          <w:rFonts w:ascii="Times New Roman" w:hAnsi="Times New Roman"/>
          <w:sz w:val="20"/>
        </w:rPr>
        <w:t>July 31, 2026</w:t>
      </w:r>
      <w:r>
        <w:rPr/>
        <w:t> </w:t>
      </w:r>
      <w:r>
        <w:rPr>
          <w:sz w:val="20"/>
        </w:rPr>
        <w:t xml:space="preserve">compared to the same periods in the prior year was primarily due to a decrease in the volume of loans closed. </w:t>
      </w:r>
      <w:r>
        <w:rPr/>
        <w:t> </w:t>
      </w:r>
      <w:r>
        <w:rPr>
          <w:sz w:val="20"/>
        </w:rPr>
        <w:t>In the markets served by our wholly owned mortgage banking subsidiaries,</w:t>
      </w:r>
      <w:r>
        <w:rPr/>
        <w:t> </w:t>
      </w:r>
      <w:r>
        <w:rPr>
          <w:sz w:val="20"/>
        </w:rPr>
        <w:t>84.2% and</w:t>
      </w:r>
      <w:r>
        <w:rPr/>
        <w:t> </w:t>
      </w:r>
      <w:r>
        <w:rPr>
          <w:sz w:val="20"/>
        </w:rPr>
        <w:t>80.9% of our non-cash homebuyers obtained mortgages originated by these subsidiaries during the</w:t>
      </w:r>
      <w:r>
        <w:rPr/>
        <w:t> </w:t>
      </w:r>
      <w:r>
        <w:rPr>
          <w:rFonts w:ascii="Times New Roman" w:hAnsi="Times New Roman"/>
          <w:sz w:val="20"/>
        </w:rPr>
        <w:t>three months ended July 31, 2026</w:t>
      </w:r>
      <w:r>
        <w:rPr/>
        <w:t> </w:t>
      </w:r>
      <w:r>
        <w:rPr>
          <w:sz w:val="20"/>
        </w:rPr>
        <w:t>and</w:t>
      </w:r>
      <w:r>
        <w:rPr/>
        <w:t> </w:t>
      </w:r>
      <w:r>
        <w:rPr>
          <w:rFonts w:ascii="Times New Roman" w:hAnsi="Times New Roman"/>
          <w:sz w:val="20"/>
        </w:rPr>
        <w:t>2025</w:t>
      </w:r>
      <w:r>
        <w:rPr>
          <w:sz w:val="20"/>
        </w:rPr>
        <w:t>, respectively, and 82.5% and</w:t>
      </w:r>
      <w:r>
        <w:rPr/>
        <w:t> </w:t>
      </w:r>
      <w:r>
        <w:rPr>
          <w:sz w:val="20"/>
        </w:rPr>
        <w:t>79.9% of</w:t>
      </w:r>
      <w:r>
        <w:rPr/>
        <w:t> </w:t>
      </w:r>
      <w:r>
        <w:rPr>
          <w:sz w:val="20"/>
        </w:rPr>
        <w:t>our non-cash homebuyers obtained mortgages originated by these subsidiaries during the</w:t>
      </w:r>
      <w:r>
        <w:rPr/>
        <w:t> </w:t>
      </w:r>
      <w:r>
        <w:rPr>
          <w:rFonts w:ascii="Times New Roman" w:hAnsi="Times New Roman"/>
          <w:sz w:val="20"/>
        </w:rPr>
        <w:t>nine months ended July 31, 2026</w:t>
      </w:r>
      <w:r>
        <w:rPr/>
        <w:t xml:space="preserve"> </w:t>
      </w:r>
      <w:r>
        <w:rPr>
          <w:sz w:val="20"/>
        </w:rPr>
        <w:t xml:space="preserve">and </w:t>
      </w:r>
      <w:r>
        <w:rPr>
          <w:rFonts w:ascii="Times New Roman" w:hAnsi="Times New Roman"/>
          <w:sz w:val="20"/>
        </w:rPr>
        <w:t>2025</w:t>
      </w:r>
      <w:r>
        <w:rPr>
          <w:sz w:val="20"/>
        </w:rPr>
        <w:t>, respectively.</w:t>
      </w:r>
    </w:p>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pPr>
      <w:hyperlink w:anchor="TOC_TableofContent">
        <w:r>
          <w:rPr>
            <w:rStyle w:val="InternetLink"/>
            <w:strike w:val="false"/>
            <w:dstrike w:val="false"/>
            <w:color w:val="0000FF"/>
            <w:sz w:val="20"/>
            <w:u w:val="single"/>
            <w:effect w:val="none"/>
          </w:rPr>
          <w:t>Table of Contents</w:t>
        </w:r>
      </w:hyperlink>
    </w:p>
    <w:p>
      <w:pPr>
        <w:pStyle w:val="TextBody"/>
        <w:bidi w:val="0"/>
        <w:spacing w:lineRule="atLeast" w:line="240" w:before="0" w:after="0"/>
        <w:jc w:val="left"/>
        <w:rPr/>
      </w:pPr>
      <w:r>
        <w:rPr/>
        <w:t> </w:t>
      </w:r>
    </w:p>
    <w:p>
      <w:pPr>
        <w:pStyle w:val="TextBody"/>
        <w:bidi w:val="0"/>
        <w:spacing w:lineRule="atLeast" w:line="240" w:before="0" w:after="200"/>
        <w:jc w:val="left"/>
        <w:rPr>
          <w:i/>
          <w:sz w:val="20"/>
        </w:rPr>
      </w:pPr>
      <w:r>
        <w:rPr>
          <w:i/>
          <w:sz w:val="20"/>
        </w:rPr>
        <w:t xml:space="preserve">Corporate General and Administrative </w:t>
      </w:r>
    </w:p>
    <w:p>
      <w:pPr>
        <w:pStyle w:val="TextBody"/>
        <w:bidi w:val="0"/>
        <w:spacing w:lineRule="atLeast" w:line="240" w:before="0" w:after="0"/>
        <w:ind w:left="0" w:right="0" w:firstLine="900"/>
        <w:jc w:val="left"/>
        <w:rPr/>
      </w:pPr>
      <w:r>
        <w:rPr>
          <w:sz w:val="20"/>
        </w:rPr>
        <w:t xml:space="preserve">Corporate general and administrative expenses include costs related to operations at our headquarters in New Jersey and New York, </w:t>
      </w:r>
      <w:r>
        <w:rPr/>
        <w:t> </w:t>
      </w:r>
      <w:r>
        <w:rPr>
          <w:sz w:val="20"/>
        </w:rPr>
        <w:t>including payroll, stock compensation, facility costs and rent and other costs associated with our executive offices, legal expenses, information services, human resources, corporate accounting, training, treasury, process redesign, internal audit, national and digital marketing, construction services and administration of insurance, quality and safety. Corporate general and administrative expenses increased to $</w:t>
      </w:r>
      <w:r>
        <w:rPr>
          <w:rFonts w:ascii="Times New Roman" w:hAnsi="Times New Roman"/>
          <w:sz w:val="20"/>
        </w:rPr>
        <w:t>37.4</w:t>
      </w:r>
      <w:r>
        <w:rPr/>
        <w:t xml:space="preserve"> </w:t>
      </w:r>
      <w:r>
        <w:rPr>
          <w:sz w:val="20"/>
        </w:rPr>
        <w:t xml:space="preserve">million for the </w:t>
      </w:r>
      <w:r>
        <w:rPr>
          <w:rFonts w:ascii="Times New Roman" w:hAnsi="Times New Roman"/>
          <w:sz w:val="20"/>
        </w:rPr>
        <w:t>three months ended July 31, 2026</w:t>
      </w:r>
      <w:r>
        <w:rPr/>
        <w:t xml:space="preserve"> </w:t>
      </w:r>
      <w:r>
        <w:rPr>
          <w:sz w:val="20"/>
        </w:rPr>
        <w:t>from $</w:t>
      </w:r>
      <w:r>
        <w:rPr>
          <w:rFonts w:ascii="Times New Roman" w:hAnsi="Times New Roman"/>
          <w:sz w:val="20"/>
        </w:rPr>
        <w:t>35.0</w:t>
      </w:r>
      <w:r>
        <w:rPr/>
        <w:t xml:space="preserve"> </w:t>
      </w:r>
      <w:r>
        <w:rPr>
          <w:sz w:val="20"/>
        </w:rPr>
        <w:t>million in the prior year period and to $</w:t>
      </w:r>
      <w:r>
        <w:rPr>
          <w:rFonts w:ascii="Times New Roman" w:hAnsi="Times New Roman"/>
          <w:sz w:val="20"/>
        </w:rPr>
        <w:t>98.1</w:t>
      </w:r>
      <w:r>
        <w:rPr/>
        <w:t> </w:t>
      </w:r>
      <w:r>
        <w:rPr>
          <w:sz w:val="20"/>
        </w:rPr>
        <w:t>million for the</w:t>
      </w:r>
      <w:r>
        <w:rPr/>
        <w:t> </w:t>
      </w:r>
      <w:r>
        <w:rPr>
          <w:rFonts w:ascii="Times New Roman" w:hAnsi="Times New Roman"/>
          <w:sz w:val="20"/>
        </w:rPr>
        <w:t>nine months ended July 31, 2026</w:t>
      </w:r>
      <w:r>
        <w:rPr/>
        <w:t> </w:t>
      </w:r>
      <w:r>
        <w:rPr>
          <w:sz w:val="20"/>
        </w:rPr>
        <w:t>from $</w:t>
      </w:r>
      <w:r>
        <w:rPr>
          <w:rFonts w:ascii="Times New Roman" w:hAnsi="Times New Roman"/>
          <w:sz w:val="20"/>
        </w:rPr>
        <w:t>97.2</w:t>
      </w:r>
      <w:r>
        <w:rPr/>
        <w:t xml:space="preserve"> </w:t>
      </w:r>
      <w:r>
        <w:rPr>
          <w:sz w:val="20"/>
        </w:rPr>
        <w:t>million in the prior year period. The increases were primarily due to higher compensation expense, driven mainly by increased headcount and annual merit increases, as well as higher depreciation expense related to completed software projects and certain leasehold improvements depreciated in the current fiscal year.</w:t>
      </w:r>
    </w:p>
    <w:p>
      <w:pPr>
        <w:pStyle w:val="TextBody"/>
        <w:bidi w:val="0"/>
        <w:spacing w:lineRule="atLeast" w:line="240" w:before="0" w:after="0"/>
        <w:ind w:left="0" w:right="0" w:firstLine="900"/>
        <w:jc w:val="left"/>
        <w:rPr/>
      </w:pPr>
      <w:r>
        <w:rPr/>
        <w:t> </w:t>
      </w:r>
    </w:p>
    <w:p>
      <w:pPr>
        <w:pStyle w:val="TextBody"/>
        <w:bidi w:val="0"/>
        <w:spacing w:lineRule="atLeast" w:line="240" w:before="0" w:after="200"/>
        <w:jc w:val="left"/>
        <w:rPr>
          <w:i/>
          <w:sz w:val="20"/>
        </w:rPr>
      </w:pPr>
      <w:r>
        <w:rPr>
          <w:i/>
          <w:sz w:val="20"/>
        </w:rPr>
        <w:t>Income from Unconsolidated Joint Ventures</w:t>
      </w:r>
    </w:p>
    <w:p>
      <w:pPr>
        <w:pStyle w:val="TextBody"/>
        <w:bidi w:val="0"/>
        <w:spacing w:lineRule="atLeast" w:line="240" w:before="0" w:after="200"/>
        <w:ind w:left="0" w:right="0" w:firstLine="900"/>
        <w:jc w:val="left"/>
        <w:rPr/>
      </w:pPr>
      <w:r>
        <w:rPr>
          <w:sz w:val="20"/>
        </w:rPr>
        <w:t>Income from unconsolidated joint ventures represents our share of earnings or losses from those ventures. Income from unconsolidated joint ventures</w:t>
      </w:r>
      <w:r>
        <w:rPr/>
        <w:t> </w:t>
      </w:r>
      <w:r>
        <w:rPr>
          <w:rFonts w:ascii="Times New Roman" w:hAnsi="Times New Roman"/>
          <w:sz w:val="20"/>
        </w:rPr>
        <w:t>decreased</w:t>
      </w:r>
      <w:r>
        <w:rPr/>
        <w:t> </w:t>
      </w:r>
      <w:r>
        <w:rPr>
          <w:sz w:val="20"/>
        </w:rPr>
        <w:t>$</w:t>
      </w:r>
      <w:r>
        <w:rPr>
          <w:rFonts w:ascii="Times New Roman" w:hAnsi="Times New Roman"/>
          <w:sz w:val="20"/>
        </w:rPr>
        <w:t>12.1</w:t>
      </w:r>
      <w:r>
        <w:rPr/>
        <w:t> </w:t>
      </w:r>
      <w:r>
        <w:rPr>
          <w:sz w:val="20"/>
        </w:rPr>
        <w:t>million</w:t>
      </w:r>
      <w:r>
        <w:rPr/>
        <w:t> </w:t>
      </w:r>
      <w:r>
        <w:rPr>
          <w:sz w:val="20"/>
        </w:rPr>
        <w:t>to $</w:t>
      </w:r>
      <w:r>
        <w:rPr>
          <w:rFonts w:ascii="Times New Roman" w:hAnsi="Times New Roman"/>
          <w:sz w:val="20"/>
        </w:rPr>
        <w:t>3.4</w:t>
      </w:r>
      <w:r>
        <w:rPr/>
        <w:t> </w:t>
      </w:r>
      <w:r>
        <w:rPr>
          <w:sz w:val="20"/>
        </w:rPr>
        <w:t>million for the three months ended July 31, 2026, and by</w:t>
      </w:r>
      <w:r>
        <w:rPr/>
        <w:t> </w:t>
      </w:r>
      <w:r>
        <w:rPr>
          <w:sz w:val="20"/>
        </w:rPr>
        <w:t>$</w:t>
      </w:r>
      <w:r>
        <w:rPr>
          <w:rFonts w:ascii="Times New Roman" w:hAnsi="Times New Roman"/>
          <w:sz w:val="20"/>
        </w:rPr>
        <w:t>28.0</w:t>
      </w:r>
      <w:r>
        <w:rPr/>
        <w:t> </w:t>
      </w:r>
      <w:r>
        <w:rPr>
          <w:sz w:val="20"/>
        </w:rPr>
        <w:t>million to $</w:t>
      </w:r>
      <w:r>
        <w:rPr>
          <w:rFonts w:ascii="Times New Roman" w:hAnsi="Times New Roman"/>
          <w:sz w:val="20"/>
        </w:rPr>
        <w:t>5.7</w:t>
      </w:r>
      <w:r>
        <w:rPr/>
        <w:t> </w:t>
      </w:r>
      <w:r>
        <w:rPr>
          <w:sz w:val="20"/>
        </w:rPr>
        <w:t xml:space="preserve">million for the </w:t>
      </w:r>
      <w:r>
        <w:rPr>
          <w:rFonts w:ascii="Times New Roman" w:hAnsi="Times New Roman"/>
          <w:sz w:val="20"/>
        </w:rPr>
        <w:t>nine months ended July 31, 2026</w:t>
      </w:r>
      <w:r>
        <w:rPr>
          <w:sz w:val="20"/>
        </w:rPr>
        <w:t>, compared with the same periods in the prior year. The decreases were primarily due to fewer unconsolidated joint ventures communities open for sale, which resulted in fewer deliveries. In addition, several</w:t>
      </w:r>
      <w:r>
        <w:rPr/>
        <w:t> </w:t>
      </w:r>
      <w:r>
        <w:rPr>
          <w:sz w:val="20"/>
        </w:rPr>
        <w:t>joint</w:t>
      </w:r>
      <w:r>
        <w:rPr/>
        <w:t> </w:t>
      </w:r>
      <w:r>
        <w:rPr>
          <w:sz w:val="20"/>
        </w:rPr>
        <w:t>venture</w:t>
      </w:r>
      <w:r>
        <w:rPr/>
        <w:t> </w:t>
      </w:r>
      <w:r>
        <w:rPr>
          <w:sz w:val="20"/>
        </w:rPr>
        <w:t>communities are in the</w:t>
      </w:r>
      <w:r>
        <w:rPr/>
        <w:t> </w:t>
      </w:r>
      <w:r>
        <w:rPr>
          <w:sz w:val="20"/>
        </w:rPr>
        <w:t>early stages of development</w:t>
      </w:r>
      <w:r>
        <w:rPr/>
        <w:t> </w:t>
      </w:r>
      <w:r>
        <w:rPr>
          <w:sz w:val="20"/>
        </w:rPr>
        <w:t>and are incurring typical start-up costs before initial deliveries.</w:t>
      </w:r>
    </w:p>
    <w:p>
      <w:pPr>
        <w:pStyle w:val="TextBody"/>
        <w:bidi w:val="0"/>
        <w:spacing w:lineRule="atLeast" w:line="240" w:before="200" w:after="200"/>
        <w:jc w:val="left"/>
        <w:rPr>
          <w:i/>
          <w:sz w:val="20"/>
        </w:rPr>
      </w:pPr>
      <w:r>
        <w:rPr>
          <w:i/>
          <w:sz w:val="20"/>
        </w:rPr>
        <w:t xml:space="preserve">Other Interest </w:t>
      </w:r>
    </w:p>
    <w:p>
      <w:pPr>
        <w:pStyle w:val="TextBody"/>
        <w:bidi w:val="0"/>
        <w:spacing w:lineRule="atLeast" w:line="240" w:before="200" w:after="200"/>
        <w:jc w:val="left"/>
        <w:rPr/>
      </w:pPr>
      <w:r>
        <w:rPr/>
        <w:t xml:space="preserve">                  </w:t>
      </w:r>
      <w:r>
        <w:rPr>
          <w:sz w:val="20"/>
        </w:rPr>
        <w:t xml:space="preserve">Other interest </w:t>
      </w:r>
      <w:r>
        <w:rPr>
          <w:rFonts w:ascii="Times New Roman" w:hAnsi="Times New Roman"/>
          <w:sz w:val="20"/>
        </w:rPr>
        <w:t>increased</w:t>
      </w:r>
      <w:r>
        <w:rPr/>
        <w:t xml:space="preserve"> </w:t>
      </w:r>
      <w:r>
        <w:rPr>
          <w:sz w:val="20"/>
        </w:rPr>
        <w:t>by $</w:t>
      </w:r>
      <w:r>
        <w:rPr>
          <w:rFonts w:ascii="Times New Roman" w:hAnsi="Times New Roman"/>
          <w:sz w:val="20"/>
        </w:rPr>
        <w:t>4.2</w:t>
      </w:r>
      <w:r>
        <w:rPr/>
        <w:t xml:space="preserve"> </w:t>
      </w:r>
      <w:r>
        <w:rPr>
          <w:sz w:val="20"/>
        </w:rPr>
        <w:t>million to $</w:t>
      </w:r>
      <w:r>
        <w:rPr>
          <w:rFonts w:ascii="Times New Roman" w:hAnsi="Times New Roman"/>
          <w:sz w:val="20"/>
        </w:rPr>
        <w:t>11.4</w:t>
      </w:r>
      <w:r>
        <w:rPr/>
        <w:t xml:space="preserve"> </w:t>
      </w:r>
      <w:r>
        <w:rPr>
          <w:sz w:val="20"/>
        </w:rPr>
        <w:t xml:space="preserve">million for the </w:t>
      </w:r>
      <w:r>
        <w:rPr>
          <w:rFonts w:ascii="Times New Roman" w:hAnsi="Times New Roman"/>
          <w:sz w:val="20"/>
        </w:rPr>
        <w:t>three months ended July 31, 2026</w:t>
      </w:r>
      <w:r>
        <w:rPr/>
        <w:t xml:space="preserve"> </w:t>
      </w:r>
      <w:r>
        <w:rPr>
          <w:sz w:val="20"/>
        </w:rPr>
        <w:t>and by $</w:t>
      </w:r>
      <w:r>
        <w:rPr>
          <w:rFonts w:ascii="Times New Roman" w:hAnsi="Times New Roman"/>
          <w:sz w:val="20"/>
        </w:rPr>
        <w:t>10.2</w:t>
      </w:r>
      <w:r>
        <w:rPr/>
        <w:t xml:space="preserve"> </w:t>
      </w:r>
      <w:r>
        <w:rPr>
          <w:sz w:val="20"/>
        </w:rPr>
        <w:t>million to $</w:t>
      </w:r>
      <w:r>
        <w:rPr>
          <w:rFonts w:ascii="Times New Roman" w:hAnsi="Times New Roman"/>
          <w:sz w:val="20"/>
        </w:rPr>
        <w:t>36.0</w:t>
      </w:r>
      <w:r>
        <w:rPr/>
        <w:t xml:space="preserve"> </w:t>
      </w:r>
      <w:r>
        <w:rPr>
          <w:sz w:val="20"/>
        </w:rPr>
        <w:t xml:space="preserve">million for the </w:t>
      </w:r>
      <w:r>
        <w:rPr>
          <w:rFonts w:ascii="Times New Roman" w:hAnsi="Times New Roman"/>
          <w:sz w:val="20"/>
        </w:rPr>
        <w:t>nine months ended July 31, 2026</w:t>
      </w:r>
      <w:r>
        <w:rPr>
          <w:sz w:val="20"/>
        </w:rPr>
        <w:t>, compared with the same periods in the prior year. The increases were primarily due to a higher number of communities in planning and increased model lease</w:t>
      </w:r>
      <w:r>
        <w:rPr/>
        <w:t> </w:t>
      </w:r>
      <w:r>
        <w:rPr>
          <w:sz w:val="20"/>
        </w:rPr>
        <w:t>financing activity during the periods.</w:t>
      </w:r>
    </w:p>
    <w:p>
      <w:pPr>
        <w:pStyle w:val="TextBody"/>
        <w:bidi w:val="0"/>
        <w:spacing w:lineRule="atLeast" w:line="240" w:before="200" w:after="200"/>
        <w:jc w:val="left"/>
        <w:rPr/>
      </w:pPr>
      <w:r>
        <w:rPr>
          <w:i/>
          <w:sz w:val="20"/>
        </w:rPr>
        <w:t>Income Taxes</w:t>
      </w:r>
      <w:r>
        <w:rPr/>
        <w:t> </w:t>
      </w:r>
    </w:p>
    <w:p>
      <w:pPr>
        <w:pStyle w:val="TextBody"/>
        <w:bidi w:val="0"/>
        <w:spacing w:lineRule="atLeast" w:line="240" w:before="0" w:after="0"/>
        <w:ind w:left="0" w:right="0" w:firstLine="907"/>
        <w:jc w:val="left"/>
        <w:rPr/>
      </w:pPr>
      <w:r>
        <w:rPr>
          <w:rFonts w:ascii="Liberation Serif" w:hAnsi="Liberation Serif"/>
          <w:sz w:val="20"/>
        </w:rPr>
        <w:t>For the three months ended July 31, 2026</w:t>
      </w:r>
      <w:r>
        <w:rPr/>
        <w:t xml:space="preserve"> </w:t>
      </w:r>
      <w:r>
        <w:rPr>
          <w:rFonts w:ascii="Liberation Serif" w:hAnsi="Liberation Serif"/>
          <w:sz w:val="20"/>
        </w:rPr>
        <w:t>and 2025, we recorded income tax benefit of $0.6</w:t>
      </w:r>
      <w:r>
        <w:rPr/>
        <w:t xml:space="preserve"> </w:t>
      </w:r>
      <w:r>
        <w:rPr>
          <w:rFonts w:ascii="Liberation Serif" w:hAnsi="Liberation Serif"/>
          <w:sz w:val="20"/>
        </w:rPr>
        <w:t>million</w:t>
      </w:r>
      <w:r>
        <w:rPr/>
        <w:t> </w:t>
      </w:r>
      <w:r>
        <w:rPr>
          <w:rFonts w:ascii="Liberation Serif" w:hAnsi="Liberation Serif"/>
          <w:sz w:val="20"/>
        </w:rPr>
        <w:t>and income tax expense of $7.2</w:t>
      </w:r>
      <w:r>
        <w:rPr/>
        <w:t xml:space="preserve"> </w:t>
      </w:r>
      <w:r>
        <w:rPr>
          <w:rFonts w:ascii="Liberation Serif" w:hAnsi="Liberation Serif"/>
          <w:sz w:val="20"/>
        </w:rPr>
        <w:t>million, respectively. For the nine months ended July 31, 2026</w:t>
      </w:r>
      <w:r>
        <w:rPr/>
        <w:t xml:space="preserve"> </w:t>
      </w:r>
      <w:r>
        <w:rPr>
          <w:rFonts w:ascii="Liberation Serif" w:hAnsi="Liberation Serif"/>
          <w:sz w:val="20"/>
        </w:rPr>
        <w:t>and 2025, we recorded income tax expense of $8.2</w:t>
      </w:r>
      <w:r>
        <w:rPr/>
        <w:t xml:space="preserve"> </w:t>
      </w:r>
      <w:r>
        <w:rPr>
          <w:rFonts w:ascii="Liberation Serif" w:hAnsi="Liberation Serif"/>
          <w:sz w:val="20"/>
        </w:rPr>
        <w:t>million and $25.7</w:t>
      </w:r>
      <w:r>
        <w:rPr/>
        <w:t xml:space="preserve"> </w:t>
      </w:r>
      <w:r>
        <w:rPr>
          <w:rFonts w:ascii="Liberation Serif" w:hAnsi="Liberation Serif"/>
          <w:sz w:val="20"/>
        </w:rPr>
        <w:t>million, respectively. The income tax expense or benefit for each period was primarily driven by federal and state taxes on income or loss before income taxes and permanent differences, partially offset by home energy credits. Federal tax expense did not result in cash tax payments because it was offset by the use of our existing NOL carryforwards.</w:t>
      </w:r>
      <w:r>
        <w:rPr/>
        <w:t> </w:t>
      </w:r>
    </w:p>
    <w:p>
      <w:pPr>
        <w:pStyle w:val="TextBody"/>
        <w:bidi w:val="0"/>
        <w:spacing w:lineRule="atLeast" w:line="240" w:before="0" w:after="0"/>
        <w:ind w:left="0" w:right="0" w:firstLine="900"/>
        <w:jc w:val="left"/>
        <w:rPr/>
      </w:pPr>
      <w:r>
        <w:rPr/>
        <w:t> </w:t>
      </w:r>
    </w:p>
    <w:p>
      <w:pPr>
        <w:pStyle w:val="TextBody"/>
        <w:bidi w:val="0"/>
        <w:spacing w:lineRule="atLeast" w:line="240" w:before="0" w:after="0"/>
        <w:jc w:val="left"/>
        <w:rPr>
          <w:b/>
          <w:sz w:val="20"/>
        </w:rPr>
      </w:pPr>
      <w:r>
        <w:rPr>
          <w:b/>
          <w:sz w:val="20"/>
        </w:rPr>
        <w:t>Capital Resources and Liquidity</w:t>
      </w:r>
    </w:p>
    <w:p>
      <w:pPr>
        <w:pStyle w:val="TextBody"/>
        <w:bidi w:val="0"/>
        <w:spacing w:lineRule="atLeast" w:line="240" w:before="200" w:after="200"/>
        <w:jc w:val="left"/>
        <w:rPr>
          <w:i/>
          <w:sz w:val="20"/>
        </w:rPr>
      </w:pPr>
      <w:r>
        <w:rPr>
          <w:i/>
          <w:sz w:val="20"/>
        </w:rPr>
        <w:t>Overview</w:t>
      </w:r>
    </w:p>
    <w:p>
      <w:pPr>
        <w:pStyle w:val="TextBody"/>
        <w:bidi w:val="0"/>
        <w:spacing w:lineRule="atLeast" w:line="240" w:before="200" w:after="200"/>
        <w:ind w:left="0" w:right="0" w:firstLine="900"/>
        <w:jc w:val="left"/>
        <w:rPr/>
      </w:pPr>
      <w:r>
        <w:rPr>
          <w:sz w:val="20"/>
        </w:rPr>
        <w:t xml:space="preserve">Our total liquidity at </w:t>
      </w:r>
      <w:r>
        <w:rPr>
          <w:rFonts w:ascii="Times New Roman" w:hAnsi="Times New Roman"/>
          <w:sz w:val="20"/>
        </w:rPr>
        <w:t>July 31, 2026</w:t>
      </w:r>
      <w:r>
        <w:rPr/>
        <w:t xml:space="preserve"> </w:t>
      </w:r>
      <w:r>
        <w:rPr>
          <w:sz w:val="20"/>
        </w:rPr>
        <w:t>was $379.8 million, including $</w:t>
      </w:r>
      <w:r>
        <w:rPr>
          <w:rFonts w:ascii="Times New Roman" w:hAnsi="Times New Roman"/>
          <w:sz w:val="20"/>
        </w:rPr>
        <w:t>249.1</w:t>
      </w:r>
      <w:r>
        <w:rPr/>
        <w:t xml:space="preserve"> </w:t>
      </w:r>
      <w:r>
        <w:rPr>
          <w:sz w:val="20"/>
        </w:rPr>
        <w:t>million in homebuilding cash and cash equivalents and $</w:t>
      </w:r>
      <w:r>
        <w:rPr>
          <w:rFonts w:ascii="Times New Roman" w:hAnsi="Times New Roman"/>
          <w:sz w:val="20"/>
        </w:rPr>
        <w:t>125.0</w:t>
      </w:r>
      <w:r>
        <w:rPr/>
        <w:t xml:space="preserve"> </w:t>
      </w:r>
      <w:r>
        <w:rPr>
          <w:sz w:val="20"/>
        </w:rPr>
        <w:t>million of borrowing capacity under our senior secured revolving credit facility. We believe that our cash on hand together with available borrowings on our senior secured revolving credit facility will be sufficient for at least the next 12 months to finance our working capital requirements.</w:t>
      </w:r>
    </w:p>
    <w:p>
      <w:pPr>
        <w:pStyle w:val="TextBody"/>
        <w:bidi w:val="0"/>
        <w:spacing w:lineRule="atLeast" w:line="240" w:before="200" w:after="200"/>
        <w:ind w:left="0" w:right="0" w:firstLine="900"/>
        <w:jc w:val="left"/>
        <w:rPr>
          <w:sz w:val="20"/>
        </w:rPr>
      </w:pPr>
      <w:r>
        <w:rPr>
          <w:sz w:val="20"/>
        </w:rPr>
        <w:t xml:space="preserve">We have historically funded our homebuilding and financial services operations with cash flows from operating activities, borrowings under our credit facilities, the issuance of new debt and equity securities, and other financing activities. We may not be able to obtain desired financing even if market conditions, including then-current market available interest rates (in recent years, we have not been able to access the traditional capital and bank lending markets at competitive interest rates due to our highly leveraged capital structure), would otherwise be favorable, which could impact our ability to grow our business. </w:t>
      </w:r>
    </w:p>
    <w:p>
      <w:pPr>
        <w:pStyle w:val="TextBody"/>
        <w:bidi w:val="0"/>
        <w:spacing w:lineRule="atLeast" w:line="240" w:before="200" w:after="200"/>
        <w:jc w:val="left"/>
        <w:rPr>
          <w:i/>
          <w:sz w:val="20"/>
        </w:rPr>
      </w:pPr>
      <w:r>
        <w:rPr>
          <w:i/>
          <w:sz w:val="20"/>
        </w:rPr>
        <w:t>Operating, Investing and Financing Cash Flow Activities</w:t>
      </w:r>
    </w:p>
    <w:p>
      <w:pPr>
        <w:pStyle w:val="TextBody"/>
        <w:bidi w:val="0"/>
        <w:spacing w:lineRule="atLeast" w:line="240" w:before="200" w:after="200"/>
        <w:ind w:left="0" w:right="0" w:firstLine="900"/>
        <w:jc w:val="left"/>
        <w:rPr/>
      </w:pPr>
      <w:r>
        <w:rPr>
          <w:sz w:val="20"/>
        </w:rPr>
        <w:t>We spent $644.9</w:t>
      </w:r>
      <w:r>
        <w:rPr/>
        <w:t> </w:t>
      </w:r>
      <w:r>
        <w:rPr>
          <w:sz w:val="20"/>
        </w:rPr>
        <w:t xml:space="preserve">million on domestic land and land development during the first three quarters of fiscal </w:t>
      </w:r>
      <w:r>
        <w:rPr>
          <w:rFonts w:ascii="Times New Roman" w:hAnsi="Times New Roman"/>
          <w:sz w:val="20"/>
        </w:rPr>
        <w:t>2026</w:t>
      </w:r>
      <w:r>
        <w:rPr>
          <w:sz w:val="20"/>
        </w:rPr>
        <w:t>. After land and land development spending and all other operating activities, including revenue received from deliveries, cash from operations was $</w:t>
      </w:r>
      <w:r>
        <w:rPr>
          <w:rFonts w:ascii="Times New Roman" w:hAnsi="Times New Roman"/>
          <w:sz w:val="20"/>
        </w:rPr>
        <w:t>49.8</w:t>
      </w:r>
      <w:r>
        <w:rPr/>
        <w:t xml:space="preserve"> </w:t>
      </w:r>
      <w:r>
        <w:rPr>
          <w:sz w:val="20"/>
        </w:rPr>
        <w:t xml:space="preserve">million. During the first three quarters of fiscal </w:t>
      </w:r>
      <w:r>
        <w:rPr>
          <w:rFonts w:ascii="Times New Roman" w:hAnsi="Times New Roman"/>
          <w:sz w:val="20"/>
        </w:rPr>
        <w:t>2026</w:t>
      </w:r>
      <w:r>
        <w:rPr>
          <w:sz w:val="20"/>
        </w:rPr>
        <w:t>, cash used in investing activities was $</w:t>
      </w:r>
      <w:r>
        <w:rPr>
          <w:rFonts w:ascii="Times New Roman" w:hAnsi="Times New Roman"/>
          <w:sz w:val="20"/>
        </w:rPr>
        <w:t>38.3</w:t>
      </w:r>
      <w:r>
        <w:rPr/>
        <w:t> </w:t>
      </w:r>
      <w:r>
        <w:rPr>
          <w:sz w:val="20"/>
        </w:rPr>
        <w:t xml:space="preserve">million, primarily due to a new joint venture entered into during the first three quarters of fiscal </w:t>
      </w:r>
      <w:r>
        <w:rPr>
          <w:rFonts w:ascii="Times New Roman" w:hAnsi="Times New Roman"/>
          <w:sz w:val="20"/>
        </w:rPr>
        <w:t>2026</w:t>
      </w:r>
      <w:r>
        <w:rPr>
          <w:sz w:val="20"/>
        </w:rPr>
        <w:t>, along with spending on capitalized software, partially offset by net cash acquired through acquisitions. Cash used in financing activities was $</w:t>
      </w:r>
      <w:r>
        <w:rPr>
          <w:rFonts w:ascii="Times New Roman" w:hAnsi="Times New Roman"/>
          <w:sz w:val="20"/>
        </w:rPr>
        <w:t>39.1</w:t>
      </w:r>
      <w:r>
        <w:rPr/>
        <w:t xml:space="preserve"> </w:t>
      </w:r>
      <w:r>
        <w:rPr>
          <w:sz w:val="20"/>
        </w:rPr>
        <w:t xml:space="preserve">million during the first three quarters of fiscal </w:t>
      </w:r>
      <w:r>
        <w:rPr>
          <w:rFonts w:ascii="Times New Roman" w:hAnsi="Times New Roman"/>
          <w:sz w:val="20"/>
        </w:rPr>
        <w:t>2026</w:t>
      </w:r>
      <w:r>
        <w:rPr>
          <w:sz w:val="20"/>
        </w:rPr>
        <w:t>, primarily due to net payments for nonrecourse mortgage financings, net payments for</w:t>
      </w:r>
      <w:r>
        <w:rPr/>
        <w:t> </w:t>
      </w:r>
      <w:r>
        <w:rPr>
          <w:sz w:val="20"/>
        </w:rPr>
        <w:t>model sale leaseback financings and land bank financings, treasury stock purchases and payments of preferred dividends, partially offset by net proceeds from our mortgage warehouse lines of credit. We intend to continue to use nonrecourse mortgages, model sale leasebacks, joint ventures, and, subject to covenant restrictions in our debt instruments, land banking programs as our business needs dictate.</w:t>
      </w:r>
    </w:p>
    <w:p>
      <w:pPr>
        <w:pStyle w:val="TextBody"/>
        <w:bidi w:val="0"/>
        <w:spacing w:lineRule="atLeast" w:line="240" w:before="200" w:after="200"/>
        <w:ind w:left="0" w:right="0" w:firstLine="900"/>
        <w:jc w:val="left"/>
        <w:rPr/>
      </w:pPr>
      <w:r>
        <w:rPr>
          <w:sz w:val="20"/>
        </w:rPr>
        <w:t xml:space="preserve">Our cash uses during the </w:t>
      </w:r>
      <w:r>
        <w:rPr>
          <w:rFonts w:ascii="Times New Roman" w:hAnsi="Times New Roman"/>
          <w:sz w:val="20"/>
        </w:rPr>
        <w:t>nine months ended July 31, 2026</w:t>
      </w:r>
      <w:r>
        <w:rPr/>
        <w:t xml:space="preserve"> </w:t>
      </w:r>
      <w:r>
        <w:rPr>
          <w:sz w:val="20"/>
        </w:rPr>
        <w:t xml:space="preserve">and </w:t>
      </w:r>
      <w:r>
        <w:rPr>
          <w:rFonts w:ascii="Times New Roman" w:hAnsi="Times New Roman"/>
          <w:sz w:val="20"/>
        </w:rPr>
        <w:t>2025</w:t>
      </w:r>
      <w:r>
        <w:rPr/>
        <w:t xml:space="preserve"> </w:t>
      </w:r>
      <w:r>
        <w:rPr>
          <w:sz w:val="20"/>
        </w:rPr>
        <w:t>were for operating expenses, land purchases, land deposits, land development, construction spending, nonrecourse mortgage transactions, model sale leasebacks, state income taxes, interest payments, preferred dividends, equity repurchases,</w:t>
      </w:r>
      <w:r>
        <w:rPr/>
        <w:t> </w:t>
      </w:r>
      <w:r>
        <w:rPr>
          <w:sz w:val="20"/>
        </w:rPr>
        <w:t>investments in unconsolidated joint ventures and acquisitions. During these periods, we provided for our cash requirements from available cash on hand, home and land sales, land banking transactions, income from unconsolidated joint ventures, financial service revenues and other revenues.</w:t>
      </w:r>
    </w:p>
    <w:p>
      <w:pPr>
        <w:pStyle w:val="TextBody"/>
        <w:bidi w:val="0"/>
        <w:spacing w:before="0" w:after="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r>
        <w:br w:type="page"/>
      </w:r>
    </w:p>
    <w:p>
      <w:pPr>
        <w:pStyle w:val="TextBody"/>
        <w:bidi w:val="0"/>
        <w:spacing w:lineRule="atLeast" w:line="240" w:before="0" w:after="0"/>
        <w:jc w:val="left"/>
        <w:rPr/>
      </w:pPr>
      <w:hyperlink w:anchor="TOC">
        <w:r>
          <w:rPr>
            <w:rStyle w:val="InternetLink"/>
            <w:strike w:val="false"/>
            <w:dstrike w:val="false"/>
            <w:sz w:val="20"/>
            <w:u w:val="single"/>
            <w:effect w:val="none"/>
          </w:rPr>
          <w:t>Table of Contents</w:t>
        </w:r>
      </w:hyperlink>
    </w:p>
    <w:p>
      <w:pPr>
        <w:pStyle w:val="TextBody"/>
        <w:bidi w:val="0"/>
        <w:spacing w:lineRule="atLeast" w:line="240" w:before="200" w:after="0"/>
        <w:ind w:left="0" w:right="0" w:firstLine="900"/>
        <w:jc w:val="left"/>
        <w:rPr>
          <w:sz w:val="20"/>
        </w:rPr>
      </w:pPr>
      <w:r>
        <w:rPr>
          <w:sz w:val="20"/>
        </w:rPr>
        <w:t xml:space="preserve">Our net income historically does not approximate cash flow from operating activities. The difference between net income and cash flow from operating activities is primarily caused by changes in inventory levels together with changes in receivables, prepaid expenses and other assets, mortgage loans held for sale, accrued interest, deferred income taxes, accounts payable and other liabilities, and noncash charges relating to depreciation, stock compensation and impairments. When we are expanding our operations, inventory levels, prepaid expenses and other assets increase, causing cash flow from operating activities to decrease. Certain liabilities also increase as operations expand and partially offset the negative effect on cash flow from operations caused by the increase in inventory, prepaid expenses and other assets. Similarly, as our mortgage operations expand, net income from these operations increases, but for cash flow purposes, net income is partially offset by the net change in mortgage assets and liabilities. The opposite is true as our investment in new land purchases and development of new communities decrease, causing us to generate positive cash flow from operations. </w:t>
      </w:r>
    </w:p>
    <w:p>
      <w:pPr>
        <w:pStyle w:val="TextBody"/>
        <w:bidi w:val="0"/>
        <w:spacing w:lineRule="atLeast" w:line="240" w:before="200" w:after="200"/>
        <w:jc w:val="left"/>
        <w:rPr>
          <w:i/>
          <w:sz w:val="20"/>
        </w:rPr>
      </w:pPr>
      <w:r>
        <w:rPr>
          <w:i/>
          <w:sz w:val="20"/>
        </w:rPr>
        <w:t xml:space="preserve">Debt Transactions </w:t>
      </w:r>
    </w:p>
    <w:p>
      <w:pPr>
        <w:pStyle w:val="TextBody"/>
        <w:bidi w:val="0"/>
        <w:spacing w:lineRule="atLeast" w:line="240" w:before="0" w:after="200"/>
        <w:ind w:left="0" w:right="0" w:firstLine="900"/>
        <w:jc w:val="left"/>
        <w:rPr/>
      </w:pPr>
      <w:r>
        <w:rPr>
          <w:sz w:val="20"/>
        </w:rPr>
        <w:t xml:space="preserve">Senior notes and credit facilities balances as of </w:t>
      </w:r>
      <w:r>
        <w:rPr>
          <w:rFonts w:ascii="Times New Roman" w:hAnsi="Times New Roman"/>
          <w:sz w:val="20"/>
        </w:rPr>
        <w:t>July 31, 2026</w:t>
      </w:r>
      <w:r>
        <w:rPr/>
        <w:t xml:space="preserve"> </w:t>
      </w:r>
      <w:r>
        <w:rPr>
          <w:sz w:val="20"/>
        </w:rPr>
        <w:t>and October 31, 2025, were as follows:</w:t>
      </w:r>
    </w:p>
    <w:tbl>
      <w:tblPr>
        <w:tblW w:w="10205" w:type="dxa"/>
        <w:jc w:val="left"/>
        <w:tblInd w:w="0" w:type="dxa"/>
        <w:tblLayout w:type="fixed"/>
        <w:tblCellMar>
          <w:top w:w="0" w:type="dxa"/>
          <w:left w:w="0" w:type="dxa"/>
          <w:bottom w:w="0" w:type="dxa"/>
          <w:right w:w="0" w:type="dxa"/>
        </w:tblCellMar>
      </w:tblPr>
      <w:tblGrid>
        <w:gridCol w:w="8288"/>
        <w:gridCol w:w="125"/>
        <w:gridCol w:w="709"/>
        <w:gridCol w:w="60"/>
        <w:gridCol w:w="149"/>
        <w:gridCol w:w="874"/>
      </w:tblGrid>
      <w:tr>
        <w:trPr/>
        <w:tc>
          <w:tcPr>
            <w:tcW w:w="8288" w:type="dxa"/>
            <w:tcBorders/>
            <w:vAlign w:val="center"/>
          </w:tcPr>
          <w:p>
            <w:pPr>
              <w:pStyle w:val="TableContents"/>
              <w:bidi w:val="0"/>
              <w:spacing w:lineRule="auto" w:line="276" w:before="0" w:after="0"/>
              <w:jc w:val="left"/>
              <w:rPr/>
            </w:pPr>
            <w:r>
              <w:rPr/>
              <w:t> </w:t>
            </w:r>
          </w:p>
        </w:tc>
        <w:tc>
          <w:tcPr>
            <w:tcW w:w="834" w:type="dxa"/>
            <w:gridSpan w:val="2"/>
            <w:tcBorders/>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July 31,</w:t>
            </w:r>
          </w:p>
        </w:tc>
        <w:tc>
          <w:tcPr>
            <w:tcW w:w="60" w:type="dxa"/>
            <w:tcBorders/>
            <w:vAlign w:val="center"/>
          </w:tcPr>
          <w:p>
            <w:pPr>
              <w:pStyle w:val="TableContents"/>
              <w:bidi w:val="0"/>
              <w:spacing w:lineRule="auto" w:line="276" w:before="0" w:after="0"/>
              <w:jc w:val="left"/>
              <w:rPr/>
            </w:pPr>
            <w:r>
              <w:rPr/>
              <w:t> </w:t>
            </w:r>
          </w:p>
        </w:tc>
        <w:tc>
          <w:tcPr>
            <w:tcW w:w="1023" w:type="dxa"/>
            <w:gridSpan w:val="2"/>
            <w:tcBorders/>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October 31,</w:t>
            </w:r>
          </w:p>
        </w:tc>
      </w:tr>
      <w:tr>
        <w:trPr/>
        <w:tc>
          <w:tcPr>
            <w:tcW w:w="8288" w:type="dxa"/>
            <w:tcBorders>
              <w:bottom w:val="single" w:sz="8" w:space="0" w:color="000000"/>
            </w:tcBorders>
            <w:tcMar>
              <w:bottom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(In thousands)</w:t>
            </w:r>
          </w:p>
        </w:tc>
        <w:tc>
          <w:tcPr>
            <w:tcW w:w="834" w:type="dxa"/>
            <w:gridSpan w:val="2"/>
            <w:tcBorders>
              <w:bottom w:val="single" w:sz="8" w:space="0" w:color="000000"/>
            </w:tcBorders>
            <w:tcMar>
              <w:bottom w:w="28" w:type="dxa"/>
            </w:tcMar>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2026</w:t>
            </w:r>
          </w:p>
        </w:tc>
        <w:tc>
          <w:tcPr>
            <w:tcW w:w="60" w:type="dxa"/>
            <w:tcBorders>
              <w:bottom w:val="single" w:sz="8" w:space="0" w:color="000000"/>
            </w:tcBorders>
            <w:tcMar>
              <w:bottom w:w="28" w:type="dxa"/>
            </w:tcMar>
            <w:vAlign w:val="center"/>
          </w:tcPr>
          <w:p>
            <w:pPr>
              <w:pStyle w:val="TableContents"/>
              <w:bidi w:val="0"/>
              <w:spacing w:lineRule="auto" w:line="276" w:before="0" w:after="0"/>
              <w:jc w:val="left"/>
              <w:rPr/>
            </w:pPr>
            <w:r>
              <w:rPr/>
              <w:t> </w:t>
            </w:r>
          </w:p>
        </w:tc>
        <w:tc>
          <w:tcPr>
            <w:tcW w:w="1023" w:type="dxa"/>
            <w:gridSpan w:val="2"/>
            <w:tcBorders>
              <w:bottom w:val="single" w:sz="8" w:space="0" w:color="000000"/>
            </w:tcBorders>
            <w:tcMar>
              <w:bottom w:w="28" w:type="dxa"/>
            </w:tcMar>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2025</w:t>
            </w:r>
          </w:p>
        </w:tc>
      </w:tr>
      <w:tr>
        <w:trPr/>
        <w:tc>
          <w:tcPr>
            <w:tcW w:w="8288" w:type="dxa"/>
            <w:tcBorders/>
            <w:shd w:fill="FFFFFF" w:val="cle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Senior Notes</w:t>
            </w:r>
          </w:p>
        </w:tc>
        <w:tc>
          <w:tcPr>
            <w:tcW w:w="125" w:type="dxa"/>
            <w:tcBorders/>
            <w:shd w:fill="FFFFFF" w:val="cle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t>
            </w:r>
          </w:p>
        </w:tc>
        <w:tc>
          <w:tcPr>
            <w:tcW w:w="709"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924,968</w:t>
            </w:r>
          </w:p>
        </w:tc>
        <w:tc>
          <w:tcPr>
            <w:tcW w:w="60" w:type="dxa"/>
            <w:tcBorders/>
            <w:shd w:fill="FFFFFF" w:val="clear"/>
            <w:vAlign w:val="center"/>
          </w:tcPr>
          <w:p>
            <w:pPr>
              <w:pStyle w:val="TableContents"/>
              <w:bidi w:val="0"/>
              <w:spacing w:lineRule="auto" w:line="276" w:before="0" w:after="0"/>
              <w:jc w:val="left"/>
              <w:rPr/>
            </w:pPr>
            <w:r>
              <w:rPr/>
              <w:t> </w:t>
            </w:r>
          </w:p>
        </w:tc>
        <w:tc>
          <w:tcPr>
            <w:tcW w:w="149" w:type="dxa"/>
            <w:tcBorders/>
            <w:shd w:fill="FFFFFF" w:val="cle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t>
            </w:r>
          </w:p>
        </w:tc>
        <w:tc>
          <w:tcPr>
            <w:tcW w:w="874"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924,968</w:t>
            </w:r>
          </w:p>
        </w:tc>
      </w:tr>
      <w:tr>
        <w:trPr/>
        <w:tc>
          <w:tcPr>
            <w:tcW w:w="8288" w:type="dxa"/>
            <w:tcBorders/>
            <w:shd w:fill="CCEEFF" w:val="cle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Senior Secured Revolving Credit Facility (1)</w:t>
            </w:r>
          </w:p>
        </w:tc>
        <w:tc>
          <w:tcPr>
            <w:tcW w:w="125" w:type="dxa"/>
            <w:tcBorders/>
            <w:shd w:fill="CCEEFF" w:val="clear"/>
            <w:vAlign w:val="center"/>
          </w:tcPr>
          <w:p>
            <w:pPr>
              <w:pStyle w:val="TableContents"/>
              <w:bidi w:val="0"/>
              <w:spacing w:lineRule="auto" w:line="276" w:before="0" w:after="0"/>
              <w:jc w:val="left"/>
              <w:rPr/>
            </w:pPr>
            <w:r>
              <w:rPr/>
              <w:t> </w:t>
            </w:r>
          </w:p>
        </w:tc>
        <w:tc>
          <w:tcPr>
            <w:tcW w:w="709"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lineRule="auto" w:line="276" w:before="0" w:after="0"/>
              <w:jc w:val="left"/>
              <w:rPr/>
            </w:pPr>
            <w:r>
              <w:rPr/>
              <w:t> </w:t>
            </w:r>
          </w:p>
        </w:tc>
        <w:tc>
          <w:tcPr>
            <w:tcW w:w="149" w:type="dxa"/>
            <w:tcBorders/>
            <w:shd w:fill="CCEEFF" w:val="clear"/>
            <w:vAlign w:val="center"/>
          </w:tcPr>
          <w:p>
            <w:pPr>
              <w:pStyle w:val="TableContents"/>
              <w:bidi w:val="0"/>
              <w:spacing w:lineRule="auto" w:line="276" w:before="0" w:after="0"/>
              <w:jc w:val="left"/>
              <w:rPr/>
            </w:pPr>
            <w:r>
              <w:rPr/>
              <w:t> </w:t>
            </w:r>
          </w:p>
        </w:tc>
        <w:tc>
          <w:tcPr>
            <w:tcW w:w="874"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w:t>
            </w:r>
          </w:p>
        </w:tc>
      </w:tr>
      <w:tr>
        <w:trPr/>
        <w:tc>
          <w:tcPr>
            <w:tcW w:w="8288" w:type="dxa"/>
            <w:tcBorders>
              <w:bottom w:val="single" w:sz="8" w:space="0" w:color="000000"/>
            </w:tcBorders>
            <w:shd w:fill="FFFFFF" w:val="clear"/>
            <w:tcMar>
              <w:bottom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Less: Net (discounts), premiums and unamortized debt issuance costs</w:t>
            </w:r>
          </w:p>
        </w:tc>
        <w:tc>
          <w:tcPr>
            <w:tcW w:w="125" w:type="dxa"/>
            <w:tcBorders>
              <w:bottom w:val="single" w:sz="8" w:space="0" w:color="000000"/>
            </w:tcBorders>
            <w:shd w:fill="FFFFFF" w:val="clear"/>
            <w:tcMar>
              <w:bottom w:w="28" w:type="dxa"/>
            </w:tcMar>
            <w:vAlign w:val="center"/>
          </w:tcPr>
          <w:p>
            <w:pPr>
              <w:pStyle w:val="TableContents"/>
              <w:bidi w:val="0"/>
              <w:spacing w:lineRule="auto" w:line="276" w:before="0" w:after="0"/>
              <w:jc w:val="left"/>
              <w:rPr/>
            </w:pPr>
            <w:r>
              <w:rPr/>
              <w:t> </w:t>
            </w:r>
          </w:p>
        </w:tc>
        <w:tc>
          <w:tcPr>
            <w:tcW w:w="709" w:type="dxa"/>
            <w:tcBorders>
              <w:bottom w:val="single" w:sz="8" w:space="0" w:color="000000"/>
            </w:tcBorders>
            <w:shd w:fill="FFFF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(22,476)</w:t>
            </w:r>
          </w:p>
        </w:tc>
        <w:tc>
          <w:tcPr>
            <w:tcW w:w="60" w:type="dxa"/>
            <w:tcBorders>
              <w:bottom w:val="single" w:sz="8" w:space="0" w:color="000000"/>
            </w:tcBorders>
            <w:shd w:fill="FFFFFF" w:val="clear"/>
            <w:tcMar>
              <w:bottom w:w="28" w:type="dxa"/>
            </w:tcMar>
            <w:vAlign w:val="center"/>
          </w:tcPr>
          <w:p>
            <w:pPr>
              <w:pStyle w:val="TableContents"/>
              <w:bidi w:val="0"/>
              <w:spacing w:lineRule="auto" w:line="276" w:before="0" w:after="0"/>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lineRule="auto" w:line="276" w:before="0" w:after="0"/>
              <w:jc w:val="left"/>
              <w:rPr/>
            </w:pPr>
            <w:r>
              <w:rPr/>
              <w:t> </w:t>
            </w:r>
          </w:p>
        </w:tc>
        <w:tc>
          <w:tcPr>
            <w:tcW w:w="874" w:type="dxa"/>
            <w:tcBorders>
              <w:bottom w:val="single" w:sz="8" w:space="0" w:color="000000"/>
            </w:tcBorders>
            <w:shd w:fill="FFFF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(24,250)</w:t>
            </w:r>
          </w:p>
        </w:tc>
      </w:tr>
      <w:tr>
        <w:trPr/>
        <w:tc>
          <w:tcPr>
            <w:tcW w:w="828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Total senior notes and credit facilities, net of discounts, premiums and unamortized debt issuance costs</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t>
            </w:r>
          </w:p>
        </w:tc>
        <w:tc>
          <w:tcPr>
            <w:tcW w:w="70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902,492</w:t>
            </w:r>
          </w:p>
        </w:tc>
        <w:tc>
          <w:tcPr>
            <w:tcW w:w="6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76" w:before="0" w:after="0"/>
              <w:jc w:val="left"/>
              <w:rPr/>
            </w:pPr>
            <w:r>
              <w:rPr/>
              <w:t> </w:t>
            </w:r>
          </w:p>
        </w:tc>
        <w:tc>
          <w:tcPr>
            <w:tcW w:w="14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t>
            </w:r>
          </w:p>
        </w:tc>
        <w:tc>
          <w:tcPr>
            <w:tcW w:w="87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900,718</w:t>
            </w:r>
          </w:p>
        </w:tc>
      </w:tr>
    </w:tbl>
    <w:p>
      <w:pPr>
        <w:pStyle w:val="TextBody"/>
        <w:bidi w:val="0"/>
        <w:spacing w:lineRule="atLeast" w:line="240" w:before="200" w:after="0"/>
        <w:jc w:val="left"/>
        <w:rPr/>
      </w:pPr>
      <w:r>
        <w:rPr>
          <w:i/>
          <w:sz w:val="20"/>
        </w:rPr>
        <w:t xml:space="preserve">(1) </w:t>
      </w:r>
      <w:r>
        <w:rPr>
          <w:i/>
          <w:sz w:val="20"/>
          <w:shd w:fill="FFFFFF" w:val="clear"/>
        </w:rPr>
        <w:t xml:space="preserve">At </w:t>
      </w:r>
      <w:r>
        <w:rPr>
          <w:rFonts w:ascii="Times New Roman" w:hAnsi="Times New Roman"/>
          <w:i/>
          <w:sz w:val="20"/>
          <w:shd w:fill="FFFFFF" w:val="clear"/>
        </w:rPr>
        <w:t>July 31, 2026</w:t>
      </w:r>
      <w:r>
        <w:rPr>
          <w:i/>
          <w:sz w:val="20"/>
          <w:shd w:fill="FFFFFF" w:val="clear"/>
        </w:rPr>
        <w:t>, provides for up to $125.0 million in aggregate amount of senior secured</w:t>
      </w:r>
      <w:r>
        <w:rPr>
          <w:shd w:fill="FFFFFF" w:val="clear"/>
        </w:rPr>
        <w:t> </w:t>
      </w:r>
      <w:r>
        <w:rPr>
          <w:i/>
          <w:sz w:val="20"/>
          <w:shd w:fill="FFFFFF" w:val="clear"/>
        </w:rPr>
        <w:t>first</w:t>
      </w:r>
      <w:r>
        <w:rPr>
          <w:shd w:fill="FFFFFF" w:val="clear"/>
        </w:rPr>
        <w:t> </w:t>
      </w:r>
      <w:r>
        <w:rPr>
          <w:i/>
          <w:sz w:val="20"/>
          <w:shd w:fill="FFFFFF" w:val="clear"/>
        </w:rPr>
        <w:t>lien revolving loans.</w:t>
      </w:r>
      <w:r>
        <w:rPr>
          <w:shd w:fill="FFFFFF" w:val="clear"/>
        </w:rPr>
        <w:t> </w:t>
      </w:r>
      <w:r>
        <w:rPr>
          <w:i/>
          <w:sz w:val="20"/>
          <w:shd w:fill="FFFFFF" w:val="clear"/>
        </w:rPr>
        <w:t>The revolving loans under the revolving credit facility have a maturity of June 30, 2028 and borrowings bear interest, at K. Hovnanian’s option, at either (i) a term secured overnight financing rate (subject to a floor of 3.00%) plus an applicable margin of 4.50% or (ii) an alternate base rate (subject to a floor of 3.00%) plus an applicable margin of 3.50%. In addition, K. Hovnanian will pay an unused commitment fee on the undrawn revolving commitments at a rate of 1.00% per annum.</w:t>
      </w:r>
    </w:p>
    <w:p>
      <w:pPr>
        <w:pStyle w:val="TextBody"/>
        <w:bidi w:val="0"/>
        <w:spacing w:lineRule="atLeast" w:line="240" w:before="0" w:after="0"/>
        <w:jc w:val="left"/>
        <w:rPr/>
      </w:pPr>
      <w:r>
        <w:rPr/>
        <w:t> </w:t>
      </w:r>
    </w:p>
    <w:p>
      <w:pPr>
        <w:pStyle w:val="TextBody"/>
        <w:bidi w:val="0"/>
        <w:spacing w:lineRule="atLeast" w:line="240" w:before="0" w:after="200"/>
        <w:ind w:left="0" w:right="0" w:firstLine="900"/>
        <w:jc w:val="left"/>
        <w:rPr/>
      </w:pPr>
      <w:r>
        <w:rPr>
          <w:sz w:val="20"/>
        </w:rPr>
        <w:t>Except for K. Hovnanian, the issuer of the notes and borrower under the credit agreement governing our secured revolving credit facility</w:t>
      </w:r>
      <w:r>
        <w:rPr/>
        <w:t> </w:t>
      </w:r>
      <w:r>
        <w:rPr>
          <w:sz w:val="20"/>
        </w:rPr>
        <w:t xml:space="preserve">(the "Secured Credit Facility"), our home mortgage subsidiaries, certain of our title insurance subsidiaries, joint ventures and subsidiaries holding interests in our joint ventures, we and each of our subsidiaries are guarantors of the Secured Credit Facility and senior notes outstanding at </w:t>
      </w:r>
      <w:r>
        <w:rPr>
          <w:rFonts w:ascii="Times New Roman" w:hAnsi="Times New Roman"/>
          <w:sz w:val="20"/>
        </w:rPr>
        <w:t>July 31, 2026</w:t>
      </w:r>
      <w:r>
        <w:rPr/>
        <w:t xml:space="preserve"> </w:t>
      </w:r>
      <w:r>
        <w:rPr>
          <w:sz w:val="20"/>
        </w:rPr>
        <w:t>(collectively, the “Notes Guarantors”).</w:t>
      </w:r>
    </w:p>
    <w:p>
      <w:pPr>
        <w:pStyle w:val="TextBody"/>
        <w:bidi w:val="0"/>
        <w:spacing w:lineRule="auto" w:line="276" w:before="0" w:after="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spacing w:lineRule="atLeast" w:line="288" w:before="0" w:after="0"/>
        <w:jc w:val="left"/>
        <w:rPr/>
      </w:pPr>
      <w:hyperlink w:anchor="TOC_TableofContent">
        <w:r>
          <w:rPr>
            <w:rStyle w:val="InternetLink"/>
            <w:strike w:val="false"/>
            <w:dstrike w:val="false"/>
            <w:color w:val="0000FF"/>
            <w:sz w:val="20"/>
            <w:u w:val="single"/>
            <w:effect w:val="none"/>
          </w:rPr>
          <w:t>Table of Contents</w:t>
        </w:r>
      </w:hyperlink>
    </w:p>
    <w:p>
      <w:pPr>
        <w:pStyle w:val="TextBody"/>
        <w:bidi w:val="0"/>
        <w:spacing w:lineRule="atLeast" w:line="240" w:before="200" w:after="0"/>
        <w:ind w:left="0" w:right="0" w:firstLine="900"/>
        <w:jc w:val="left"/>
        <w:rPr/>
      </w:pPr>
      <w:r>
        <w:rPr>
          <w:sz w:val="20"/>
        </w:rPr>
        <w:t xml:space="preserve">The credit agreement governing the Secured Credit Facility and the indentures governing the senior notes (together, the “Debt Instruments”) outstanding at </w:t>
      </w:r>
      <w:r>
        <w:rPr>
          <w:rFonts w:ascii="Times New Roman" w:hAnsi="Times New Roman"/>
          <w:color w:val="212529"/>
          <w:sz w:val="20"/>
        </w:rPr>
        <w:t>July 31, 2026</w:t>
      </w:r>
      <w:r>
        <w:rPr>
          <w:color w:val="212529"/>
          <w:sz w:val="20"/>
        </w:rPr>
        <w:t xml:space="preserve">, </w:t>
      </w:r>
      <w:r>
        <w:rPr>
          <w:sz w:val="20"/>
        </w:rPr>
        <w:t>do not contain any financial maintenance covenants, but do contain restrictive covenants that</w:t>
      </w:r>
      <w:r>
        <w:rPr/>
        <w:t> </w:t>
      </w:r>
      <w:r>
        <w:rPr>
          <w:sz w:val="20"/>
        </w:rPr>
        <w:t>limit, among other things, the ability of HEI and certain of its subsidiaries, including K. Hovnanian, to incur (including through exchanges or</w:t>
      </w:r>
      <w:r>
        <w:rPr/>
        <w:t> </w:t>
      </w:r>
      <w:r>
        <w:rPr>
          <w:sz w:val="20"/>
        </w:rPr>
        <w:t>certain other types of transactions) indebtedness, pay dividends and make distributions on common and preferred stock, repay/repurchase certain indebtedness prior to its respective stated maturity, repurchase common and preferred stock, make</w:t>
      </w:r>
      <w:r>
        <w:rPr/>
        <w:t> </w:t>
      </w:r>
      <w:r>
        <w:rPr>
          <w:sz w:val="20"/>
        </w:rPr>
        <w:t>other restricted payments (including investments), sell certain assets (including in certain land banking transactions), incur liens, consolidate,</w:t>
      </w:r>
      <w:r>
        <w:rPr/>
        <w:t> </w:t>
      </w:r>
      <w:r>
        <w:rPr>
          <w:sz w:val="20"/>
        </w:rPr>
        <w:t>merge, sell or otherwise dispose of all or substantially all of their assets and enter into certain transactions with affiliates. The Debt Instruments</w:t>
      </w:r>
      <w:r>
        <w:rPr/>
        <w:t> </w:t>
      </w:r>
      <w:r>
        <w:rPr>
          <w:sz w:val="20"/>
        </w:rPr>
        <w:t>also contain customary events of default which would permit the lenders or holders thereof to exercise remedies with respect to the collateral</w:t>
      </w:r>
      <w:r>
        <w:rPr/>
        <w:t> </w:t>
      </w:r>
      <w:r>
        <w:rPr>
          <w:sz w:val="20"/>
        </w:rPr>
        <w:t>(as applicable), declare the loans (the “Secured Revolving Loans”) made under the Credit Agreement, dated as</w:t>
      </w:r>
      <w:r>
        <w:rPr/>
        <w:t> </w:t>
      </w:r>
      <w:r>
        <w:rPr>
          <w:sz w:val="20"/>
        </w:rPr>
        <w:t>of October 31, 2019, as amended, by and among K. Hovnanian, the Company, the other guarantors party thereto, Wilmington Trust, National</w:t>
      </w:r>
      <w:r>
        <w:rPr/>
        <w:t> </w:t>
      </w:r>
      <w:r>
        <w:rPr>
          <w:sz w:val="20"/>
        </w:rPr>
        <w:t>Association, as administrative agent, and the lenders party thereto (the “Secured Credit Agreement”) or notes to be immediately due and</w:t>
      </w:r>
      <w:r>
        <w:rPr/>
        <w:t> </w:t>
      </w:r>
      <w:r>
        <w:rPr>
          <w:sz w:val="20"/>
        </w:rPr>
        <w:t>payable if not cured within applicable grace periods, including the failure to make timely payments on the Secured Revolving Loans or notes or</w:t>
      </w:r>
      <w:r>
        <w:rPr/>
        <w:t> </w:t>
      </w:r>
      <w:r>
        <w:rPr>
          <w:sz w:val="20"/>
        </w:rPr>
        <w:t>other material indebtedness, cross default to other material indebtedness, the failure to comply with agreements and covenants and specified</w:t>
      </w:r>
      <w:r>
        <w:rPr/>
        <w:t> </w:t>
      </w:r>
      <w:r>
        <w:rPr>
          <w:sz w:val="20"/>
        </w:rPr>
        <w:t>events of bankruptcy and insolvency and, with respect to the Secured Revolving Loans, material inaccuracy of representations and warranties,</w:t>
      </w:r>
      <w:r>
        <w:rPr/>
        <w:t> </w:t>
      </w:r>
      <w:r>
        <w:rPr>
          <w:sz w:val="20"/>
        </w:rPr>
        <w:t>a change of control, the failure of the documents granting security for the obligations under the Secured Credit Agreement to be in full force</w:t>
      </w:r>
      <w:r>
        <w:rPr/>
        <w:t> </w:t>
      </w:r>
      <w:r>
        <w:rPr>
          <w:sz w:val="20"/>
        </w:rPr>
        <w:t>and effect, and the failure of the liens on any material portion of the collateral securing the obligations under the Secured Credit Agreement to</w:t>
      </w:r>
      <w:r>
        <w:rPr/>
        <w:t> </w:t>
      </w:r>
      <w:r>
        <w:rPr>
          <w:sz w:val="20"/>
        </w:rPr>
        <w:t>be valid and perfected.</w:t>
      </w:r>
      <w:r>
        <w:rPr/>
        <w:t> </w:t>
      </w:r>
      <w:r>
        <w:rPr>
          <w:sz w:val="20"/>
        </w:rPr>
        <w:t xml:space="preserve">As of </w:t>
      </w:r>
      <w:r>
        <w:rPr>
          <w:rFonts w:ascii="Times New Roman" w:hAnsi="Times New Roman"/>
          <w:color w:val="212529"/>
          <w:sz w:val="20"/>
        </w:rPr>
        <w:t>July 31, 2026</w:t>
      </w:r>
      <w:r>
        <w:rPr>
          <w:sz w:val="20"/>
        </w:rPr>
        <w:t>, we believe we were in compliance with the covenants of the Debt Instruments.</w:t>
      </w:r>
    </w:p>
    <w:p>
      <w:pPr>
        <w:pStyle w:val="TextBody"/>
        <w:bidi w:val="0"/>
        <w:spacing w:lineRule="atLeast" w:line="288" w:before="0" w:after="0"/>
        <w:jc w:val="left"/>
        <w:rPr/>
      </w:pPr>
      <w:r>
        <w:rPr/>
        <w:t> </w:t>
      </w:r>
    </w:p>
    <w:p>
      <w:pPr>
        <w:pStyle w:val="TextBody"/>
        <w:bidi w:val="0"/>
        <w:spacing w:lineRule="atLeast" w:line="240" w:before="0" w:after="200"/>
        <w:ind w:left="0" w:right="0" w:firstLine="900"/>
        <w:jc w:val="left"/>
        <w:rPr/>
      </w:pPr>
      <w:r>
        <w:rPr>
          <w:sz w:val="20"/>
        </w:rPr>
        <w:t>Under the terms of our Debt Instruments, we have the right to make certain redemptions and prepayments and, depending on market</w:t>
      </w:r>
      <w:r>
        <w:rPr/>
        <w:t> </w:t>
      </w:r>
      <w:r>
        <w:rPr>
          <w:sz w:val="20"/>
        </w:rPr>
        <w:t>conditions, our strategic priorities and covenant restrictions, may do so from time to time. We also continue to analyze and evaluate our</w:t>
      </w:r>
      <w:r>
        <w:rPr/>
        <w:t> </w:t>
      </w:r>
      <w:r>
        <w:rPr>
          <w:sz w:val="20"/>
        </w:rPr>
        <w:t>capital structure and explore transactions to strengthen our balance sheet, including those that reduce leverage, interest rates and/or extend</w:t>
      </w:r>
      <w:r>
        <w:rPr/>
        <w:t> </w:t>
      </w:r>
      <w:r>
        <w:rPr>
          <w:sz w:val="20"/>
        </w:rPr>
        <w:t>maturities, and will seek to do so with the right opportunity. We may also continue to make debt or equity purchases and/or exchanges from</w:t>
      </w:r>
      <w:r>
        <w:rPr/>
        <w:t> </w:t>
      </w:r>
      <w:r>
        <w:rPr>
          <w:sz w:val="20"/>
        </w:rPr>
        <w:t>time to time through tender offers, exchange offers, redemptions, open market purchases, private transactions, or otherwise, or seek to raise</w:t>
      </w:r>
      <w:r>
        <w:rPr/>
        <w:t> </w:t>
      </w:r>
      <w:r>
        <w:rPr>
          <w:sz w:val="20"/>
        </w:rPr>
        <w:t>additional debt or equity capital, depending on market conditions and covenant restrictions.</w:t>
      </w:r>
    </w:p>
    <w:p>
      <w:pPr>
        <w:pStyle w:val="TextBody"/>
        <w:bidi w:val="0"/>
        <w:spacing w:lineRule="atLeast" w:line="240" w:before="200" w:after="0"/>
        <w:ind w:left="0" w:right="0" w:firstLine="900"/>
        <w:jc w:val="left"/>
        <w:rPr>
          <w:sz w:val="20"/>
        </w:rPr>
      </w:pPr>
      <w:r>
        <w:rPr>
          <w:sz w:val="20"/>
        </w:rPr>
        <w:t>Due to covenant restrictions in our Debt Instruments, we may be limited in the amount of debt we can incur, even if market conditions, including then-current market available interest rates (prior to the fourth quarter of fiscal 2025, we had not been able to access the traditional capital and bank lending markets at competitive interest rates for some time due to our highly leveraged capital structure), would otherwise be favorable, which could also impact our ability to grow our business.</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sz w:val="20"/>
        </w:rPr>
        <w:t>See Note 12 to the Condensed Consolidated Financial Statements included elsewhere in this Quarterly Report on Form 10-Q for a further discussion of K. Hovnanian’s</w:t>
      </w:r>
      <w:r>
        <w:rPr/>
        <w:t> </w:t>
      </w:r>
      <w:r>
        <w:rPr>
          <w:sz w:val="20"/>
        </w:rPr>
        <w:t>Debt Instruments, including information with respect to the collateral securing our Secured Credit Agreement.</w:t>
      </w:r>
    </w:p>
    <w:p>
      <w:pPr>
        <w:pStyle w:val="TextBody"/>
        <w:bidi w:val="0"/>
        <w:spacing w:lineRule="atLeast" w:line="240" w:before="0" w:after="0"/>
        <w:jc w:val="left"/>
        <w:rPr/>
      </w:pPr>
      <w:r>
        <w:rPr/>
        <w:t> </w:t>
      </w:r>
    </w:p>
    <w:p>
      <w:pPr>
        <w:pStyle w:val="TextBody"/>
        <w:bidi w:val="0"/>
        <w:spacing w:lineRule="atLeast" w:line="240" w:before="0" w:after="0"/>
        <w:ind w:left="900" w:right="0" w:hanging="900"/>
        <w:jc w:val="left"/>
        <w:rPr>
          <w:i/>
          <w:sz w:val="20"/>
        </w:rPr>
      </w:pPr>
      <w:r>
        <w:rPr>
          <w:i/>
          <w:sz w:val="20"/>
        </w:rPr>
        <w:t>Mortgages and Notes Payable</w:t>
      </w:r>
    </w:p>
    <w:p>
      <w:pPr>
        <w:pStyle w:val="TextBody"/>
        <w:bidi w:val="0"/>
        <w:spacing w:lineRule="atLeast" w:line="240" w:before="200" w:after="200"/>
        <w:ind w:left="0" w:right="0" w:firstLine="900"/>
        <w:jc w:val="left"/>
        <w:rPr/>
      </w:pPr>
      <w:r>
        <w:rPr>
          <w:sz w:val="20"/>
        </w:rPr>
        <w:t>We had nonrecourse mortgage loans for certain communities totaling $</w:t>
      </w:r>
      <w:r>
        <w:rPr>
          <w:rFonts w:ascii="Times New Roman" w:hAnsi="Times New Roman"/>
          <w:sz w:val="20"/>
        </w:rPr>
        <w:t>32.4</w:t>
      </w:r>
      <w:r>
        <w:rPr/>
        <w:t xml:space="preserve"> </w:t>
      </w:r>
      <w:r>
        <w:rPr>
          <w:sz w:val="20"/>
        </w:rPr>
        <w:t>million and $29.5 million, net of debt issuance costs, as of</w:t>
      </w:r>
      <w:r>
        <w:rPr/>
        <w:t> </w:t>
      </w:r>
      <w:r>
        <w:rPr>
          <w:rFonts w:ascii="Times New Roman" w:hAnsi="Times New Roman"/>
          <w:sz w:val="20"/>
        </w:rPr>
        <w:t>July 31, 2026</w:t>
      </w:r>
      <w:r>
        <w:rPr/>
        <w:t xml:space="preserve"> </w:t>
      </w:r>
      <w:r>
        <w:rPr>
          <w:sz w:val="20"/>
        </w:rPr>
        <w:t xml:space="preserve">and </w:t>
      </w:r>
      <w:r>
        <w:rPr>
          <w:rFonts w:ascii="Times New Roman" w:hAnsi="Times New Roman"/>
          <w:sz w:val="20"/>
        </w:rPr>
        <w:t>October 31, 2025</w:t>
      </w:r>
      <w:r>
        <w:rPr>
          <w:sz w:val="20"/>
        </w:rPr>
        <w:t>, respectively, which are secured by the related real property, including any improvements, with an aggregate book value of $48.0</w:t>
      </w:r>
      <w:r>
        <w:rPr/>
        <w:t> </w:t>
      </w:r>
      <w:r>
        <w:rPr>
          <w:sz w:val="20"/>
        </w:rPr>
        <w:t>million and $113.9 million, respectively. The weighted-average interest rate on these obligations was</w:t>
      </w:r>
      <w:r>
        <w:rPr/>
        <w:t> </w:t>
      </w:r>
      <w:r>
        <w:rPr>
          <w:sz w:val="20"/>
        </w:rPr>
        <w:t xml:space="preserve">7.2% and 7.4% at </w:t>
      </w:r>
      <w:r>
        <w:rPr>
          <w:rFonts w:ascii="Times New Roman" w:hAnsi="Times New Roman"/>
          <w:sz w:val="20"/>
        </w:rPr>
        <w:t>July 31, 2026</w:t>
      </w:r>
      <w:r>
        <w:rPr/>
        <w:t xml:space="preserve"> </w:t>
      </w:r>
      <w:r>
        <w:rPr>
          <w:sz w:val="20"/>
        </w:rPr>
        <w:t xml:space="preserve">and </w:t>
      </w:r>
      <w:r>
        <w:rPr>
          <w:rFonts w:ascii="Times New Roman" w:hAnsi="Times New Roman"/>
          <w:sz w:val="20"/>
        </w:rPr>
        <w:t>October 31, 2025</w:t>
      </w:r>
      <w:r>
        <w:rPr>
          <w:sz w:val="20"/>
        </w:rPr>
        <w:t>, respectively, and the mortgage loan payments primarily correspond to home deliveries.</w:t>
      </w:r>
    </w:p>
    <w:p>
      <w:pPr>
        <w:pStyle w:val="TextBody"/>
        <w:bidi w:val="0"/>
        <w:spacing w:lineRule="atLeast" w:line="240" w:before="200" w:after="200"/>
        <w:ind w:left="0" w:right="0" w:firstLine="900"/>
        <w:jc w:val="left"/>
        <w:rPr/>
      </w:pPr>
      <w:r>
        <w:rPr>
          <w:sz w:val="20"/>
        </w:rPr>
        <w:t xml:space="preserve">Our wholly owned mortgage banking subsidiary, K. Hovnanian Mortgage, originates mortgage loans primarily from the sale of our homes. Such mortgage loans and related servicing rights are sold in the secondary mortgage market within a short period of time. K. Hovnanian Mortgage finances the origination of mortgage loans through various master repurchase agreements, which are recorded in "Financial services" liabilities on the Condensed Consolidated Balance Sheets. The loans are secured by the mortgages held for sale and are repaid when we sell the underlying mortgage loans to permanent investors. As of </w:t>
      </w:r>
      <w:r>
        <w:rPr>
          <w:rFonts w:ascii="Times New Roman" w:hAnsi="Times New Roman"/>
          <w:sz w:val="20"/>
        </w:rPr>
        <w:t>July 31, 2026</w:t>
      </w:r>
      <w:r>
        <w:rPr/>
        <w:t xml:space="preserve"> </w:t>
      </w:r>
      <w:r>
        <w:rPr>
          <w:sz w:val="20"/>
        </w:rPr>
        <w:t xml:space="preserve">and </w:t>
      </w:r>
      <w:r>
        <w:rPr>
          <w:rFonts w:ascii="Times New Roman" w:hAnsi="Times New Roman"/>
          <w:sz w:val="20"/>
        </w:rPr>
        <w:t>October 31, 2025</w:t>
      </w:r>
      <w:r>
        <w:rPr>
          <w:sz w:val="20"/>
        </w:rPr>
        <w:t>, we had an aggregate of $101.7</w:t>
      </w:r>
      <w:r>
        <w:rPr/>
        <w:t> </w:t>
      </w:r>
      <w:r>
        <w:rPr>
          <w:sz w:val="20"/>
        </w:rPr>
        <w:t>million and $94.3 million, respectively, outstanding under several of K. Hovnanian Mortgage’s short-term borrowing facilities.</w:t>
      </w:r>
    </w:p>
    <w:p>
      <w:pPr>
        <w:pStyle w:val="TextBody"/>
        <w:bidi w:val="0"/>
        <w:spacing w:lineRule="atLeast" w:line="240" w:before="200" w:after="200"/>
        <w:ind w:left="0" w:right="0" w:firstLine="900"/>
        <w:jc w:val="left"/>
        <w:rPr>
          <w:sz w:val="20"/>
        </w:rPr>
      </w:pPr>
      <w:r>
        <w:rPr>
          <w:sz w:val="20"/>
        </w:rPr>
        <w:t>See Note 11 to the Condensed Consolidated Financial Statements included elsewhere in this Quarterly Report on Form 10-Q for a further discussion of these agreements.</w:t>
      </w:r>
    </w:p>
    <w:p>
      <w:pPr>
        <w:pStyle w:val="TextBody"/>
        <w:bidi w:val="0"/>
        <w:spacing w:lineRule="auto" w:line="276" w:before="0" w:after="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r>
        <w:br w:type="page"/>
      </w:r>
    </w:p>
    <w:p>
      <w:pPr>
        <w:pStyle w:val="TextBody"/>
        <w:bidi w:val="0"/>
        <w:spacing w:lineRule="atLeast" w:line="240" w:before="0" w:after="0"/>
        <w:jc w:val="left"/>
        <w:rPr/>
      </w:pPr>
      <w:hyperlink w:anchor="TOC">
        <w:r>
          <w:rPr>
            <w:rStyle w:val="InternetLink"/>
            <w:strike w:val="false"/>
            <w:dstrike w:val="false"/>
            <w:sz w:val="20"/>
            <w:u w:val="single"/>
            <w:effect w:val="none"/>
          </w:rPr>
          <w:t>Table of Contents</w:t>
        </w:r>
      </w:hyperlink>
    </w:p>
    <w:p>
      <w:pPr>
        <w:pStyle w:val="TextBody"/>
        <w:bidi w:val="0"/>
        <w:spacing w:lineRule="atLeast" w:line="240" w:before="0" w:after="0"/>
        <w:jc w:val="left"/>
        <w:rPr/>
      </w:pPr>
      <w:r>
        <w:rPr/>
        <w:t> </w:t>
      </w:r>
    </w:p>
    <w:p>
      <w:pPr>
        <w:pStyle w:val="TextBody"/>
        <w:bidi w:val="0"/>
        <w:spacing w:lineRule="atLeast" w:line="240" w:before="0" w:after="200"/>
        <w:jc w:val="left"/>
        <w:rPr/>
      </w:pPr>
      <w:r>
        <w:rPr>
          <w:i/>
          <w:sz w:val="20"/>
        </w:rPr>
        <w:t>Equity</w:t>
      </w:r>
      <w:r>
        <w:rPr/>
        <w:t xml:space="preserve"> </w:t>
      </w:r>
    </w:p>
    <w:p>
      <w:pPr>
        <w:pStyle w:val="TextBody"/>
        <w:bidi w:val="0"/>
        <w:spacing w:lineRule="atLeast" w:line="240" w:before="0" w:after="0"/>
        <w:ind w:left="0" w:right="0" w:firstLine="900"/>
        <w:jc w:val="left"/>
        <w:rPr/>
      </w:pPr>
      <w:r>
        <w:rPr>
          <w:sz w:val="20"/>
        </w:rPr>
        <w:t>On December 18, 2024,</w:t>
      </w:r>
      <w:r>
        <w:rPr/>
        <w:t> </w:t>
      </w:r>
      <w:r>
        <w:rPr>
          <w:sz w:val="20"/>
        </w:rPr>
        <w:t>our Board of Directors (the "Board") authorized an incremental increase to our repurchase program and on April 11, 2025, the Board authorized another increase to our repurchase program,</w:t>
      </w:r>
      <w:r>
        <w:rPr/>
        <w:t> </w:t>
      </w:r>
      <w:r>
        <w:rPr>
          <w:sz w:val="20"/>
        </w:rPr>
        <w:t>such that, inclusive of any amounts remaining under the existing repurchase authorization, as of April 11, 2025, we were authorized to repurchase up to $30.6 million of our Class A common stock. On February 27, 2026,</w:t>
      </w:r>
      <w:r>
        <w:rPr/>
        <w:t> </w:t>
      </w:r>
      <w:r>
        <w:rPr>
          <w:sz w:val="20"/>
        </w:rPr>
        <w:t>the Board further authorized an incremental increase of $50.0 million to our repurchase program,</w:t>
      </w:r>
      <w:r>
        <w:rPr/>
        <w:t> </w:t>
      </w:r>
      <w:r>
        <w:rPr>
          <w:sz w:val="20"/>
        </w:rPr>
        <w:t>such that, inclusive of any amounts remaining under the existing repurchase authorization, as of February 27, 2026, we were authorized to repurchase up to $67.4 million of our Class A common stock.</w:t>
      </w:r>
      <w:r>
        <w:rPr/>
        <w:t> </w:t>
      </w:r>
      <w:r>
        <w:rPr>
          <w:sz w:val="20"/>
        </w:rPr>
        <w:t>Under the program, repurchases may be made from time to time in open market transactions, in privately negotiated transactions or otherwise. The timing and the actual dollar amount repurchased will depend on a variety of factors,</w:t>
      </w:r>
      <w:r>
        <w:rPr/>
        <w:t> </w:t>
      </w:r>
      <w:r>
        <w:rPr>
          <w:sz w:val="20"/>
        </w:rPr>
        <w:t>including legal requirements, price, future tax implications and economic and market conditions. The repurchase program may be changed, suspended or discontinued at any time and does not have a specified expiration date.</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sz w:val="20"/>
        </w:rPr>
        <w:t xml:space="preserve">During the </w:t>
      </w:r>
      <w:r>
        <w:rPr>
          <w:rFonts w:ascii="Times New Roman" w:hAnsi="Times New Roman"/>
          <w:sz w:val="20"/>
        </w:rPr>
        <w:t>nine months ended July 31, 2026</w:t>
      </w:r>
      <w:r>
        <w:rPr>
          <w:sz w:val="20"/>
        </w:rPr>
        <w:t>, we repurchased 175,905</w:t>
      </w:r>
      <w:r>
        <w:rPr/>
        <w:t> </w:t>
      </w:r>
      <w:r>
        <w:rPr>
          <w:sz w:val="20"/>
        </w:rPr>
        <w:t>shares under the stock repurchase program, with a market value of $18.5</w:t>
      </w:r>
      <w:r>
        <w:rPr/>
        <w:t> </w:t>
      </w:r>
      <w:r>
        <w:rPr>
          <w:sz w:val="20"/>
        </w:rPr>
        <w:t>million, or $104.98</w:t>
      </w:r>
      <w:r>
        <w:rPr/>
        <w:t> </w:t>
      </w:r>
      <w:r>
        <w:rPr>
          <w:sz w:val="20"/>
        </w:rPr>
        <w:t>per share.</w:t>
      </w:r>
      <w:r>
        <w:rPr/>
        <w:t> </w:t>
      </w:r>
      <w:r>
        <w:rPr>
          <w:sz w:val="20"/>
        </w:rPr>
        <w:t xml:space="preserve">During the </w:t>
      </w:r>
      <w:r>
        <w:rPr>
          <w:rFonts w:ascii="Times New Roman" w:hAnsi="Times New Roman"/>
          <w:sz w:val="20"/>
        </w:rPr>
        <w:t>nine months ended July 31, 2025</w:t>
      </w:r>
      <w:r>
        <w:rPr>
          <w:sz w:val="20"/>
        </w:rPr>
        <w:t>, we repurchased 257,908 shares under the stock repurchase program, with a market value of $30.1 million, or $116.70 per share.</w:t>
      </w:r>
      <w:r>
        <w:rPr/>
        <w:t> </w:t>
      </w:r>
      <w:r>
        <w:rPr>
          <w:sz w:val="20"/>
        </w:rPr>
        <w:t xml:space="preserve">As of </w:t>
      </w:r>
      <w:r>
        <w:rPr>
          <w:rFonts w:ascii="Times New Roman" w:hAnsi="Times New Roman"/>
          <w:sz w:val="20"/>
        </w:rPr>
        <w:t>July 31, 2026</w:t>
      </w:r>
      <w:r>
        <w:rPr>
          <w:sz w:val="20"/>
        </w:rPr>
        <w:t>,</w:t>
      </w:r>
      <w:r>
        <w:rPr/>
        <w:t> </w:t>
      </w:r>
      <w:r>
        <w:rPr>
          <w:sz w:val="20"/>
        </w:rPr>
        <w:t>$57.9</w:t>
      </w:r>
      <w:r>
        <w:rPr/>
        <w:t> </w:t>
      </w:r>
      <w:r>
        <w:rPr>
          <w:sz w:val="20"/>
        </w:rPr>
        <w:t>million of our Class A common stock was available to be purchased under the stock repurchase program.</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sz w:val="20"/>
        </w:rPr>
        <w:t>On July 12, 2005, we issued 5,600 shares of 7.625% Series A preferred stock, with a liquidation preference of $25,000 per share. Dividends on the Series A preferred stock are not cumulative and are payable at an annual rate of 7.625%. The Series A preferred stock is not convertible into the Company’s common stock and is redeemable in whole or in part at our option at the liquidation preference of the shares. The Series A preferred stock is traded as depositary shares, with each depositary share representing 1/1000th of a share of Series A preferred stock. We paid dividends of $2.7</w:t>
      </w:r>
      <w:r>
        <w:rPr/>
        <w:t> </w:t>
      </w:r>
      <w:r>
        <w:rPr>
          <w:sz w:val="20"/>
        </w:rPr>
        <w:t>million and $8.0 million on the Series A preferred stock for each of the</w:t>
      </w:r>
      <w:r>
        <w:rPr/>
        <w:t> </w:t>
      </w:r>
      <w:r>
        <w:rPr>
          <w:rFonts w:ascii="Times New Roman" w:hAnsi="Times New Roman"/>
          <w:sz w:val="20"/>
        </w:rPr>
        <w:t>three and nine</w:t>
      </w:r>
      <w:r>
        <w:rPr/>
        <w:t xml:space="preserve"> </w:t>
      </w:r>
      <w:r>
        <w:rPr>
          <w:sz w:val="20"/>
        </w:rPr>
        <w:t xml:space="preserve">months ended </w:t>
      </w:r>
      <w:r>
        <w:rPr>
          <w:rFonts w:ascii="Times New Roman" w:hAnsi="Times New Roman"/>
          <w:sz w:val="20"/>
        </w:rPr>
        <w:t>July 31, 2026</w:t>
      </w:r>
      <w:r>
        <w:rPr/>
        <w:t xml:space="preserve"> </w:t>
      </w:r>
      <w:r>
        <w:rPr>
          <w:sz w:val="20"/>
        </w:rPr>
        <w:t xml:space="preserve">and </w:t>
      </w:r>
      <w:r>
        <w:rPr>
          <w:rFonts w:ascii="Times New Roman" w:hAnsi="Times New Roman"/>
          <w:sz w:val="20"/>
        </w:rPr>
        <w:t>2025</w:t>
      </w:r>
      <w:r>
        <w:rPr>
          <w:sz w:val="20"/>
        </w:rPr>
        <w:t xml:space="preserve">, respectively. </w:t>
      </w:r>
    </w:p>
    <w:p>
      <w:pPr>
        <w:pStyle w:val="TextBody"/>
        <w:bidi w:val="0"/>
        <w:spacing w:lineRule="atLeast" w:line="240" w:before="200" w:after="200"/>
        <w:jc w:val="left"/>
        <w:rPr>
          <w:i/>
          <w:sz w:val="20"/>
        </w:rPr>
      </w:pPr>
      <w:r>
        <w:rPr>
          <w:i/>
          <w:sz w:val="20"/>
        </w:rPr>
        <w:t>Unconsolidated Joint Ventures</w:t>
      </w:r>
    </w:p>
    <w:p>
      <w:pPr>
        <w:pStyle w:val="TextBody"/>
        <w:bidi w:val="0"/>
        <w:spacing w:lineRule="atLeast" w:line="240" w:before="0" w:after="0"/>
        <w:ind w:left="0" w:right="0" w:firstLine="900"/>
        <w:jc w:val="left"/>
        <w:rPr/>
      </w:pPr>
      <w:r>
        <w:rPr>
          <w:sz w:val="20"/>
        </w:rPr>
        <w:t xml:space="preserve">We have investments in unconsolidated joint ventures in various markets where we conduct homebuilding operations. Investments in and advances to unconsolidated joint ventures </w:t>
      </w:r>
      <w:r>
        <w:rPr>
          <w:rFonts w:ascii="Times New Roman" w:hAnsi="Times New Roman"/>
          <w:sz w:val="20"/>
        </w:rPr>
        <w:t>decreased</w:t>
      </w:r>
      <w:r>
        <w:rPr/>
        <w:t xml:space="preserve"> </w:t>
      </w:r>
      <w:r>
        <w:rPr>
          <w:sz w:val="20"/>
        </w:rPr>
        <w:t>by $</w:t>
      </w:r>
      <w:r>
        <w:rPr>
          <w:rFonts w:ascii="Times New Roman" w:hAnsi="Times New Roman"/>
          <w:sz w:val="20"/>
        </w:rPr>
        <w:t>8.4</w:t>
      </w:r>
      <w:r>
        <w:rPr/>
        <w:t xml:space="preserve"> </w:t>
      </w:r>
      <w:r>
        <w:rPr>
          <w:sz w:val="20"/>
        </w:rPr>
        <w:t>million to $</w:t>
      </w:r>
      <w:r>
        <w:rPr>
          <w:rFonts w:ascii="Times New Roman" w:hAnsi="Times New Roman"/>
          <w:sz w:val="20"/>
        </w:rPr>
        <w:t>155.1</w:t>
      </w:r>
      <w:r>
        <w:rPr/>
        <w:t xml:space="preserve"> </w:t>
      </w:r>
      <w:r>
        <w:rPr>
          <w:sz w:val="20"/>
        </w:rPr>
        <w:t xml:space="preserve">million at </w:t>
      </w:r>
      <w:r>
        <w:rPr>
          <w:rFonts w:ascii="Times New Roman" w:hAnsi="Times New Roman"/>
          <w:sz w:val="20"/>
        </w:rPr>
        <w:t>July 31, 2026</w:t>
      </w:r>
      <w:r>
        <w:rPr/>
        <w:t xml:space="preserve"> </w:t>
      </w:r>
      <w:r>
        <w:rPr>
          <w:sz w:val="20"/>
        </w:rPr>
        <w:t xml:space="preserve">compared with </w:t>
      </w:r>
      <w:r>
        <w:rPr>
          <w:rFonts w:ascii="Times New Roman" w:hAnsi="Times New Roman"/>
          <w:sz w:val="20"/>
        </w:rPr>
        <w:t>October 31, 2025</w:t>
      </w:r>
      <w:r>
        <w:rPr>
          <w:sz w:val="20"/>
        </w:rPr>
        <w:t>. The decrease was primarily due to the consolidation of a previously unconsolidated joint venture and an increase</w:t>
      </w:r>
      <w:r>
        <w:rPr/>
        <w:t> </w:t>
      </w:r>
      <w:r>
        <w:rPr>
          <w:sz w:val="20"/>
        </w:rPr>
        <w:t>in our share of losses from an existing unconsolidated joint venture, partially offset by</w:t>
      </w:r>
      <w:r>
        <w:rPr/>
        <w:t> </w:t>
      </w:r>
      <w:r>
        <w:rPr>
          <w:sz w:val="20"/>
        </w:rPr>
        <w:t xml:space="preserve">a new joint venture entered into during the first quarter of fiscal 2026 and increased income from two existing unconsolidated joint ventures. As of </w:t>
      </w:r>
      <w:r>
        <w:rPr>
          <w:rFonts w:ascii="Times New Roman" w:hAnsi="Times New Roman"/>
          <w:sz w:val="20"/>
        </w:rPr>
        <w:t>July 31, 2026</w:t>
      </w:r>
      <w:r>
        <w:rPr/>
        <w:t xml:space="preserve"> </w:t>
      </w:r>
      <w:r>
        <w:rPr>
          <w:sz w:val="20"/>
        </w:rPr>
        <w:t xml:space="preserve">and </w:t>
      </w:r>
      <w:r>
        <w:rPr>
          <w:rFonts w:ascii="Times New Roman" w:hAnsi="Times New Roman"/>
          <w:sz w:val="20"/>
        </w:rPr>
        <w:t>October 31, 2025</w:t>
      </w:r>
      <w:r>
        <w:rPr>
          <w:sz w:val="20"/>
        </w:rPr>
        <w:t>, we had investments in five and six unconsolidated homebuilding joint ventures, respectively.</w:t>
      </w:r>
    </w:p>
    <w:p>
      <w:pPr>
        <w:pStyle w:val="TextBody"/>
        <w:bidi w:val="0"/>
        <w:spacing w:lineRule="atLeast" w:line="240" w:before="200" w:after="200"/>
        <w:jc w:val="left"/>
        <w:rPr>
          <w:i/>
          <w:sz w:val="20"/>
        </w:rPr>
      </w:pPr>
      <w:r>
        <w:rPr>
          <w:i/>
          <w:sz w:val="20"/>
        </w:rPr>
        <w:t>Inventories</w:t>
      </w:r>
    </w:p>
    <w:p>
      <w:pPr>
        <w:pStyle w:val="TextBody"/>
        <w:bidi w:val="0"/>
        <w:spacing w:lineRule="atLeast" w:line="240" w:before="0" w:after="0"/>
        <w:ind w:left="0" w:right="0" w:firstLine="900"/>
        <w:jc w:val="left"/>
        <w:rPr/>
      </w:pPr>
      <w:r>
        <w:rPr>
          <w:sz w:val="20"/>
        </w:rPr>
        <w:t xml:space="preserve">Total inventory, excluding consolidated inventory not owned, </w:t>
      </w:r>
      <w:r>
        <w:rPr>
          <w:rFonts w:ascii="Times New Roman" w:hAnsi="Times New Roman"/>
          <w:sz w:val="20"/>
        </w:rPr>
        <w:t>increased</w:t>
      </w:r>
      <w:r>
        <w:rPr/>
        <w:t xml:space="preserve"> </w:t>
      </w:r>
      <w:r>
        <w:rPr>
          <w:sz w:val="20"/>
        </w:rPr>
        <w:t>by $</w:t>
      </w:r>
      <w:r>
        <w:rPr>
          <w:rFonts w:ascii="Times New Roman" w:hAnsi="Times New Roman"/>
          <w:sz w:val="20"/>
        </w:rPr>
        <w:t>141.6</w:t>
      </w:r>
      <w:r>
        <w:rPr/>
        <w:t> </w:t>
      </w:r>
      <w:r>
        <w:rPr>
          <w:sz w:val="20"/>
        </w:rPr>
        <w:t>million to $</w:t>
      </w:r>
      <w:r>
        <w:rPr>
          <w:rFonts w:ascii="Times New Roman" w:hAnsi="Times New Roman"/>
          <w:sz w:val="20"/>
        </w:rPr>
        <w:t>1.4</w:t>
      </w:r>
      <w:r>
        <w:rPr/>
        <w:t> </w:t>
      </w:r>
      <w:r>
        <w:rPr>
          <w:sz w:val="20"/>
        </w:rPr>
        <w:t xml:space="preserve">billion at </w:t>
      </w:r>
      <w:r>
        <w:rPr>
          <w:rFonts w:ascii="Times New Roman" w:hAnsi="Times New Roman"/>
          <w:sz w:val="20"/>
        </w:rPr>
        <w:t>July 31, 2026</w:t>
      </w:r>
      <w:r>
        <w:rPr/>
        <w:t xml:space="preserve"> </w:t>
      </w:r>
      <w:r>
        <w:rPr>
          <w:sz w:val="20"/>
        </w:rPr>
        <w:t xml:space="preserve">compared with </w:t>
      </w:r>
      <w:r>
        <w:rPr>
          <w:rFonts w:ascii="Times New Roman" w:hAnsi="Times New Roman"/>
          <w:sz w:val="20"/>
        </w:rPr>
        <w:t>October 31, 2025</w:t>
      </w:r>
      <w:r>
        <w:rPr>
          <w:sz w:val="20"/>
        </w:rPr>
        <w:t>. The increase included $150.6 million from the acquisition of a controlling interest and the resulting consolidation of KSA, as well as increases of $33.2 million in the Northeast segment and $11.8 million in the West segment. These increases were partially offset by a decrease of $53.9 million in the Southeast segment. The net change in domestic inventory was primarily attributable to</w:t>
      </w:r>
      <w:r>
        <w:rPr/>
        <w:t> </w:t>
      </w:r>
      <w:r>
        <w:rPr>
          <w:sz w:val="20"/>
        </w:rPr>
        <w:t>home deliveries, inventory impairments and land option write-offs, land sales, and inventory contributed to new unconsolidated joint ventures, partially offset by</w:t>
      </w:r>
      <w:r>
        <w:rPr/>
        <w:t> </w:t>
      </w:r>
      <w:r>
        <w:rPr>
          <w:sz w:val="20"/>
        </w:rPr>
        <w:t xml:space="preserve">new land purchases and land development. Substantially all homes under construction or completed and included in inventory at </w:t>
      </w:r>
      <w:r>
        <w:rPr>
          <w:rFonts w:ascii="Times New Roman" w:hAnsi="Times New Roman"/>
          <w:sz w:val="20"/>
        </w:rPr>
        <w:t>July 31, 2026</w:t>
      </w:r>
      <w:r>
        <w:rPr/>
        <w:t xml:space="preserve"> </w:t>
      </w:r>
      <w:r>
        <w:rPr>
          <w:sz w:val="20"/>
        </w:rPr>
        <w:t xml:space="preserve">are expected to be delivered within the next six to nine months. </w:t>
      </w:r>
    </w:p>
    <w:p>
      <w:pPr>
        <w:pStyle w:val="TextBody"/>
        <w:bidi w:val="0"/>
        <w:spacing w:lineRule="atLeast" w:line="240" w:before="200" w:after="0"/>
        <w:ind w:left="0" w:right="0" w:firstLine="900"/>
        <w:jc w:val="left"/>
        <w:rPr/>
      </w:pPr>
      <w:r>
        <w:rPr>
          <w:sz w:val="20"/>
        </w:rPr>
        <w:t>Consolidated inventory not owned, which consists of options related to land banking and model financing, increased by $15.4</w:t>
      </w:r>
      <w:r>
        <w:rPr/>
        <w:t> </w:t>
      </w:r>
      <w:r>
        <w:rPr>
          <w:sz w:val="20"/>
        </w:rPr>
        <w:t xml:space="preserve">million from </w:t>
      </w:r>
      <w:r>
        <w:rPr>
          <w:rFonts w:ascii="Times New Roman" w:hAnsi="Times New Roman"/>
          <w:sz w:val="20"/>
        </w:rPr>
        <w:t>October 31, 2025</w:t>
      </w:r>
      <w:r>
        <w:rPr/>
        <w:t xml:space="preserve"> </w:t>
      </w:r>
      <w:r>
        <w:rPr>
          <w:sz w:val="20"/>
        </w:rPr>
        <w:t xml:space="preserve">to </w:t>
      </w:r>
      <w:r>
        <w:rPr>
          <w:rFonts w:ascii="Times New Roman" w:hAnsi="Times New Roman"/>
          <w:sz w:val="20"/>
        </w:rPr>
        <w:t>July 31, 2026</w:t>
      </w:r>
      <w:r>
        <w:rPr>
          <w:sz w:val="20"/>
        </w:rPr>
        <w:t xml:space="preserve">. The increase was primarily due to higher land banking activity, partially offset by a decrease in sale and leaseback transactions for certain model homes. We have land banking arrangements, whereby we sell land parcels to land bankers and they provide us with an option to purchase finished lots on a predetermined schedule. Because of our options to repurchase these parcels, these transactions are considered a financing rather than a sale. Our Condensed Consolidated Balance Sheet, at </w:t>
      </w:r>
      <w:r>
        <w:rPr>
          <w:rFonts w:ascii="Times New Roman" w:hAnsi="Times New Roman"/>
          <w:sz w:val="20"/>
        </w:rPr>
        <w:t>July 31, 2026</w:t>
      </w:r>
      <w:r>
        <w:rPr>
          <w:sz w:val="20"/>
        </w:rPr>
        <w:t>, included inventory of $285.1</w:t>
      </w:r>
      <w:r>
        <w:rPr/>
        <w:t> </w:t>
      </w:r>
      <w:r>
        <w:rPr>
          <w:sz w:val="20"/>
        </w:rPr>
        <w:t>million recorded to “Consolidated inventory not owned,” with a corresponding amount of $164.9</w:t>
      </w:r>
      <w:r>
        <w:rPr/>
        <w:t> </w:t>
      </w:r>
      <w:r>
        <w:rPr>
          <w:sz w:val="20"/>
        </w:rPr>
        <w:t xml:space="preserve">million (net of debt issuance costs) recorded to “Liabilities from inventory not owned” for the amount of net cash received from the transactions. In addition, we sell and lease back certain of our model homes with the right to participate in the potential profit when each home is sold to a third-party at the end of the respective lease. As a result of our continued involvement and the ability to repurchase model homes with below market options, these sale and leaseback transactions are considered a financing rather than a sale. Therefore, our Condensed Consolidated Balance Sheet, at </w:t>
      </w:r>
      <w:r>
        <w:rPr>
          <w:rFonts w:ascii="Times New Roman" w:hAnsi="Times New Roman"/>
          <w:sz w:val="20"/>
        </w:rPr>
        <w:t>July 31, 2026</w:t>
      </w:r>
      <w:r>
        <w:rPr>
          <w:sz w:val="20"/>
        </w:rPr>
        <w:t>, included</w:t>
      </w:r>
      <w:r>
        <w:rPr/>
        <w:t> </w:t>
      </w:r>
      <w:r>
        <w:rPr>
          <w:sz w:val="20"/>
        </w:rPr>
        <w:t>inventory of $63.1</w:t>
      </w:r>
      <w:r>
        <w:rPr/>
        <w:t> </w:t>
      </w:r>
      <w:r>
        <w:rPr>
          <w:sz w:val="20"/>
        </w:rPr>
        <w:t>million recorded to “Consolidated inventory not owned,” with a corresponding amount of $63.7</w:t>
      </w:r>
      <w:r>
        <w:rPr/>
        <w:t> </w:t>
      </w:r>
      <w:r>
        <w:rPr>
          <w:sz w:val="20"/>
        </w:rPr>
        <w:t>million (net of debt issuance costs) recorded to “Liabilities from inventory not owned” for the amount of net cash received from the transactions.</w:t>
      </w:r>
    </w:p>
    <w:p>
      <w:pPr>
        <w:pStyle w:val="TextBody"/>
        <w:bidi w:val="0"/>
        <w:spacing w:lineRule="atLeast" w:line="240" w:before="0" w:after="0"/>
        <w:jc w:val="left"/>
        <w:rPr/>
      </w:pPr>
      <w:r>
        <w:rPr/>
        <w:t> </w:t>
      </w:r>
    </w:p>
    <w:p>
      <w:pPr>
        <w:pStyle w:val="TextBody"/>
        <w:bidi w:val="0"/>
        <w:spacing w:lineRule="auto" w:line="276" w:before="0" w:after="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pPr>
      <w:hyperlink w:anchor="TOC_TableofContent">
        <w:r>
          <w:rPr>
            <w:rStyle w:val="InternetLink"/>
            <w:strike w:val="false"/>
            <w:dstrike w:val="false"/>
            <w:color w:val="0000FF"/>
            <w:sz w:val="20"/>
            <w:u w:val="single"/>
            <w:effect w:val="none"/>
          </w:rPr>
          <w:t>Table of Contents</w:t>
        </w:r>
      </w:hyperlink>
    </w:p>
    <w:p>
      <w:pPr>
        <w:pStyle w:val="TextBody"/>
        <w:bidi w:val="0"/>
        <w:spacing w:lineRule="atLeast" w:line="240" w:before="200" w:after="200"/>
        <w:ind w:left="0" w:right="0" w:firstLine="900"/>
        <w:jc w:val="left"/>
        <w:rPr/>
      </w:pPr>
      <w:r>
        <w:rPr>
          <w:sz w:val="20"/>
        </w:rPr>
        <w:t xml:space="preserve">The following tables summarize home sites included in our total residential real estate. The slight decrease in total domestic home sites available at </w:t>
      </w:r>
      <w:r>
        <w:rPr>
          <w:rFonts w:ascii="Times New Roman" w:hAnsi="Times New Roman"/>
          <w:sz w:val="20"/>
        </w:rPr>
        <w:t>July 31, 2026</w:t>
      </w:r>
      <w:r>
        <w:rPr/>
        <w:t xml:space="preserve"> </w:t>
      </w:r>
      <w:r>
        <w:rPr>
          <w:sz w:val="20"/>
        </w:rPr>
        <w:t xml:space="preserve">compared to </w:t>
      </w:r>
      <w:r>
        <w:rPr>
          <w:rFonts w:ascii="Times New Roman" w:hAnsi="Times New Roman"/>
          <w:sz w:val="20"/>
        </w:rPr>
        <w:t>October 31, 2025</w:t>
      </w:r>
      <w:r>
        <w:rPr/>
        <w:t xml:space="preserve"> </w:t>
      </w:r>
      <w:r>
        <w:rPr>
          <w:sz w:val="20"/>
        </w:rPr>
        <w:t>is attributable to delivering homes and terminating certain option agreements, partially offset by acquiring new land parcels during the period.</w:t>
      </w:r>
      <w:r>
        <w:rPr/>
        <w:t> </w:t>
      </w:r>
    </w:p>
    <w:tbl>
      <w:tblPr>
        <w:tblW w:w="8050" w:type="dxa"/>
        <w:jc w:val="left"/>
        <w:tblInd w:w="0" w:type="dxa"/>
        <w:tblLayout w:type="fixed"/>
        <w:tblCellMar>
          <w:top w:w="0" w:type="dxa"/>
          <w:left w:w="0" w:type="dxa"/>
          <w:bottom w:w="0" w:type="dxa"/>
          <w:right w:w="0" w:type="dxa"/>
        </w:tblCellMar>
      </w:tblPr>
      <w:tblGrid>
        <w:gridCol w:w="3380"/>
        <w:gridCol w:w="60"/>
        <w:gridCol w:w="1370"/>
        <w:gridCol w:w="60"/>
        <w:gridCol w:w="60"/>
        <w:gridCol w:w="1190"/>
        <w:gridCol w:w="60"/>
        <w:gridCol w:w="60"/>
        <w:gridCol w:w="1070"/>
        <w:gridCol w:w="60"/>
        <w:gridCol w:w="60"/>
        <w:gridCol w:w="620"/>
      </w:tblGrid>
      <w:tr>
        <w:trPr/>
        <w:tc>
          <w:tcPr>
            <w:tcW w:w="3380" w:type="dxa"/>
            <w:tcBorders/>
            <w:vAlign w:val="center"/>
          </w:tcPr>
          <w:p>
            <w:pPr>
              <w:pStyle w:val="TableContents"/>
              <w:bidi w:val="0"/>
              <w:spacing w:lineRule="auto" w:line="276" w:before="0" w:after="0"/>
              <w:jc w:val="left"/>
              <w:rPr/>
            </w:pPr>
            <w:r>
              <w:rPr/>
              <w:t> </w:t>
            </w:r>
          </w:p>
        </w:tc>
        <w:tc>
          <w:tcPr>
            <w:tcW w:w="60" w:type="dxa"/>
            <w:tcBorders/>
            <w:vAlign w:val="center"/>
          </w:tcPr>
          <w:p>
            <w:pPr>
              <w:pStyle w:val="TableContents"/>
              <w:bidi w:val="0"/>
              <w:spacing w:lineRule="auto" w:line="276" w:before="0" w:after="0"/>
              <w:jc w:val="left"/>
              <w:rPr/>
            </w:pPr>
            <w:r>
              <w:rPr/>
              <w:t> </w:t>
            </w:r>
          </w:p>
        </w:tc>
        <w:tc>
          <w:tcPr>
            <w:tcW w:w="1370" w:type="dxa"/>
            <w:tcBorders/>
            <w:vAlign w:val="center"/>
          </w:tcPr>
          <w:p>
            <w:pPr>
              <w:pStyle w:val="TableContents"/>
              <w:bidi w:val="0"/>
              <w:spacing w:lineRule="auto" w:line="276" w:before="0" w:after="0"/>
              <w:jc w:val="left"/>
              <w:rPr/>
            </w:pPr>
            <w:r>
              <w:rPr/>
              <w:t> </w:t>
            </w:r>
          </w:p>
        </w:tc>
        <w:tc>
          <w:tcPr>
            <w:tcW w:w="60" w:type="dxa"/>
            <w:tcBorders/>
            <w:vAlign w:val="center"/>
          </w:tcPr>
          <w:p>
            <w:pPr>
              <w:pStyle w:val="TableContents"/>
              <w:bidi w:val="0"/>
              <w:spacing w:lineRule="auto" w:line="276" w:before="0" w:after="0"/>
              <w:jc w:val="left"/>
              <w:rPr/>
            </w:pPr>
            <w:r>
              <w:rPr/>
              <w:t> </w:t>
            </w:r>
          </w:p>
        </w:tc>
        <w:tc>
          <w:tcPr>
            <w:tcW w:w="60" w:type="dxa"/>
            <w:tcBorders/>
            <w:vAlign w:val="center"/>
          </w:tcPr>
          <w:p>
            <w:pPr>
              <w:pStyle w:val="TableContents"/>
              <w:bidi w:val="0"/>
              <w:spacing w:lineRule="auto" w:line="276" w:before="0" w:after="0"/>
              <w:jc w:val="left"/>
              <w:rPr/>
            </w:pPr>
            <w:r>
              <w:rPr/>
              <w:t> </w:t>
            </w:r>
          </w:p>
        </w:tc>
        <w:tc>
          <w:tcPr>
            <w:tcW w:w="1190" w:type="dxa"/>
            <w:tcBorders/>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Active Selling</w:t>
            </w:r>
          </w:p>
        </w:tc>
        <w:tc>
          <w:tcPr>
            <w:tcW w:w="60" w:type="dxa"/>
            <w:tcBorders/>
            <w:vAlign w:val="center"/>
          </w:tcPr>
          <w:p>
            <w:pPr>
              <w:pStyle w:val="TableContents"/>
              <w:bidi w:val="0"/>
              <w:spacing w:lineRule="auto" w:line="276" w:before="0" w:after="0"/>
              <w:jc w:val="left"/>
              <w:rPr/>
            </w:pPr>
            <w:r>
              <w:rPr/>
              <w:t> </w:t>
            </w:r>
          </w:p>
        </w:tc>
        <w:tc>
          <w:tcPr>
            <w:tcW w:w="60" w:type="dxa"/>
            <w:tcBorders/>
            <w:vAlign w:val="center"/>
          </w:tcPr>
          <w:p>
            <w:pPr>
              <w:pStyle w:val="TableContents"/>
              <w:bidi w:val="0"/>
              <w:spacing w:lineRule="auto" w:line="276" w:before="0" w:after="0"/>
              <w:jc w:val="left"/>
              <w:rPr/>
            </w:pPr>
            <w:r>
              <w:rPr/>
              <w:t> </w:t>
            </w:r>
          </w:p>
        </w:tc>
        <w:tc>
          <w:tcPr>
            <w:tcW w:w="1070" w:type="dxa"/>
            <w:tcBorders/>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Proposed</w:t>
            </w:r>
          </w:p>
        </w:tc>
        <w:tc>
          <w:tcPr>
            <w:tcW w:w="60" w:type="dxa"/>
            <w:tcBorders/>
            <w:vAlign w:val="center"/>
          </w:tcPr>
          <w:p>
            <w:pPr>
              <w:pStyle w:val="TableContents"/>
              <w:bidi w:val="0"/>
              <w:spacing w:lineRule="auto" w:line="276" w:before="0" w:after="0"/>
              <w:jc w:val="left"/>
              <w:rPr/>
            </w:pPr>
            <w:r>
              <w:rPr/>
              <w:t> </w:t>
            </w:r>
          </w:p>
        </w:tc>
        <w:tc>
          <w:tcPr>
            <w:tcW w:w="60" w:type="dxa"/>
            <w:tcBorders/>
            <w:vAlign w:val="center"/>
          </w:tcPr>
          <w:p>
            <w:pPr>
              <w:pStyle w:val="TableContents"/>
              <w:bidi w:val="0"/>
              <w:spacing w:lineRule="auto" w:line="276" w:before="0" w:after="0"/>
              <w:jc w:val="left"/>
              <w:rPr/>
            </w:pPr>
            <w:r>
              <w:rPr/>
              <w:t> </w:t>
            </w:r>
          </w:p>
        </w:tc>
        <w:tc>
          <w:tcPr>
            <w:tcW w:w="620" w:type="dxa"/>
            <w:tcBorders/>
            <w:vAlign w:val="center"/>
          </w:tcPr>
          <w:p>
            <w:pPr>
              <w:pStyle w:val="TableContents"/>
              <w:bidi w:val="0"/>
              <w:spacing w:lineRule="auto" w:line="276" w:before="0" w:after="0"/>
              <w:jc w:val="left"/>
              <w:rPr/>
            </w:pPr>
            <w:r>
              <w:rPr/>
              <w:t> </w:t>
            </w:r>
          </w:p>
        </w:tc>
      </w:tr>
      <w:tr>
        <w:trPr/>
        <w:tc>
          <w:tcPr>
            <w:tcW w:w="3380" w:type="dxa"/>
            <w:tcBorders/>
            <w:vAlign w:val="center"/>
          </w:tcPr>
          <w:p>
            <w:pPr>
              <w:pStyle w:val="TableContents"/>
              <w:bidi w:val="0"/>
              <w:spacing w:lineRule="auto" w:line="276" w:before="0" w:after="0"/>
              <w:jc w:val="left"/>
              <w:rPr/>
            </w:pPr>
            <w:r>
              <w:rPr/>
              <w:t> </w:t>
            </w:r>
          </w:p>
        </w:tc>
        <w:tc>
          <w:tcPr>
            <w:tcW w:w="60" w:type="dxa"/>
            <w:tcBorders/>
            <w:vAlign w:val="center"/>
          </w:tcPr>
          <w:p>
            <w:pPr>
              <w:pStyle w:val="TableContents"/>
              <w:bidi w:val="0"/>
              <w:spacing w:lineRule="auto" w:line="276" w:before="0" w:after="0"/>
              <w:jc w:val="left"/>
              <w:rPr/>
            </w:pPr>
            <w:r>
              <w:rPr/>
              <w:t> </w:t>
            </w:r>
          </w:p>
        </w:tc>
        <w:tc>
          <w:tcPr>
            <w:tcW w:w="1370" w:type="dxa"/>
            <w:tcBorders/>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Active Selling</w:t>
            </w:r>
          </w:p>
        </w:tc>
        <w:tc>
          <w:tcPr>
            <w:tcW w:w="60" w:type="dxa"/>
            <w:tcBorders/>
            <w:vAlign w:val="center"/>
          </w:tcPr>
          <w:p>
            <w:pPr>
              <w:pStyle w:val="TableContents"/>
              <w:bidi w:val="0"/>
              <w:spacing w:lineRule="auto" w:line="276" w:before="0" w:after="0"/>
              <w:jc w:val="left"/>
              <w:rPr/>
            </w:pPr>
            <w:r>
              <w:rPr/>
              <w:t> </w:t>
            </w:r>
          </w:p>
        </w:tc>
        <w:tc>
          <w:tcPr>
            <w:tcW w:w="60" w:type="dxa"/>
            <w:tcBorders/>
            <w:vAlign w:val="center"/>
          </w:tcPr>
          <w:p>
            <w:pPr>
              <w:pStyle w:val="TableContents"/>
              <w:bidi w:val="0"/>
              <w:spacing w:lineRule="auto" w:line="276" w:before="0" w:after="0"/>
              <w:jc w:val="left"/>
              <w:rPr/>
            </w:pPr>
            <w:r>
              <w:rPr/>
              <w:t> </w:t>
            </w:r>
          </w:p>
        </w:tc>
        <w:tc>
          <w:tcPr>
            <w:tcW w:w="1190" w:type="dxa"/>
            <w:tcBorders/>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Communities</w:t>
            </w:r>
          </w:p>
        </w:tc>
        <w:tc>
          <w:tcPr>
            <w:tcW w:w="60" w:type="dxa"/>
            <w:tcBorders/>
            <w:vAlign w:val="center"/>
          </w:tcPr>
          <w:p>
            <w:pPr>
              <w:pStyle w:val="TableContents"/>
              <w:bidi w:val="0"/>
              <w:spacing w:lineRule="auto" w:line="276" w:before="0" w:after="0"/>
              <w:jc w:val="left"/>
              <w:rPr/>
            </w:pPr>
            <w:r>
              <w:rPr/>
              <w:t> </w:t>
            </w:r>
          </w:p>
        </w:tc>
        <w:tc>
          <w:tcPr>
            <w:tcW w:w="60" w:type="dxa"/>
            <w:tcBorders/>
            <w:vAlign w:val="center"/>
          </w:tcPr>
          <w:p>
            <w:pPr>
              <w:pStyle w:val="TableContents"/>
              <w:bidi w:val="0"/>
              <w:spacing w:lineRule="auto" w:line="276" w:before="0" w:after="0"/>
              <w:jc w:val="left"/>
              <w:rPr/>
            </w:pPr>
            <w:r>
              <w:rPr/>
              <w:t> </w:t>
            </w:r>
          </w:p>
        </w:tc>
        <w:tc>
          <w:tcPr>
            <w:tcW w:w="1070" w:type="dxa"/>
            <w:tcBorders/>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Developable</w:t>
            </w:r>
          </w:p>
        </w:tc>
        <w:tc>
          <w:tcPr>
            <w:tcW w:w="60" w:type="dxa"/>
            <w:tcBorders/>
            <w:vAlign w:val="center"/>
          </w:tcPr>
          <w:p>
            <w:pPr>
              <w:pStyle w:val="TableContents"/>
              <w:bidi w:val="0"/>
              <w:spacing w:lineRule="auto" w:line="276" w:before="0" w:after="0"/>
              <w:jc w:val="left"/>
              <w:rPr/>
            </w:pPr>
            <w:r>
              <w:rPr/>
              <w:t> </w:t>
            </w:r>
          </w:p>
        </w:tc>
        <w:tc>
          <w:tcPr>
            <w:tcW w:w="60" w:type="dxa"/>
            <w:tcBorders/>
            <w:vAlign w:val="center"/>
          </w:tcPr>
          <w:p>
            <w:pPr>
              <w:pStyle w:val="TableContents"/>
              <w:bidi w:val="0"/>
              <w:spacing w:lineRule="auto" w:line="276" w:before="0" w:after="0"/>
              <w:jc w:val="left"/>
              <w:rPr/>
            </w:pPr>
            <w:r>
              <w:rPr/>
              <w:t> </w:t>
            </w:r>
          </w:p>
        </w:tc>
        <w:tc>
          <w:tcPr>
            <w:tcW w:w="620" w:type="dxa"/>
            <w:tcBorders/>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Total</w:t>
            </w:r>
          </w:p>
        </w:tc>
      </w:tr>
      <w:tr>
        <w:trPr/>
        <w:tc>
          <w:tcPr>
            <w:tcW w:w="3380" w:type="dxa"/>
            <w:tcBorders>
              <w:bottom w:val="single" w:sz="8" w:space="0" w:color="000000"/>
            </w:tcBorders>
            <w:tcMar>
              <w:bottom w:w="28" w:type="dxa"/>
            </w:tcMar>
            <w:vAlign w:val="center"/>
          </w:tcPr>
          <w:p>
            <w:pPr>
              <w:pStyle w:val="TableContents"/>
              <w:bidi w:val="0"/>
              <w:spacing w:lineRule="auto" w:line="276" w:before="0" w:after="0"/>
              <w:jc w:val="left"/>
              <w:rPr/>
            </w:pPr>
            <w:r>
              <w:rPr/>
              <w:t> </w:t>
            </w:r>
          </w:p>
        </w:tc>
        <w:tc>
          <w:tcPr>
            <w:tcW w:w="60" w:type="dxa"/>
            <w:tcBorders>
              <w:bottom w:val="single" w:sz="8" w:space="0" w:color="000000"/>
            </w:tcBorders>
            <w:tcMar>
              <w:bottom w:w="28" w:type="dxa"/>
            </w:tcMar>
            <w:vAlign w:val="center"/>
          </w:tcPr>
          <w:p>
            <w:pPr>
              <w:pStyle w:val="TableContents"/>
              <w:bidi w:val="0"/>
              <w:spacing w:lineRule="auto" w:line="276" w:before="0" w:after="0"/>
              <w:jc w:val="left"/>
              <w:rPr/>
            </w:pPr>
            <w:r>
              <w:rPr/>
              <w:t> </w:t>
            </w:r>
          </w:p>
        </w:tc>
        <w:tc>
          <w:tcPr>
            <w:tcW w:w="1370" w:type="dxa"/>
            <w:tcBorders>
              <w:bottom w:val="single" w:sz="8" w:space="0" w:color="000000"/>
            </w:tcBorders>
            <w:tcMar>
              <w:bottom w:w="28" w:type="dxa"/>
            </w:tcMar>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Communities(1)</w:t>
            </w:r>
          </w:p>
        </w:tc>
        <w:tc>
          <w:tcPr>
            <w:tcW w:w="60" w:type="dxa"/>
            <w:tcBorders>
              <w:bottom w:val="single" w:sz="8" w:space="0" w:color="000000"/>
            </w:tcBorders>
            <w:tcMar>
              <w:bottom w:w="28" w:type="dxa"/>
            </w:tcMar>
            <w:vAlign w:val="center"/>
          </w:tcPr>
          <w:p>
            <w:pPr>
              <w:pStyle w:val="TableContents"/>
              <w:bidi w:val="0"/>
              <w:spacing w:lineRule="auto" w:line="276" w:before="0" w:after="0"/>
              <w:jc w:val="left"/>
              <w:rPr/>
            </w:pPr>
            <w:r>
              <w:rPr/>
              <w:t> </w:t>
            </w:r>
          </w:p>
        </w:tc>
        <w:tc>
          <w:tcPr>
            <w:tcW w:w="60" w:type="dxa"/>
            <w:tcBorders>
              <w:bottom w:val="single" w:sz="8" w:space="0" w:color="000000"/>
            </w:tcBorders>
            <w:tcMar>
              <w:bottom w:w="28" w:type="dxa"/>
            </w:tcMar>
            <w:vAlign w:val="center"/>
          </w:tcPr>
          <w:p>
            <w:pPr>
              <w:pStyle w:val="TableContents"/>
              <w:bidi w:val="0"/>
              <w:spacing w:lineRule="auto" w:line="276" w:before="0" w:after="0"/>
              <w:jc w:val="left"/>
              <w:rPr/>
            </w:pPr>
            <w:r>
              <w:rPr/>
              <w:t> </w:t>
            </w:r>
          </w:p>
        </w:tc>
        <w:tc>
          <w:tcPr>
            <w:tcW w:w="1190" w:type="dxa"/>
            <w:tcBorders>
              <w:bottom w:val="single" w:sz="8" w:space="0" w:color="000000"/>
            </w:tcBorders>
            <w:tcMar>
              <w:bottom w:w="28" w:type="dxa"/>
            </w:tcMar>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Homes</w:t>
            </w:r>
          </w:p>
        </w:tc>
        <w:tc>
          <w:tcPr>
            <w:tcW w:w="60" w:type="dxa"/>
            <w:tcBorders>
              <w:bottom w:val="single" w:sz="8" w:space="0" w:color="000000"/>
            </w:tcBorders>
            <w:tcMar>
              <w:bottom w:w="28" w:type="dxa"/>
            </w:tcMar>
            <w:vAlign w:val="center"/>
          </w:tcPr>
          <w:p>
            <w:pPr>
              <w:pStyle w:val="TableContents"/>
              <w:bidi w:val="0"/>
              <w:spacing w:lineRule="auto" w:line="276" w:before="0" w:after="0"/>
              <w:jc w:val="left"/>
              <w:rPr/>
            </w:pPr>
            <w:r>
              <w:rPr/>
              <w:t> </w:t>
            </w:r>
          </w:p>
        </w:tc>
        <w:tc>
          <w:tcPr>
            <w:tcW w:w="60" w:type="dxa"/>
            <w:tcBorders>
              <w:bottom w:val="single" w:sz="8" w:space="0" w:color="000000"/>
            </w:tcBorders>
            <w:tcMar>
              <w:bottom w:w="28" w:type="dxa"/>
            </w:tcMar>
            <w:vAlign w:val="center"/>
          </w:tcPr>
          <w:p>
            <w:pPr>
              <w:pStyle w:val="TableContents"/>
              <w:bidi w:val="0"/>
              <w:spacing w:lineRule="auto" w:line="276" w:before="0" w:after="0"/>
              <w:jc w:val="left"/>
              <w:rPr/>
            </w:pPr>
            <w:r>
              <w:rPr/>
              <w:t> </w:t>
            </w:r>
          </w:p>
        </w:tc>
        <w:tc>
          <w:tcPr>
            <w:tcW w:w="1070" w:type="dxa"/>
            <w:tcBorders>
              <w:bottom w:val="single" w:sz="8" w:space="0" w:color="000000"/>
            </w:tcBorders>
            <w:tcMar>
              <w:bottom w:w="28" w:type="dxa"/>
            </w:tcMar>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Homes</w:t>
            </w:r>
          </w:p>
        </w:tc>
        <w:tc>
          <w:tcPr>
            <w:tcW w:w="60" w:type="dxa"/>
            <w:tcBorders>
              <w:bottom w:val="single" w:sz="8" w:space="0" w:color="000000"/>
            </w:tcBorders>
            <w:tcMar>
              <w:bottom w:w="28" w:type="dxa"/>
            </w:tcMar>
            <w:vAlign w:val="center"/>
          </w:tcPr>
          <w:p>
            <w:pPr>
              <w:pStyle w:val="TableContents"/>
              <w:bidi w:val="0"/>
              <w:spacing w:lineRule="auto" w:line="276" w:before="0" w:after="0"/>
              <w:jc w:val="left"/>
              <w:rPr/>
            </w:pPr>
            <w:r>
              <w:rPr/>
              <w:t> </w:t>
            </w:r>
          </w:p>
        </w:tc>
        <w:tc>
          <w:tcPr>
            <w:tcW w:w="60" w:type="dxa"/>
            <w:tcBorders>
              <w:bottom w:val="single" w:sz="8" w:space="0" w:color="000000"/>
            </w:tcBorders>
            <w:tcMar>
              <w:bottom w:w="28" w:type="dxa"/>
            </w:tcMar>
            <w:vAlign w:val="center"/>
          </w:tcPr>
          <w:p>
            <w:pPr>
              <w:pStyle w:val="TableContents"/>
              <w:bidi w:val="0"/>
              <w:spacing w:lineRule="auto" w:line="276" w:before="0" w:after="0"/>
              <w:jc w:val="left"/>
              <w:rPr/>
            </w:pPr>
            <w:r>
              <w:rPr/>
              <w:t> </w:t>
            </w:r>
          </w:p>
        </w:tc>
        <w:tc>
          <w:tcPr>
            <w:tcW w:w="620" w:type="dxa"/>
            <w:tcBorders>
              <w:bottom w:val="single" w:sz="8" w:space="0" w:color="000000"/>
            </w:tcBorders>
            <w:tcMar>
              <w:bottom w:w="28" w:type="dxa"/>
            </w:tcMar>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Homes</w:t>
            </w:r>
          </w:p>
        </w:tc>
      </w:tr>
      <w:tr>
        <w:trPr/>
        <w:tc>
          <w:tcPr>
            <w:tcW w:w="3380" w:type="dxa"/>
            <w:tcBorders>
              <w:top w:val="single" w:sz="8" w:space="0" w:color="000000"/>
            </w:tcBorders>
            <w:shd w:fill="CCEEFF" w:val="clear"/>
            <w:tcMar>
              <w:top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July 31, 2026:</w:t>
            </w:r>
          </w:p>
        </w:tc>
        <w:tc>
          <w:tcPr>
            <w:tcW w:w="60" w:type="dxa"/>
            <w:tcBorders>
              <w:top w:val="single" w:sz="8" w:space="0" w:color="000000"/>
            </w:tcBorders>
            <w:shd w:fill="CCEEFF" w:val="clear"/>
            <w:tcMar>
              <w:top w:w="28" w:type="dxa"/>
            </w:tcMar>
            <w:vAlign w:val="center"/>
          </w:tcPr>
          <w:p>
            <w:pPr>
              <w:pStyle w:val="TableContents"/>
              <w:bidi w:val="0"/>
              <w:spacing w:lineRule="auto" w:line="276" w:before="0" w:after="0"/>
              <w:jc w:val="left"/>
              <w:rPr/>
            </w:pPr>
            <w:r>
              <w:rPr/>
              <w:t> </w:t>
            </w:r>
          </w:p>
        </w:tc>
        <w:tc>
          <w:tcPr>
            <w:tcW w:w="1370" w:type="dxa"/>
            <w:tcBorders>
              <w:top w:val="single" w:sz="8" w:space="0" w:color="000000"/>
            </w:tcBorders>
            <w:shd w:fill="CCEEFF" w:val="clear"/>
            <w:tcMar>
              <w:top w:w="28" w:type="dxa"/>
            </w:tcMar>
            <w:vAlign w:val="center"/>
          </w:tcPr>
          <w:p>
            <w:pPr>
              <w:pStyle w:val="TableContents"/>
              <w:bidi w:val="0"/>
              <w:spacing w:lineRule="auto" w:line="276" w:before="0" w:after="0"/>
              <w:jc w:val="left"/>
              <w:rPr/>
            </w:pPr>
            <w:r>
              <w:rPr/>
              <w:t> </w:t>
            </w:r>
          </w:p>
        </w:tc>
        <w:tc>
          <w:tcPr>
            <w:tcW w:w="60" w:type="dxa"/>
            <w:tcBorders>
              <w:top w:val="single" w:sz="8" w:space="0" w:color="000000"/>
            </w:tcBorders>
            <w:shd w:fill="CCEEFF" w:val="clear"/>
            <w:tcMar>
              <w:top w:w="28" w:type="dxa"/>
            </w:tcMar>
            <w:vAlign w:val="center"/>
          </w:tcPr>
          <w:p>
            <w:pPr>
              <w:pStyle w:val="TableContents"/>
              <w:bidi w:val="0"/>
              <w:spacing w:lineRule="auto" w:line="276" w:before="0" w:after="0"/>
              <w:jc w:val="left"/>
              <w:rPr/>
            </w:pPr>
            <w:r>
              <w:rPr/>
              <w:t> </w:t>
            </w:r>
          </w:p>
        </w:tc>
        <w:tc>
          <w:tcPr>
            <w:tcW w:w="60" w:type="dxa"/>
            <w:tcBorders>
              <w:top w:val="single" w:sz="8" w:space="0" w:color="000000"/>
            </w:tcBorders>
            <w:shd w:fill="CCEEFF" w:val="clear"/>
            <w:tcMar>
              <w:top w:w="28" w:type="dxa"/>
            </w:tcMar>
            <w:vAlign w:val="center"/>
          </w:tcPr>
          <w:p>
            <w:pPr>
              <w:pStyle w:val="TableContents"/>
              <w:bidi w:val="0"/>
              <w:spacing w:lineRule="auto" w:line="276" w:before="0" w:after="0"/>
              <w:jc w:val="left"/>
              <w:rPr/>
            </w:pPr>
            <w:r>
              <w:rPr/>
              <w:t> </w:t>
            </w:r>
          </w:p>
        </w:tc>
        <w:tc>
          <w:tcPr>
            <w:tcW w:w="1190" w:type="dxa"/>
            <w:tcBorders>
              <w:top w:val="single" w:sz="8" w:space="0" w:color="000000"/>
            </w:tcBorders>
            <w:shd w:fill="CCEEFF" w:val="clear"/>
            <w:tcMar>
              <w:top w:w="28" w:type="dxa"/>
            </w:tcMar>
            <w:vAlign w:val="center"/>
          </w:tcPr>
          <w:p>
            <w:pPr>
              <w:pStyle w:val="TableContents"/>
              <w:bidi w:val="0"/>
              <w:spacing w:lineRule="auto" w:line="276" w:before="0" w:after="0"/>
              <w:jc w:val="left"/>
              <w:rPr/>
            </w:pPr>
            <w:r>
              <w:rPr/>
              <w:t> </w:t>
            </w:r>
          </w:p>
        </w:tc>
        <w:tc>
          <w:tcPr>
            <w:tcW w:w="60" w:type="dxa"/>
            <w:tcBorders>
              <w:top w:val="single" w:sz="8" w:space="0" w:color="000000"/>
            </w:tcBorders>
            <w:shd w:fill="CCEEFF" w:val="clear"/>
            <w:tcMar>
              <w:top w:w="28" w:type="dxa"/>
            </w:tcMar>
            <w:vAlign w:val="center"/>
          </w:tcPr>
          <w:p>
            <w:pPr>
              <w:pStyle w:val="TableContents"/>
              <w:bidi w:val="0"/>
              <w:spacing w:lineRule="auto" w:line="276" w:before="0" w:after="0"/>
              <w:jc w:val="left"/>
              <w:rPr/>
            </w:pPr>
            <w:r>
              <w:rPr/>
              <w:t> </w:t>
            </w:r>
          </w:p>
        </w:tc>
        <w:tc>
          <w:tcPr>
            <w:tcW w:w="60" w:type="dxa"/>
            <w:tcBorders>
              <w:top w:val="single" w:sz="8" w:space="0" w:color="000000"/>
            </w:tcBorders>
            <w:shd w:fill="CCEEFF" w:val="clear"/>
            <w:tcMar>
              <w:top w:w="28" w:type="dxa"/>
            </w:tcMar>
            <w:vAlign w:val="center"/>
          </w:tcPr>
          <w:p>
            <w:pPr>
              <w:pStyle w:val="TableContents"/>
              <w:bidi w:val="0"/>
              <w:spacing w:lineRule="auto" w:line="276" w:before="0" w:after="0"/>
              <w:jc w:val="left"/>
              <w:rPr/>
            </w:pPr>
            <w:r>
              <w:rPr/>
              <w:t> </w:t>
            </w:r>
          </w:p>
        </w:tc>
        <w:tc>
          <w:tcPr>
            <w:tcW w:w="1070" w:type="dxa"/>
            <w:tcBorders>
              <w:top w:val="single" w:sz="8" w:space="0" w:color="000000"/>
            </w:tcBorders>
            <w:shd w:fill="CCEEFF" w:val="clear"/>
            <w:tcMar>
              <w:top w:w="28" w:type="dxa"/>
            </w:tcMar>
            <w:vAlign w:val="center"/>
          </w:tcPr>
          <w:p>
            <w:pPr>
              <w:pStyle w:val="TableContents"/>
              <w:bidi w:val="0"/>
              <w:spacing w:lineRule="auto" w:line="276" w:before="0" w:after="0"/>
              <w:jc w:val="left"/>
              <w:rPr/>
            </w:pPr>
            <w:r>
              <w:rPr/>
              <w:t> </w:t>
            </w:r>
          </w:p>
        </w:tc>
        <w:tc>
          <w:tcPr>
            <w:tcW w:w="60" w:type="dxa"/>
            <w:tcBorders>
              <w:top w:val="single" w:sz="8" w:space="0" w:color="000000"/>
            </w:tcBorders>
            <w:shd w:fill="CCEEFF" w:val="clear"/>
            <w:tcMar>
              <w:top w:w="28" w:type="dxa"/>
            </w:tcMar>
            <w:vAlign w:val="center"/>
          </w:tcPr>
          <w:p>
            <w:pPr>
              <w:pStyle w:val="TableContents"/>
              <w:bidi w:val="0"/>
              <w:spacing w:lineRule="auto" w:line="276" w:before="0" w:after="0"/>
              <w:jc w:val="left"/>
              <w:rPr/>
            </w:pPr>
            <w:r>
              <w:rPr/>
              <w:t> </w:t>
            </w:r>
          </w:p>
        </w:tc>
        <w:tc>
          <w:tcPr>
            <w:tcW w:w="60" w:type="dxa"/>
            <w:tcBorders>
              <w:top w:val="single" w:sz="8" w:space="0" w:color="000000"/>
            </w:tcBorders>
            <w:shd w:fill="CCEEFF" w:val="clear"/>
            <w:tcMar>
              <w:top w:w="28" w:type="dxa"/>
            </w:tcMar>
            <w:vAlign w:val="center"/>
          </w:tcPr>
          <w:p>
            <w:pPr>
              <w:pStyle w:val="TableContents"/>
              <w:bidi w:val="0"/>
              <w:spacing w:lineRule="auto" w:line="276" w:before="0" w:after="0"/>
              <w:jc w:val="left"/>
              <w:rPr/>
            </w:pPr>
            <w:r>
              <w:rPr/>
              <w:t> </w:t>
            </w:r>
          </w:p>
        </w:tc>
        <w:tc>
          <w:tcPr>
            <w:tcW w:w="620" w:type="dxa"/>
            <w:tcBorders>
              <w:top w:val="single" w:sz="8" w:space="0" w:color="000000"/>
            </w:tcBorders>
            <w:shd w:fill="CCEEFF" w:val="clear"/>
            <w:tcMar>
              <w:top w:w="28" w:type="dxa"/>
            </w:tcMar>
            <w:vAlign w:val="center"/>
          </w:tcPr>
          <w:p>
            <w:pPr>
              <w:pStyle w:val="TableContents"/>
              <w:bidi w:val="0"/>
              <w:spacing w:lineRule="auto" w:line="276" w:before="0" w:after="0"/>
              <w:jc w:val="left"/>
              <w:rPr/>
            </w:pPr>
            <w:r>
              <w:rPr/>
              <w:t> </w:t>
            </w:r>
          </w:p>
        </w:tc>
      </w:tr>
      <w:tr>
        <w:trPr/>
        <w:tc>
          <w:tcPr>
            <w:tcW w:w="3380" w:type="dxa"/>
            <w:tcBorders/>
            <w:shd w:fill="FFFFFF" w:val="clear"/>
            <w:vAlign w:val="center"/>
          </w:tcPr>
          <w:p>
            <w:pPr>
              <w:pStyle w:val="TableContents"/>
              <w:bidi w:val="0"/>
              <w:spacing w:lineRule="auto" w:line="276" w:before="0" w:after="0"/>
              <w:jc w:val="left"/>
              <w:rPr/>
            </w:pPr>
            <w:r>
              <w:rPr/>
              <w:t> </w:t>
            </w:r>
          </w:p>
        </w:tc>
        <w:tc>
          <w:tcPr>
            <w:tcW w:w="60" w:type="dxa"/>
            <w:tcBorders/>
            <w:shd w:fill="FFFFFF" w:val="clear"/>
            <w:vAlign w:val="center"/>
          </w:tcPr>
          <w:p>
            <w:pPr>
              <w:pStyle w:val="TableContents"/>
              <w:bidi w:val="0"/>
              <w:spacing w:lineRule="auto" w:line="276" w:before="0" w:after="0"/>
              <w:jc w:val="left"/>
              <w:rPr/>
            </w:pPr>
            <w:r>
              <w:rPr/>
              <w:t> </w:t>
            </w:r>
          </w:p>
        </w:tc>
        <w:tc>
          <w:tcPr>
            <w:tcW w:w="1370" w:type="dxa"/>
            <w:tcBorders/>
            <w:shd w:fill="FFFFFF" w:val="clear"/>
            <w:vAlign w:val="center"/>
          </w:tcPr>
          <w:p>
            <w:pPr>
              <w:pStyle w:val="TableContents"/>
              <w:bidi w:val="0"/>
              <w:spacing w:lineRule="auto" w:line="276" w:before="0" w:after="0"/>
              <w:jc w:val="left"/>
              <w:rPr/>
            </w:pPr>
            <w:r>
              <w:rPr/>
              <w:t> </w:t>
            </w:r>
          </w:p>
        </w:tc>
        <w:tc>
          <w:tcPr>
            <w:tcW w:w="60" w:type="dxa"/>
            <w:tcBorders/>
            <w:shd w:fill="FFFFFF" w:val="clear"/>
            <w:vAlign w:val="center"/>
          </w:tcPr>
          <w:p>
            <w:pPr>
              <w:pStyle w:val="TableContents"/>
              <w:bidi w:val="0"/>
              <w:spacing w:lineRule="auto" w:line="276" w:before="0" w:after="0"/>
              <w:jc w:val="left"/>
              <w:rPr/>
            </w:pPr>
            <w:r>
              <w:rPr/>
              <w:t> </w:t>
            </w:r>
          </w:p>
        </w:tc>
        <w:tc>
          <w:tcPr>
            <w:tcW w:w="60" w:type="dxa"/>
            <w:tcBorders/>
            <w:shd w:fill="FFFFFF" w:val="clear"/>
            <w:vAlign w:val="center"/>
          </w:tcPr>
          <w:p>
            <w:pPr>
              <w:pStyle w:val="TableContents"/>
              <w:bidi w:val="0"/>
              <w:spacing w:lineRule="auto" w:line="276" w:before="0" w:after="0"/>
              <w:jc w:val="left"/>
              <w:rPr/>
            </w:pPr>
            <w:r>
              <w:rPr/>
              <w:t> </w:t>
            </w:r>
          </w:p>
        </w:tc>
        <w:tc>
          <w:tcPr>
            <w:tcW w:w="1190" w:type="dxa"/>
            <w:tcBorders/>
            <w:shd w:fill="FFFFFF" w:val="clear"/>
            <w:vAlign w:val="center"/>
          </w:tcPr>
          <w:p>
            <w:pPr>
              <w:pStyle w:val="TableContents"/>
              <w:bidi w:val="0"/>
              <w:spacing w:lineRule="auto" w:line="276" w:before="0" w:after="0"/>
              <w:jc w:val="left"/>
              <w:rPr/>
            </w:pPr>
            <w:r>
              <w:rPr/>
              <w:t> </w:t>
            </w:r>
          </w:p>
        </w:tc>
        <w:tc>
          <w:tcPr>
            <w:tcW w:w="60" w:type="dxa"/>
            <w:tcBorders/>
            <w:shd w:fill="FFFFFF" w:val="clear"/>
            <w:vAlign w:val="center"/>
          </w:tcPr>
          <w:p>
            <w:pPr>
              <w:pStyle w:val="TableContents"/>
              <w:bidi w:val="0"/>
              <w:spacing w:lineRule="auto" w:line="276" w:before="0" w:after="0"/>
              <w:jc w:val="left"/>
              <w:rPr/>
            </w:pPr>
            <w:r>
              <w:rPr/>
              <w:t> </w:t>
            </w:r>
          </w:p>
        </w:tc>
        <w:tc>
          <w:tcPr>
            <w:tcW w:w="60" w:type="dxa"/>
            <w:tcBorders/>
            <w:shd w:fill="FFFFFF" w:val="clear"/>
            <w:vAlign w:val="center"/>
          </w:tcPr>
          <w:p>
            <w:pPr>
              <w:pStyle w:val="TableContents"/>
              <w:bidi w:val="0"/>
              <w:spacing w:lineRule="auto" w:line="276" w:before="0" w:after="0"/>
              <w:jc w:val="left"/>
              <w:rPr/>
            </w:pPr>
            <w:r>
              <w:rPr/>
              <w:t> </w:t>
            </w:r>
          </w:p>
        </w:tc>
        <w:tc>
          <w:tcPr>
            <w:tcW w:w="1070" w:type="dxa"/>
            <w:tcBorders/>
            <w:shd w:fill="FFFFFF" w:val="clear"/>
            <w:vAlign w:val="center"/>
          </w:tcPr>
          <w:p>
            <w:pPr>
              <w:pStyle w:val="TableContents"/>
              <w:bidi w:val="0"/>
              <w:spacing w:lineRule="auto" w:line="276" w:before="0" w:after="0"/>
              <w:jc w:val="left"/>
              <w:rPr/>
            </w:pPr>
            <w:r>
              <w:rPr/>
              <w:t> </w:t>
            </w:r>
          </w:p>
        </w:tc>
        <w:tc>
          <w:tcPr>
            <w:tcW w:w="60" w:type="dxa"/>
            <w:tcBorders/>
            <w:shd w:fill="FFFFFF" w:val="clear"/>
            <w:vAlign w:val="center"/>
          </w:tcPr>
          <w:p>
            <w:pPr>
              <w:pStyle w:val="TableContents"/>
              <w:bidi w:val="0"/>
              <w:spacing w:lineRule="auto" w:line="276" w:before="0" w:after="0"/>
              <w:jc w:val="left"/>
              <w:rPr/>
            </w:pPr>
            <w:r>
              <w:rPr/>
              <w:t> </w:t>
            </w:r>
          </w:p>
        </w:tc>
        <w:tc>
          <w:tcPr>
            <w:tcW w:w="60" w:type="dxa"/>
            <w:tcBorders/>
            <w:shd w:fill="FFFFFF" w:val="clear"/>
            <w:vAlign w:val="center"/>
          </w:tcPr>
          <w:p>
            <w:pPr>
              <w:pStyle w:val="TableContents"/>
              <w:bidi w:val="0"/>
              <w:spacing w:lineRule="auto" w:line="276" w:before="0" w:after="0"/>
              <w:jc w:val="left"/>
              <w:rPr/>
            </w:pPr>
            <w:r>
              <w:rPr/>
              <w:t> </w:t>
            </w:r>
          </w:p>
        </w:tc>
        <w:tc>
          <w:tcPr>
            <w:tcW w:w="620" w:type="dxa"/>
            <w:tcBorders/>
            <w:shd w:fill="FFFFFF" w:val="clear"/>
            <w:vAlign w:val="center"/>
          </w:tcPr>
          <w:p>
            <w:pPr>
              <w:pStyle w:val="TableContents"/>
              <w:bidi w:val="0"/>
              <w:spacing w:lineRule="auto" w:line="276" w:before="0" w:after="0"/>
              <w:jc w:val="left"/>
              <w:rPr/>
            </w:pPr>
            <w:r>
              <w:rPr/>
              <w:t> </w:t>
            </w:r>
          </w:p>
        </w:tc>
      </w:tr>
      <w:tr>
        <w:trPr/>
        <w:tc>
          <w:tcPr>
            <w:tcW w:w="3380" w:type="dxa"/>
            <w:tcBorders/>
            <w:shd w:fill="CCEEFF" w:val="cle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Northeast</w:t>
            </w:r>
          </w:p>
        </w:tc>
        <w:tc>
          <w:tcPr>
            <w:tcW w:w="60" w:type="dxa"/>
            <w:tcBorders/>
            <w:shd w:fill="CCEEFF" w:val="clear"/>
            <w:vAlign w:val="center"/>
          </w:tcPr>
          <w:p>
            <w:pPr>
              <w:pStyle w:val="TableContents"/>
              <w:bidi w:val="0"/>
              <w:spacing w:lineRule="auto" w:line="276" w:before="0" w:after="0"/>
              <w:jc w:val="left"/>
              <w:rPr/>
            </w:pPr>
            <w:r>
              <w:rPr/>
              <w:t> </w:t>
            </w:r>
          </w:p>
        </w:tc>
        <w:tc>
          <w:tcPr>
            <w:tcW w:w="1370"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43</w:t>
            </w:r>
          </w:p>
        </w:tc>
        <w:tc>
          <w:tcPr>
            <w:tcW w:w="60" w:type="dxa"/>
            <w:tcBorders/>
            <w:shd w:fill="CCEEFF" w:val="clear"/>
            <w:vAlign w:val="center"/>
          </w:tcPr>
          <w:p>
            <w:pPr>
              <w:pStyle w:val="TableContents"/>
              <w:bidi w:val="0"/>
              <w:spacing w:lineRule="auto" w:line="276" w:before="0" w:after="0"/>
              <w:jc w:val="left"/>
              <w:rPr/>
            </w:pPr>
            <w:r>
              <w:rPr/>
              <w:t> </w:t>
            </w:r>
          </w:p>
        </w:tc>
        <w:tc>
          <w:tcPr>
            <w:tcW w:w="60" w:type="dxa"/>
            <w:tcBorders/>
            <w:shd w:fill="CCEEFF" w:val="clear"/>
            <w:vAlign w:val="center"/>
          </w:tcPr>
          <w:p>
            <w:pPr>
              <w:pStyle w:val="TableContents"/>
              <w:bidi w:val="0"/>
              <w:spacing w:lineRule="auto" w:line="276" w:before="0" w:after="0"/>
              <w:jc w:val="left"/>
              <w:rPr/>
            </w:pPr>
            <w:r>
              <w:rPr/>
              <w:t> </w:t>
            </w:r>
          </w:p>
        </w:tc>
        <w:tc>
          <w:tcPr>
            <w:tcW w:w="1190"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4,939</w:t>
            </w:r>
          </w:p>
        </w:tc>
        <w:tc>
          <w:tcPr>
            <w:tcW w:w="60" w:type="dxa"/>
            <w:tcBorders/>
            <w:shd w:fill="CCEEFF" w:val="clear"/>
            <w:vAlign w:val="center"/>
          </w:tcPr>
          <w:p>
            <w:pPr>
              <w:pStyle w:val="TableContents"/>
              <w:bidi w:val="0"/>
              <w:spacing w:lineRule="auto" w:line="276" w:before="0" w:after="0"/>
              <w:jc w:val="left"/>
              <w:rPr/>
            </w:pPr>
            <w:r>
              <w:rPr/>
              <w:t> </w:t>
            </w:r>
          </w:p>
        </w:tc>
        <w:tc>
          <w:tcPr>
            <w:tcW w:w="60" w:type="dxa"/>
            <w:tcBorders/>
            <w:shd w:fill="CCEEFF" w:val="clear"/>
            <w:vAlign w:val="center"/>
          </w:tcPr>
          <w:p>
            <w:pPr>
              <w:pStyle w:val="TableContents"/>
              <w:bidi w:val="0"/>
              <w:spacing w:lineRule="auto" w:line="276" w:before="0" w:after="0"/>
              <w:jc w:val="left"/>
              <w:rPr/>
            </w:pPr>
            <w:r>
              <w:rPr/>
              <w:t> </w:t>
            </w:r>
          </w:p>
        </w:tc>
        <w:tc>
          <w:tcPr>
            <w:tcW w:w="1070"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13,159</w:t>
            </w:r>
          </w:p>
        </w:tc>
        <w:tc>
          <w:tcPr>
            <w:tcW w:w="60" w:type="dxa"/>
            <w:tcBorders/>
            <w:shd w:fill="CCEEFF" w:val="clear"/>
            <w:vAlign w:val="center"/>
          </w:tcPr>
          <w:p>
            <w:pPr>
              <w:pStyle w:val="TableContents"/>
              <w:bidi w:val="0"/>
              <w:spacing w:lineRule="auto" w:line="276" w:before="0" w:after="0"/>
              <w:jc w:val="right"/>
              <w:rPr/>
            </w:pPr>
            <w:r>
              <w:rPr/>
              <w:t> </w:t>
            </w:r>
          </w:p>
        </w:tc>
        <w:tc>
          <w:tcPr>
            <w:tcW w:w="60" w:type="dxa"/>
            <w:tcBorders/>
            <w:shd w:fill="CCEEFF" w:val="clear"/>
            <w:vAlign w:val="center"/>
          </w:tcPr>
          <w:p>
            <w:pPr>
              <w:pStyle w:val="TableContents"/>
              <w:bidi w:val="0"/>
              <w:spacing w:lineRule="auto" w:line="276" w:before="0" w:after="0"/>
              <w:jc w:val="right"/>
              <w:rPr/>
            </w:pPr>
            <w:r>
              <w:rPr/>
              <w:t> </w:t>
            </w:r>
          </w:p>
        </w:tc>
        <w:tc>
          <w:tcPr>
            <w:tcW w:w="620"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18,098</w:t>
            </w:r>
          </w:p>
        </w:tc>
      </w:tr>
      <w:tr>
        <w:trPr/>
        <w:tc>
          <w:tcPr>
            <w:tcW w:w="3380" w:type="dxa"/>
            <w:tcBorders/>
            <w:shd w:fill="FFFFFF" w:val="cle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Southeast</w:t>
            </w:r>
          </w:p>
        </w:tc>
        <w:tc>
          <w:tcPr>
            <w:tcW w:w="60" w:type="dxa"/>
            <w:tcBorders/>
            <w:shd w:fill="FFFFFF" w:val="clear"/>
            <w:vAlign w:val="center"/>
          </w:tcPr>
          <w:p>
            <w:pPr>
              <w:pStyle w:val="TableContents"/>
              <w:bidi w:val="0"/>
              <w:spacing w:lineRule="auto" w:line="276" w:before="0" w:after="0"/>
              <w:jc w:val="left"/>
              <w:rPr/>
            </w:pPr>
            <w:r>
              <w:rPr/>
              <w:t> </w:t>
            </w:r>
          </w:p>
        </w:tc>
        <w:tc>
          <w:tcPr>
            <w:tcW w:w="1370"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25</w:t>
            </w:r>
          </w:p>
        </w:tc>
        <w:tc>
          <w:tcPr>
            <w:tcW w:w="60" w:type="dxa"/>
            <w:tcBorders/>
            <w:shd w:fill="FFFFFF" w:val="clear"/>
            <w:vAlign w:val="center"/>
          </w:tcPr>
          <w:p>
            <w:pPr>
              <w:pStyle w:val="TableContents"/>
              <w:bidi w:val="0"/>
              <w:spacing w:lineRule="auto" w:line="276" w:before="0" w:after="0"/>
              <w:jc w:val="left"/>
              <w:rPr/>
            </w:pPr>
            <w:r>
              <w:rPr/>
              <w:t> </w:t>
            </w:r>
          </w:p>
        </w:tc>
        <w:tc>
          <w:tcPr>
            <w:tcW w:w="60" w:type="dxa"/>
            <w:tcBorders/>
            <w:shd w:fill="FFFFFF" w:val="clear"/>
            <w:vAlign w:val="center"/>
          </w:tcPr>
          <w:p>
            <w:pPr>
              <w:pStyle w:val="TableContents"/>
              <w:bidi w:val="0"/>
              <w:spacing w:lineRule="auto" w:line="276" w:before="0" w:after="0"/>
              <w:jc w:val="left"/>
              <w:rPr/>
            </w:pPr>
            <w:r>
              <w:rPr/>
              <w:t> </w:t>
            </w:r>
          </w:p>
        </w:tc>
        <w:tc>
          <w:tcPr>
            <w:tcW w:w="1190"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2,029</w:t>
            </w:r>
          </w:p>
        </w:tc>
        <w:tc>
          <w:tcPr>
            <w:tcW w:w="60" w:type="dxa"/>
            <w:tcBorders/>
            <w:shd w:fill="FFFFFF" w:val="clear"/>
            <w:vAlign w:val="center"/>
          </w:tcPr>
          <w:p>
            <w:pPr>
              <w:pStyle w:val="TableContents"/>
              <w:bidi w:val="0"/>
              <w:spacing w:lineRule="auto" w:line="276" w:before="0" w:after="0"/>
              <w:jc w:val="left"/>
              <w:rPr/>
            </w:pPr>
            <w:r>
              <w:rPr/>
              <w:t> </w:t>
            </w:r>
          </w:p>
        </w:tc>
        <w:tc>
          <w:tcPr>
            <w:tcW w:w="60" w:type="dxa"/>
            <w:tcBorders/>
            <w:shd w:fill="FFFFFF" w:val="clear"/>
            <w:vAlign w:val="center"/>
          </w:tcPr>
          <w:p>
            <w:pPr>
              <w:pStyle w:val="TableContents"/>
              <w:bidi w:val="0"/>
              <w:spacing w:lineRule="auto" w:line="276" w:before="0" w:after="0"/>
              <w:jc w:val="left"/>
              <w:rPr/>
            </w:pPr>
            <w:r>
              <w:rPr/>
              <w:t> </w:t>
            </w:r>
          </w:p>
        </w:tc>
        <w:tc>
          <w:tcPr>
            <w:tcW w:w="1070"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4,140</w:t>
            </w:r>
          </w:p>
        </w:tc>
        <w:tc>
          <w:tcPr>
            <w:tcW w:w="60" w:type="dxa"/>
            <w:tcBorders/>
            <w:shd w:fill="FFFFFF" w:val="clear"/>
            <w:vAlign w:val="center"/>
          </w:tcPr>
          <w:p>
            <w:pPr>
              <w:pStyle w:val="TableContents"/>
              <w:bidi w:val="0"/>
              <w:spacing w:lineRule="auto" w:line="276" w:before="0" w:after="0"/>
              <w:jc w:val="right"/>
              <w:rPr/>
            </w:pPr>
            <w:r>
              <w:rPr/>
              <w:t> </w:t>
            </w:r>
          </w:p>
        </w:tc>
        <w:tc>
          <w:tcPr>
            <w:tcW w:w="60" w:type="dxa"/>
            <w:tcBorders/>
            <w:shd w:fill="FFFFFF" w:val="clear"/>
            <w:vAlign w:val="center"/>
          </w:tcPr>
          <w:p>
            <w:pPr>
              <w:pStyle w:val="TableContents"/>
              <w:bidi w:val="0"/>
              <w:spacing w:lineRule="auto" w:line="276" w:before="0" w:after="0"/>
              <w:jc w:val="right"/>
              <w:rPr/>
            </w:pPr>
            <w:r>
              <w:rPr/>
              <w:t> </w:t>
            </w:r>
          </w:p>
        </w:tc>
        <w:tc>
          <w:tcPr>
            <w:tcW w:w="620"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6,169</w:t>
            </w:r>
          </w:p>
        </w:tc>
      </w:tr>
      <w:tr>
        <w:trPr/>
        <w:tc>
          <w:tcPr>
            <w:tcW w:w="3380" w:type="dxa"/>
            <w:tcBorders>
              <w:bottom w:val="single" w:sz="8" w:space="0" w:color="000000"/>
            </w:tcBorders>
            <w:shd w:fill="CCEEFF" w:val="clear"/>
            <w:tcMar>
              <w:bottom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West</w:t>
            </w:r>
          </w:p>
        </w:tc>
        <w:tc>
          <w:tcPr>
            <w:tcW w:w="60" w:type="dxa"/>
            <w:tcBorders>
              <w:bottom w:val="single" w:sz="8"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137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55</w:t>
            </w:r>
          </w:p>
        </w:tc>
        <w:tc>
          <w:tcPr>
            <w:tcW w:w="60" w:type="dxa"/>
            <w:tcBorders>
              <w:bottom w:val="single" w:sz="8"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5,549</w:t>
            </w:r>
          </w:p>
        </w:tc>
        <w:tc>
          <w:tcPr>
            <w:tcW w:w="60" w:type="dxa"/>
            <w:tcBorders>
              <w:bottom w:val="single" w:sz="8"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4,570</w:t>
            </w:r>
          </w:p>
        </w:tc>
        <w:tc>
          <w:tcPr>
            <w:tcW w:w="6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2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10,119</w:t>
            </w:r>
          </w:p>
        </w:tc>
      </w:tr>
      <w:tr>
        <w:trPr/>
        <w:tc>
          <w:tcPr>
            <w:tcW w:w="3380" w:type="dxa"/>
            <w:tcBorders>
              <w:top w:val="single" w:sz="8" w:space="0" w:color="000000"/>
            </w:tcBorders>
            <w:shd w:fill="FFFFFF" w:val="clear"/>
            <w:tcMar>
              <w:top w:w="28" w:type="dxa"/>
            </w:tcMar>
            <w:vAlign w:val="center"/>
          </w:tcPr>
          <w:p>
            <w:pPr>
              <w:pStyle w:val="TableContents"/>
              <w:bidi w:val="0"/>
              <w:spacing w:lineRule="auto" w:line="276" w:before="0" w:after="0"/>
              <w:jc w:val="left"/>
              <w:rPr/>
            </w:pPr>
            <w:r>
              <w:rPr/>
              <w:t> </w:t>
            </w:r>
          </w:p>
        </w:tc>
        <w:tc>
          <w:tcPr>
            <w:tcW w:w="60" w:type="dxa"/>
            <w:tcBorders>
              <w:top w:val="single" w:sz="8" w:space="0" w:color="000000"/>
            </w:tcBorders>
            <w:shd w:fill="FFFFFF" w:val="clear"/>
            <w:tcMar>
              <w:top w:w="28" w:type="dxa"/>
            </w:tcMar>
            <w:vAlign w:val="center"/>
          </w:tcPr>
          <w:p>
            <w:pPr>
              <w:pStyle w:val="TableContents"/>
              <w:bidi w:val="0"/>
              <w:spacing w:lineRule="auto" w:line="276" w:before="0" w:after="0"/>
              <w:jc w:val="left"/>
              <w:rPr/>
            </w:pPr>
            <w:r>
              <w:rPr/>
              <w:t> </w:t>
            </w:r>
          </w:p>
        </w:tc>
        <w:tc>
          <w:tcPr>
            <w:tcW w:w="137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FFFFFF" w:val="clear"/>
            <w:tcMar>
              <w:top w:w="28" w:type="dxa"/>
            </w:tcMar>
            <w:vAlign w:val="center"/>
          </w:tcPr>
          <w:p>
            <w:pPr>
              <w:pStyle w:val="TableContents"/>
              <w:bidi w:val="0"/>
              <w:spacing w:lineRule="auto" w:line="276" w:before="0" w:after="0"/>
              <w:jc w:val="left"/>
              <w:rPr/>
            </w:pPr>
            <w:r>
              <w:rPr/>
              <w:t> </w:t>
            </w:r>
          </w:p>
        </w:tc>
        <w:tc>
          <w:tcPr>
            <w:tcW w:w="60" w:type="dxa"/>
            <w:tcBorders>
              <w:top w:val="single" w:sz="8" w:space="0" w:color="000000"/>
            </w:tcBorders>
            <w:shd w:fill="FFFFFF" w:val="clear"/>
            <w:tcMar>
              <w:top w:w="28" w:type="dxa"/>
            </w:tcMar>
            <w:vAlign w:val="center"/>
          </w:tcPr>
          <w:p>
            <w:pPr>
              <w:pStyle w:val="TableContents"/>
              <w:bidi w:val="0"/>
              <w:spacing w:lineRule="auto" w:line="276" w:before="0" w:after="0"/>
              <w:jc w:val="left"/>
              <w:rPr/>
            </w:pPr>
            <w:r>
              <w:rPr/>
              <w:t> </w:t>
            </w:r>
          </w:p>
        </w:tc>
        <w:tc>
          <w:tcPr>
            <w:tcW w:w="119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FFFFFF" w:val="clear"/>
            <w:tcMar>
              <w:top w:w="28" w:type="dxa"/>
            </w:tcMar>
            <w:vAlign w:val="center"/>
          </w:tcPr>
          <w:p>
            <w:pPr>
              <w:pStyle w:val="TableContents"/>
              <w:bidi w:val="0"/>
              <w:spacing w:lineRule="auto" w:line="276" w:before="0" w:after="0"/>
              <w:jc w:val="left"/>
              <w:rPr/>
            </w:pPr>
            <w:r>
              <w:rPr/>
              <w:t> </w:t>
            </w:r>
          </w:p>
        </w:tc>
        <w:tc>
          <w:tcPr>
            <w:tcW w:w="60" w:type="dxa"/>
            <w:tcBorders>
              <w:top w:val="single" w:sz="8" w:space="0" w:color="000000"/>
            </w:tcBorders>
            <w:shd w:fill="FFFFFF" w:val="clear"/>
            <w:tcMar>
              <w:top w:w="28" w:type="dxa"/>
            </w:tcMar>
            <w:vAlign w:val="center"/>
          </w:tcPr>
          <w:p>
            <w:pPr>
              <w:pStyle w:val="TableContents"/>
              <w:bidi w:val="0"/>
              <w:spacing w:lineRule="auto" w:line="276" w:before="0" w:after="0"/>
              <w:jc w:val="left"/>
              <w:rPr/>
            </w:pPr>
            <w:r>
              <w:rPr/>
              <w:t> </w:t>
            </w:r>
          </w:p>
        </w:tc>
        <w:tc>
          <w:tcPr>
            <w:tcW w:w="107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c>
          <w:tcPr>
            <w:tcW w:w="62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r>
      <w:tr>
        <w:trPr/>
        <w:tc>
          <w:tcPr>
            <w:tcW w:w="338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Domestic subtotal</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137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123</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119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12,517</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107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21,869</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2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34,386</w:t>
            </w:r>
          </w:p>
        </w:tc>
      </w:tr>
      <w:tr>
        <w:trPr/>
        <w:tc>
          <w:tcPr>
            <w:tcW w:w="3380" w:type="dxa"/>
            <w:tcBorders>
              <w:top w:val="double" w:sz="6" w:space="0" w:color="000000"/>
            </w:tcBorders>
            <w:shd w:fill="FFFFFF" w:val="clear"/>
            <w:tcMar>
              <w:top w:w="28" w:type="dxa"/>
            </w:tcMar>
            <w:vAlign w:val="center"/>
          </w:tcPr>
          <w:p>
            <w:pPr>
              <w:pStyle w:val="TableContents"/>
              <w:bidi w:val="0"/>
              <w:spacing w:lineRule="auto" w:line="276" w:before="0" w:after="0"/>
              <w:jc w:val="lef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left"/>
              <w:rPr/>
            </w:pPr>
            <w:r>
              <w:rPr/>
              <w:t> </w:t>
            </w:r>
          </w:p>
        </w:tc>
        <w:tc>
          <w:tcPr>
            <w:tcW w:w="137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lef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left"/>
              <w:rPr/>
            </w:pPr>
            <w:r>
              <w:rPr/>
              <w:t> </w:t>
            </w:r>
          </w:p>
        </w:tc>
        <w:tc>
          <w:tcPr>
            <w:tcW w:w="119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lef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left"/>
              <w:rPr/>
            </w:pPr>
            <w:r>
              <w:rPr/>
              <w:t> </w:t>
            </w:r>
          </w:p>
        </w:tc>
        <w:tc>
          <w:tcPr>
            <w:tcW w:w="107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62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r>
      <w:tr>
        <w:trPr/>
        <w:tc>
          <w:tcPr>
            <w:tcW w:w="3380" w:type="dxa"/>
            <w:tcBorders/>
            <w:shd w:fill="CCEEFF" w:val="cle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KSA</w:t>
            </w:r>
          </w:p>
        </w:tc>
        <w:tc>
          <w:tcPr>
            <w:tcW w:w="60" w:type="dxa"/>
            <w:tcBorders/>
            <w:shd w:fill="CCEEFF" w:val="clear"/>
            <w:vAlign w:val="center"/>
          </w:tcPr>
          <w:p>
            <w:pPr>
              <w:pStyle w:val="TableContents"/>
              <w:bidi w:val="0"/>
              <w:spacing w:lineRule="auto" w:line="276" w:before="0" w:after="0"/>
              <w:jc w:val="left"/>
              <w:rPr/>
            </w:pPr>
            <w:r>
              <w:rPr/>
              <w:t> </w:t>
            </w:r>
          </w:p>
        </w:tc>
        <w:tc>
          <w:tcPr>
            <w:tcW w:w="1370"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3</w:t>
            </w:r>
          </w:p>
        </w:tc>
        <w:tc>
          <w:tcPr>
            <w:tcW w:w="60" w:type="dxa"/>
            <w:tcBorders/>
            <w:shd w:fill="CCEEFF" w:val="clear"/>
            <w:vAlign w:val="center"/>
          </w:tcPr>
          <w:p>
            <w:pPr>
              <w:pStyle w:val="TableContents"/>
              <w:bidi w:val="0"/>
              <w:spacing w:lineRule="auto" w:line="276" w:before="0" w:after="0"/>
              <w:jc w:val="left"/>
              <w:rPr/>
            </w:pPr>
            <w:r>
              <w:rPr/>
              <w:t> </w:t>
            </w:r>
          </w:p>
        </w:tc>
        <w:tc>
          <w:tcPr>
            <w:tcW w:w="60" w:type="dxa"/>
            <w:tcBorders/>
            <w:shd w:fill="CCEEFF" w:val="clear"/>
            <w:vAlign w:val="center"/>
          </w:tcPr>
          <w:p>
            <w:pPr>
              <w:pStyle w:val="TableContents"/>
              <w:bidi w:val="0"/>
              <w:spacing w:lineRule="auto" w:line="276" w:before="0" w:after="0"/>
              <w:jc w:val="left"/>
              <w:rPr/>
            </w:pPr>
            <w:r>
              <w:rPr/>
              <w:t> </w:t>
            </w:r>
          </w:p>
        </w:tc>
        <w:tc>
          <w:tcPr>
            <w:tcW w:w="1190"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1,241</w:t>
            </w:r>
          </w:p>
        </w:tc>
        <w:tc>
          <w:tcPr>
            <w:tcW w:w="60" w:type="dxa"/>
            <w:tcBorders/>
            <w:shd w:fill="CCEEFF" w:val="clear"/>
            <w:vAlign w:val="center"/>
          </w:tcPr>
          <w:p>
            <w:pPr>
              <w:pStyle w:val="TableContents"/>
              <w:bidi w:val="0"/>
              <w:spacing w:lineRule="auto" w:line="276" w:before="0" w:after="0"/>
              <w:jc w:val="left"/>
              <w:rPr/>
            </w:pPr>
            <w:r>
              <w:rPr/>
              <w:t> </w:t>
            </w:r>
          </w:p>
        </w:tc>
        <w:tc>
          <w:tcPr>
            <w:tcW w:w="60" w:type="dxa"/>
            <w:tcBorders/>
            <w:shd w:fill="CCEEFF" w:val="clear"/>
            <w:vAlign w:val="center"/>
          </w:tcPr>
          <w:p>
            <w:pPr>
              <w:pStyle w:val="TableContents"/>
              <w:bidi w:val="0"/>
              <w:spacing w:lineRule="auto" w:line="276" w:before="0" w:after="0"/>
              <w:jc w:val="left"/>
              <w:rPr/>
            </w:pPr>
            <w:r>
              <w:rPr/>
              <w:t> </w:t>
            </w:r>
          </w:p>
        </w:tc>
        <w:tc>
          <w:tcPr>
            <w:tcW w:w="1070"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1,827</w:t>
            </w:r>
          </w:p>
        </w:tc>
        <w:tc>
          <w:tcPr>
            <w:tcW w:w="60" w:type="dxa"/>
            <w:tcBorders/>
            <w:shd w:fill="CCEEFF" w:val="clear"/>
            <w:vAlign w:val="center"/>
          </w:tcPr>
          <w:p>
            <w:pPr>
              <w:pStyle w:val="TableContents"/>
              <w:bidi w:val="0"/>
              <w:spacing w:lineRule="auto" w:line="276" w:before="0" w:after="0"/>
              <w:jc w:val="right"/>
              <w:rPr/>
            </w:pPr>
            <w:r>
              <w:rPr/>
              <w:t> </w:t>
            </w:r>
          </w:p>
        </w:tc>
        <w:tc>
          <w:tcPr>
            <w:tcW w:w="60" w:type="dxa"/>
            <w:tcBorders/>
            <w:shd w:fill="CCEEFF" w:val="clear"/>
            <w:vAlign w:val="center"/>
          </w:tcPr>
          <w:p>
            <w:pPr>
              <w:pStyle w:val="TableContents"/>
              <w:bidi w:val="0"/>
              <w:spacing w:lineRule="auto" w:line="276" w:before="0" w:after="0"/>
              <w:jc w:val="right"/>
              <w:rPr/>
            </w:pPr>
            <w:r>
              <w:rPr/>
              <w:t> </w:t>
            </w:r>
          </w:p>
        </w:tc>
        <w:tc>
          <w:tcPr>
            <w:tcW w:w="620"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3,068</w:t>
            </w:r>
          </w:p>
        </w:tc>
      </w:tr>
      <w:tr>
        <w:trPr/>
        <w:tc>
          <w:tcPr>
            <w:tcW w:w="3380" w:type="dxa"/>
            <w:tcBorders/>
            <w:shd w:fill="FFFFFF" w:val="clear"/>
            <w:vAlign w:val="center"/>
          </w:tcPr>
          <w:p>
            <w:pPr>
              <w:pStyle w:val="TableContents"/>
              <w:bidi w:val="0"/>
              <w:spacing w:lineRule="auto" w:line="276" w:before="0" w:after="0"/>
              <w:jc w:val="left"/>
              <w:rPr/>
            </w:pPr>
            <w:r>
              <w:rPr/>
              <w:t> </w:t>
            </w:r>
          </w:p>
        </w:tc>
        <w:tc>
          <w:tcPr>
            <w:tcW w:w="60" w:type="dxa"/>
            <w:tcBorders/>
            <w:shd w:fill="FFFFFF" w:val="clear"/>
            <w:vAlign w:val="center"/>
          </w:tcPr>
          <w:p>
            <w:pPr>
              <w:pStyle w:val="TableContents"/>
              <w:bidi w:val="0"/>
              <w:spacing w:lineRule="auto" w:line="276" w:before="0" w:after="0"/>
              <w:jc w:val="left"/>
              <w:rPr/>
            </w:pPr>
            <w:r>
              <w:rPr/>
              <w:t> </w:t>
            </w:r>
          </w:p>
        </w:tc>
        <w:tc>
          <w:tcPr>
            <w:tcW w:w="1370" w:type="dxa"/>
            <w:tcBorders/>
            <w:shd w:fill="FFFFFF" w:val="clear"/>
            <w:vAlign w:val="center"/>
          </w:tcPr>
          <w:p>
            <w:pPr>
              <w:pStyle w:val="TableContents"/>
              <w:bidi w:val="0"/>
              <w:spacing w:lineRule="auto" w:line="276" w:before="0" w:after="0"/>
              <w:jc w:val="right"/>
              <w:rPr/>
            </w:pPr>
            <w:r>
              <w:rPr/>
              <w:t> </w:t>
            </w:r>
          </w:p>
        </w:tc>
        <w:tc>
          <w:tcPr>
            <w:tcW w:w="60" w:type="dxa"/>
            <w:tcBorders/>
            <w:shd w:fill="FFFFFF" w:val="clear"/>
            <w:vAlign w:val="center"/>
          </w:tcPr>
          <w:p>
            <w:pPr>
              <w:pStyle w:val="TableContents"/>
              <w:bidi w:val="0"/>
              <w:spacing w:lineRule="auto" w:line="276" w:before="0" w:after="0"/>
              <w:jc w:val="left"/>
              <w:rPr/>
            </w:pPr>
            <w:r>
              <w:rPr/>
              <w:t> </w:t>
            </w:r>
          </w:p>
        </w:tc>
        <w:tc>
          <w:tcPr>
            <w:tcW w:w="60" w:type="dxa"/>
            <w:tcBorders/>
            <w:shd w:fill="FFFFFF" w:val="clear"/>
            <w:vAlign w:val="center"/>
          </w:tcPr>
          <w:p>
            <w:pPr>
              <w:pStyle w:val="TableContents"/>
              <w:bidi w:val="0"/>
              <w:spacing w:lineRule="auto" w:line="276" w:before="0" w:after="0"/>
              <w:jc w:val="left"/>
              <w:rPr/>
            </w:pPr>
            <w:r>
              <w:rPr/>
              <w:t> </w:t>
            </w:r>
          </w:p>
        </w:tc>
        <w:tc>
          <w:tcPr>
            <w:tcW w:w="1190" w:type="dxa"/>
            <w:tcBorders/>
            <w:shd w:fill="FFFFFF" w:val="clear"/>
            <w:vAlign w:val="center"/>
          </w:tcPr>
          <w:p>
            <w:pPr>
              <w:pStyle w:val="TableContents"/>
              <w:bidi w:val="0"/>
              <w:spacing w:lineRule="auto" w:line="276" w:before="0" w:after="0"/>
              <w:jc w:val="right"/>
              <w:rPr/>
            </w:pPr>
            <w:r>
              <w:rPr/>
              <w:t> </w:t>
            </w:r>
          </w:p>
        </w:tc>
        <w:tc>
          <w:tcPr>
            <w:tcW w:w="60" w:type="dxa"/>
            <w:tcBorders/>
            <w:shd w:fill="FFFFFF" w:val="clear"/>
            <w:vAlign w:val="center"/>
          </w:tcPr>
          <w:p>
            <w:pPr>
              <w:pStyle w:val="TableContents"/>
              <w:bidi w:val="0"/>
              <w:spacing w:lineRule="auto" w:line="276" w:before="0" w:after="0"/>
              <w:jc w:val="left"/>
              <w:rPr/>
            </w:pPr>
            <w:r>
              <w:rPr/>
              <w:t> </w:t>
            </w:r>
          </w:p>
        </w:tc>
        <w:tc>
          <w:tcPr>
            <w:tcW w:w="60" w:type="dxa"/>
            <w:tcBorders/>
            <w:shd w:fill="FFFFFF" w:val="clear"/>
            <w:vAlign w:val="center"/>
          </w:tcPr>
          <w:p>
            <w:pPr>
              <w:pStyle w:val="TableContents"/>
              <w:bidi w:val="0"/>
              <w:spacing w:lineRule="auto" w:line="276" w:before="0" w:after="0"/>
              <w:jc w:val="left"/>
              <w:rPr/>
            </w:pPr>
            <w:r>
              <w:rPr/>
              <w:t> </w:t>
            </w:r>
          </w:p>
        </w:tc>
        <w:tc>
          <w:tcPr>
            <w:tcW w:w="1070" w:type="dxa"/>
            <w:tcBorders/>
            <w:shd w:fill="FFFFFF" w:val="clear"/>
            <w:vAlign w:val="center"/>
          </w:tcPr>
          <w:p>
            <w:pPr>
              <w:pStyle w:val="TableContents"/>
              <w:bidi w:val="0"/>
              <w:spacing w:lineRule="auto" w:line="276" w:before="0" w:after="0"/>
              <w:jc w:val="right"/>
              <w:rPr/>
            </w:pPr>
            <w:r>
              <w:rPr/>
              <w:t> </w:t>
            </w:r>
          </w:p>
        </w:tc>
        <w:tc>
          <w:tcPr>
            <w:tcW w:w="60" w:type="dxa"/>
            <w:tcBorders/>
            <w:shd w:fill="FFFFFF" w:val="clear"/>
            <w:vAlign w:val="center"/>
          </w:tcPr>
          <w:p>
            <w:pPr>
              <w:pStyle w:val="TableContents"/>
              <w:bidi w:val="0"/>
              <w:spacing w:lineRule="auto" w:line="276" w:before="0" w:after="0"/>
              <w:jc w:val="right"/>
              <w:rPr/>
            </w:pPr>
            <w:r>
              <w:rPr/>
              <w:t> </w:t>
            </w:r>
          </w:p>
        </w:tc>
        <w:tc>
          <w:tcPr>
            <w:tcW w:w="60" w:type="dxa"/>
            <w:tcBorders/>
            <w:shd w:fill="FFFFFF" w:val="clear"/>
            <w:vAlign w:val="center"/>
          </w:tcPr>
          <w:p>
            <w:pPr>
              <w:pStyle w:val="TableContents"/>
              <w:bidi w:val="0"/>
              <w:spacing w:lineRule="auto" w:line="276" w:before="0" w:after="0"/>
              <w:jc w:val="right"/>
              <w:rPr/>
            </w:pPr>
            <w:r>
              <w:rPr/>
              <w:t> </w:t>
            </w:r>
          </w:p>
        </w:tc>
        <w:tc>
          <w:tcPr>
            <w:tcW w:w="620" w:type="dxa"/>
            <w:tcBorders/>
            <w:shd w:fill="FFFFFF" w:val="clear"/>
            <w:vAlign w:val="center"/>
          </w:tcPr>
          <w:p>
            <w:pPr>
              <w:pStyle w:val="TableContents"/>
              <w:bidi w:val="0"/>
              <w:spacing w:lineRule="auto" w:line="276" w:before="0" w:after="0"/>
              <w:jc w:val="right"/>
              <w:rPr/>
            </w:pPr>
            <w:r>
              <w:rPr/>
              <w:t> </w:t>
            </w:r>
          </w:p>
        </w:tc>
      </w:tr>
      <w:tr>
        <w:trPr/>
        <w:tc>
          <w:tcPr>
            <w:tcW w:w="338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Consolidated total</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137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126</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119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13,758</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107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23,696</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2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37,454</w:t>
            </w:r>
          </w:p>
        </w:tc>
      </w:tr>
      <w:tr>
        <w:trPr/>
        <w:tc>
          <w:tcPr>
            <w:tcW w:w="3380" w:type="dxa"/>
            <w:tcBorders>
              <w:top w:val="double" w:sz="6" w:space="0" w:color="000000"/>
            </w:tcBorders>
            <w:shd w:fill="FFFFFF" w:val="clear"/>
            <w:tcMar>
              <w:top w:w="28" w:type="dxa"/>
            </w:tcMar>
            <w:vAlign w:val="center"/>
          </w:tcPr>
          <w:p>
            <w:pPr>
              <w:pStyle w:val="TableContents"/>
              <w:bidi w:val="0"/>
              <w:spacing w:lineRule="auto" w:line="276" w:before="0" w:after="0"/>
              <w:jc w:val="lef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left"/>
              <w:rPr/>
            </w:pPr>
            <w:r>
              <w:rPr/>
              <w:t> </w:t>
            </w:r>
          </w:p>
        </w:tc>
        <w:tc>
          <w:tcPr>
            <w:tcW w:w="137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lef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left"/>
              <w:rPr/>
            </w:pPr>
            <w:r>
              <w:rPr/>
              <w:t> </w:t>
            </w:r>
          </w:p>
        </w:tc>
        <w:tc>
          <w:tcPr>
            <w:tcW w:w="119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lef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left"/>
              <w:rPr/>
            </w:pPr>
            <w:r>
              <w:rPr/>
              <w:t> </w:t>
            </w:r>
          </w:p>
        </w:tc>
        <w:tc>
          <w:tcPr>
            <w:tcW w:w="107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62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r>
      <w:tr>
        <w:trPr/>
        <w:tc>
          <w:tcPr>
            <w:tcW w:w="338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Unconsolidated joint ventures (2)</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137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24</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119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2,297</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107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467</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2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2,764</w:t>
            </w:r>
          </w:p>
        </w:tc>
      </w:tr>
      <w:tr>
        <w:trPr/>
        <w:tc>
          <w:tcPr>
            <w:tcW w:w="3380" w:type="dxa"/>
            <w:tcBorders>
              <w:top w:val="double" w:sz="6" w:space="0" w:color="000000"/>
            </w:tcBorders>
            <w:shd w:fill="FFFFFF" w:val="clear"/>
            <w:tcMar>
              <w:top w:w="28" w:type="dxa"/>
            </w:tcMar>
            <w:vAlign w:val="center"/>
          </w:tcPr>
          <w:p>
            <w:pPr>
              <w:pStyle w:val="TableContents"/>
              <w:bidi w:val="0"/>
              <w:spacing w:lineRule="auto" w:line="276" w:before="0" w:after="0"/>
              <w:jc w:val="lef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left"/>
              <w:rPr/>
            </w:pPr>
            <w:r>
              <w:rPr/>
              <w:t> </w:t>
            </w:r>
          </w:p>
        </w:tc>
        <w:tc>
          <w:tcPr>
            <w:tcW w:w="1370" w:type="dxa"/>
            <w:tcBorders>
              <w:top w:val="double" w:sz="6" w:space="0" w:color="000000"/>
            </w:tcBorders>
            <w:shd w:fill="FFFFFF" w:val="clear"/>
            <w:tcMar>
              <w:top w:w="28" w:type="dxa"/>
            </w:tcMar>
            <w:vAlign w:val="center"/>
          </w:tcPr>
          <w:p>
            <w:pPr>
              <w:pStyle w:val="TableContents"/>
              <w:bidi w:val="0"/>
              <w:spacing w:lineRule="auto" w:line="276" w:before="0" w:after="0"/>
              <w:jc w:val="lef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lef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left"/>
              <w:rPr/>
            </w:pPr>
            <w:r>
              <w:rPr/>
              <w:t> </w:t>
            </w:r>
          </w:p>
        </w:tc>
        <w:tc>
          <w:tcPr>
            <w:tcW w:w="119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lef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left"/>
              <w:rPr/>
            </w:pPr>
            <w:r>
              <w:rPr/>
              <w:t> </w:t>
            </w:r>
          </w:p>
        </w:tc>
        <w:tc>
          <w:tcPr>
            <w:tcW w:w="107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62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r>
      <w:tr>
        <w:trPr/>
        <w:tc>
          <w:tcPr>
            <w:tcW w:w="3380" w:type="dxa"/>
            <w:tcBorders/>
            <w:shd w:fill="CCEEFF" w:val="cle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Domestic Owned</w:t>
            </w:r>
          </w:p>
        </w:tc>
        <w:tc>
          <w:tcPr>
            <w:tcW w:w="60" w:type="dxa"/>
            <w:tcBorders/>
            <w:shd w:fill="CCEEFF" w:val="clear"/>
            <w:vAlign w:val="center"/>
          </w:tcPr>
          <w:p>
            <w:pPr>
              <w:pStyle w:val="TableContents"/>
              <w:bidi w:val="0"/>
              <w:spacing w:lineRule="auto" w:line="276" w:before="0" w:after="0"/>
              <w:jc w:val="left"/>
              <w:rPr/>
            </w:pPr>
            <w:r>
              <w:rPr/>
              <w:t> </w:t>
            </w:r>
          </w:p>
        </w:tc>
        <w:tc>
          <w:tcPr>
            <w:tcW w:w="1370" w:type="dxa"/>
            <w:tcBorders/>
            <w:shd w:fill="CCEEFF" w:val="clear"/>
            <w:vAlign w:val="center"/>
          </w:tcPr>
          <w:p>
            <w:pPr>
              <w:pStyle w:val="TableContents"/>
              <w:bidi w:val="0"/>
              <w:spacing w:lineRule="auto" w:line="276" w:before="0" w:after="0"/>
              <w:jc w:val="left"/>
              <w:rPr/>
            </w:pPr>
            <w:r>
              <w:rPr/>
              <w:t> </w:t>
            </w:r>
          </w:p>
        </w:tc>
        <w:tc>
          <w:tcPr>
            <w:tcW w:w="60" w:type="dxa"/>
            <w:tcBorders/>
            <w:shd w:fill="CCEEFF" w:val="clear"/>
            <w:vAlign w:val="center"/>
          </w:tcPr>
          <w:p>
            <w:pPr>
              <w:pStyle w:val="TableContents"/>
              <w:bidi w:val="0"/>
              <w:spacing w:lineRule="auto" w:line="276" w:before="0" w:after="0"/>
              <w:jc w:val="left"/>
              <w:rPr/>
            </w:pPr>
            <w:r>
              <w:rPr/>
              <w:t> </w:t>
            </w:r>
          </w:p>
        </w:tc>
        <w:tc>
          <w:tcPr>
            <w:tcW w:w="60" w:type="dxa"/>
            <w:tcBorders/>
            <w:shd w:fill="CCEEFF" w:val="clear"/>
            <w:vAlign w:val="center"/>
          </w:tcPr>
          <w:p>
            <w:pPr>
              <w:pStyle w:val="TableContents"/>
              <w:bidi w:val="0"/>
              <w:spacing w:lineRule="auto" w:line="276" w:before="0" w:after="0"/>
              <w:jc w:val="left"/>
              <w:rPr/>
            </w:pPr>
            <w:r>
              <w:rPr/>
              <w:t> </w:t>
            </w:r>
          </w:p>
        </w:tc>
        <w:tc>
          <w:tcPr>
            <w:tcW w:w="1190"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3,304</w:t>
            </w:r>
          </w:p>
        </w:tc>
        <w:tc>
          <w:tcPr>
            <w:tcW w:w="60" w:type="dxa"/>
            <w:tcBorders/>
            <w:shd w:fill="CCEEFF" w:val="clear"/>
            <w:vAlign w:val="center"/>
          </w:tcPr>
          <w:p>
            <w:pPr>
              <w:pStyle w:val="TableContents"/>
              <w:bidi w:val="0"/>
              <w:spacing w:lineRule="auto" w:line="276" w:before="0" w:after="0"/>
              <w:jc w:val="left"/>
              <w:rPr/>
            </w:pPr>
            <w:r>
              <w:rPr/>
              <w:t> </w:t>
            </w:r>
          </w:p>
        </w:tc>
        <w:tc>
          <w:tcPr>
            <w:tcW w:w="60" w:type="dxa"/>
            <w:tcBorders/>
            <w:shd w:fill="CCEEFF" w:val="clear"/>
            <w:vAlign w:val="center"/>
          </w:tcPr>
          <w:p>
            <w:pPr>
              <w:pStyle w:val="TableContents"/>
              <w:bidi w:val="0"/>
              <w:spacing w:lineRule="auto" w:line="276" w:before="0" w:after="0"/>
              <w:jc w:val="left"/>
              <w:rPr/>
            </w:pPr>
            <w:r>
              <w:rPr/>
              <w:t> </w:t>
            </w:r>
          </w:p>
        </w:tc>
        <w:tc>
          <w:tcPr>
            <w:tcW w:w="1070"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1,304</w:t>
            </w:r>
          </w:p>
        </w:tc>
        <w:tc>
          <w:tcPr>
            <w:tcW w:w="60" w:type="dxa"/>
            <w:tcBorders/>
            <w:shd w:fill="CCEEFF" w:val="clear"/>
            <w:vAlign w:val="center"/>
          </w:tcPr>
          <w:p>
            <w:pPr>
              <w:pStyle w:val="TableContents"/>
              <w:bidi w:val="0"/>
              <w:spacing w:lineRule="auto" w:line="276" w:before="0" w:after="0"/>
              <w:jc w:val="right"/>
              <w:rPr/>
            </w:pPr>
            <w:r>
              <w:rPr/>
              <w:t> </w:t>
            </w:r>
          </w:p>
        </w:tc>
        <w:tc>
          <w:tcPr>
            <w:tcW w:w="60" w:type="dxa"/>
            <w:tcBorders/>
            <w:shd w:fill="CCEEFF" w:val="clear"/>
            <w:vAlign w:val="center"/>
          </w:tcPr>
          <w:p>
            <w:pPr>
              <w:pStyle w:val="TableContents"/>
              <w:bidi w:val="0"/>
              <w:spacing w:lineRule="auto" w:line="276" w:before="0" w:after="0"/>
              <w:jc w:val="right"/>
              <w:rPr/>
            </w:pPr>
            <w:r>
              <w:rPr/>
              <w:t> </w:t>
            </w:r>
          </w:p>
        </w:tc>
        <w:tc>
          <w:tcPr>
            <w:tcW w:w="620"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4,608</w:t>
            </w:r>
          </w:p>
        </w:tc>
      </w:tr>
      <w:tr>
        <w:trPr/>
        <w:tc>
          <w:tcPr>
            <w:tcW w:w="3380" w:type="dxa"/>
            <w:tcBorders/>
            <w:shd w:fill="FFFFFF" w:val="cle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Domestic Optioned</w:t>
            </w:r>
          </w:p>
        </w:tc>
        <w:tc>
          <w:tcPr>
            <w:tcW w:w="60" w:type="dxa"/>
            <w:tcBorders/>
            <w:shd w:fill="FFFFFF" w:val="clear"/>
            <w:vAlign w:val="center"/>
          </w:tcPr>
          <w:p>
            <w:pPr>
              <w:pStyle w:val="TableContents"/>
              <w:bidi w:val="0"/>
              <w:spacing w:lineRule="auto" w:line="276" w:before="0" w:after="0"/>
              <w:jc w:val="left"/>
              <w:rPr/>
            </w:pPr>
            <w:r>
              <w:rPr/>
              <w:t> </w:t>
            </w:r>
          </w:p>
        </w:tc>
        <w:tc>
          <w:tcPr>
            <w:tcW w:w="1370" w:type="dxa"/>
            <w:tcBorders/>
            <w:shd w:fill="FFFFFF" w:val="clear"/>
            <w:vAlign w:val="center"/>
          </w:tcPr>
          <w:p>
            <w:pPr>
              <w:pStyle w:val="TableContents"/>
              <w:bidi w:val="0"/>
              <w:spacing w:lineRule="auto" w:line="276" w:before="0" w:after="0"/>
              <w:jc w:val="left"/>
              <w:rPr/>
            </w:pPr>
            <w:r>
              <w:rPr/>
              <w:t> </w:t>
            </w:r>
          </w:p>
        </w:tc>
        <w:tc>
          <w:tcPr>
            <w:tcW w:w="60" w:type="dxa"/>
            <w:tcBorders/>
            <w:shd w:fill="FFFFFF" w:val="clear"/>
            <w:vAlign w:val="center"/>
          </w:tcPr>
          <w:p>
            <w:pPr>
              <w:pStyle w:val="TableContents"/>
              <w:bidi w:val="0"/>
              <w:spacing w:lineRule="auto" w:line="276" w:before="0" w:after="0"/>
              <w:jc w:val="left"/>
              <w:rPr/>
            </w:pPr>
            <w:r>
              <w:rPr/>
              <w:t> </w:t>
            </w:r>
          </w:p>
        </w:tc>
        <w:tc>
          <w:tcPr>
            <w:tcW w:w="60" w:type="dxa"/>
            <w:tcBorders/>
            <w:shd w:fill="FFFFFF" w:val="clear"/>
            <w:vAlign w:val="center"/>
          </w:tcPr>
          <w:p>
            <w:pPr>
              <w:pStyle w:val="TableContents"/>
              <w:bidi w:val="0"/>
              <w:spacing w:lineRule="auto" w:line="276" w:before="0" w:after="0"/>
              <w:jc w:val="left"/>
              <w:rPr/>
            </w:pPr>
            <w:r>
              <w:rPr/>
              <w:t> </w:t>
            </w:r>
          </w:p>
        </w:tc>
        <w:tc>
          <w:tcPr>
            <w:tcW w:w="1190"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9,200</w:t>
            </w:r>
          </w:p>
        </w:tc>
        <w:tc>
          <w:tcPr>
            <w:tcW w:w="60" w:type="dxa"/>
            <w:tcBorders/>
            <w:shd w:fill="FFFFFF" w:val="clear"/>
            <w:vAlign w:val="center"/>
          </w:tcPr>
          <w:p>
            <w:pPr>
              <w:pStyle w:val="TableContents"/>
              <w:bidi w:val="0"/>
              <w:spacing w:lineRule="auto" w:line="276" w:before="0" w:after="0"/>
              <w:jc w:val="left"/>
              <w:rPr/>
            </w:pPr>
            <w:r>
              <w:rPr/>
              <w:t> </w:t>
            </w:r>
          </w:p>
        </w:tc>
        <w:tc>
          <w:tcPr>
            <w:tcW w:w="60" w:type="dxa"/>
            <w:tcBorders/>
            <w:shd w:fill="FFFFFF" w:val="clear"/>
            <w:vAlign w:val="center"/>
          </w:tcPr>
          <w:p>
            <w:pPr>
              <w:pStyle w:val="TableContents"/>
              <w:bidi w:val="0"/>
              <w:spacing w:lineRule="auto" w:line="276" w:before="0" w:after="0"/>
              <w:jc w:val="left"/>
              <w:rPr/>
            </w:pPr>
            <w:r>
              <w:rPr/>
              <w:t> </w:t>
            </w:r>
          </w:p>
        </w:tc>
        <w:tc>
          <w:tcPr>
            <w:tcW w:w="1070"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20,565</w:t>
            </w:r>
          </w:p>
        </w:tc>
        <w:tc>
          <w:tcPr>
            <w:tcW w:w="60" w:type="dxa"/>
            <w:tcBorders/>
            <w:shd w:fill="FFFFFF" w:val="clear"/>
            <w:vAlign w:val="center"/>
          </w:tcPr>
          <w:p>
            <w:pPr>
              <w:pStyle w:val="TableContents"/>
              <w:bidi w:val="0"/>
              <w:spacing w:lineRule="auto" w:line="276" w:before="0" w:after="0"/>
              <w:jc w:val="right"/>
              <w:rPr/>
            </w:pPr>
            <w:r>
              <w:rPr/>
              <w:t> </w:t>
            </w:r>
          </w:p>
        </w:tc>
        <w:tc>
          <w:tcPr>
            <w:tcW w:w="60" w:type="dxa"/>
            <w:tcBorders/>
            <w:shd w:fill="FFFFFF" w:val="clear"/>
            <w:vAlign w:val="center"/>
          </w:tcPr>
          <w:p>
            <w:pPr>
              <w:pStyle w:val="TableContents"/>
              <w:bidi w:val="0"/>
              <w:spacing w:lineRule="auto" w:line="276" w:before="0" w:after="0"/>
              <w:jc w:val="right"/>
              <w:rPr/>
            </w:pPr>
            <w:r>
              <w:rPr/>
              <w:t> </w:t>
            </w:r>
          </w:p>
        </w:tc>
        <w:tc>
          <w:tcPr>
            <w:tcW w:w="620"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29,765</w:t>
            </w:r>
          </w:p>
        </w:tc>
      </w:tr>
      <w:tr>
        <w:trPr/>
        <w:tc>
          <w:tcPr>
            <w:tcW w:w="3380" w:type="dxa"/>
            <w:tcBorders/>
            <w:shd w:fill="CCEEFF" w:val="cle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KSA Owned</w:t>
            </w:r>
          </w:p>
        </w:tc>
        <w:tc>
          <w:tcPr>
            <w:tcW w:w="60" w:type="dxa"/>
            <w:tcBorders/>
            <w:shd w:fill="CCEEFF" w:val="clear"/>
            <w:vAlign w:val="center"/>
          </w:tcPr>
          <w:p>
            <w:pPr>
              <w:pStyle w:val="TableContents"/>
              <w:bidi w:val="0"/>
              <w:spacing w:lineRule="auto" w:line="276" w:before="0" w:after="0"/>
              <w:jc w:val="left"/>
              <w:rPr/>
            </w:pPr>
            <w:r>
              <w:rPr/>
              <w:t> </w:t>
            </w:r>
          </w:p>
        </w:tc>
        <w:tc>
          <w:tcPr>
            <w:tcW w:w="1370" w:type="dxa"/>
            <w:tcBorders/>
            <w:shd w:fill="CCEEFF" w:val="clear"/>
            <w:vAlign w:val="center"/>
          </w:tcPr>
          <w:p>
            <w:pPr>
              <w:pStyle w:val="TableContents"/>
              <w:bidi w:val="0"/>
              <w:spacing w:lineRule="auto" w:line="276" w:before="0" w:after="0"/>
              <w:jc w:val="left"/>
              <w:rPr/>
            </w:pPr>
            <w:r>
              <w:rPr/>
              <w:t> </w:t>
            </w:r>
          </w:p>
        </w:tc>
        <w:tc>
          <w:tcPr>
            <w:tcW w:w="60" w:type="dxa"/>
            <w:tcBorders/>
            <w:shd w:fill="CCEEFF" w:val="clear"/>
            <w:vAlign w:val="center"/>
          </w:tcPr>
          <w:p>
            <w:pPr>
              <w:pStyle w:val="TableContents"/>
              <w:bidi w:val="0"/>
              <w:spacing w:lineRule="auto" w:line="276" w:before="0" w:after="0"/>
              <w:jc w:val="left"/>
              <w:rPr/>
            </w:pPr>
            <w:r>
              <w:rPr/>
              <w:t> </w:t>
            </w:r>
          </w:p>
        </w:tc>
        <w:tc>
          <w:tcPr>
            <w:tcW w:w="60" w:type="dxa"/>
            <w:tcBorders/>
            <w:shd w:fill="CCEEFF" w:val="clear"/>
            <w:vAlign w:val="center"/>
          </w:tcPr>
          <w:p>
            <w:pPr>
              <w:pStyle w:val="TableContents"/>
              <w:bidi w:val="0"/>
              <w:spacing w:lineRule="auto" w:line="276" w:before="0" w:after="0"/>
              <w:jc w:val="left"/>
              <w:rPr/>
            </w:pPr>
            <w:r>
              <w:rPr/>
              <w:t> </w:t>
            </w:r>
          </w:p>
        </w:tc>
        <w:tc>
          <w:tcPr>
            <w:tcW w:w="1190"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lineRule="auto" w:line="276" w:before="0" w:after="0"/>
              <w:jc w:val="left"/>
              <w:rPr/>
            </w:pPr>
            <w:r>
              <w:rPr/>
              <w:t> </w:t>
            </w:r>
          </w:p>
        </w:tc>
        <w:tc>
          <w:tcPr>
            <w:tcW w:w="60" w:type="dxa"/>
            <w:tcBorders/>
            <w:shd w:fill="CCEEFF" w:val="clear"/>
            <w:vAlign w:val="center"/>
          </w:tcPr>
          <w:p>
            <w:pPr>
              <w:pStyle w:val="TableContents"/>
              <w:bidi w:val="0"/>
              <w:spacing w:lineRule="auto" w:line="276" w:before="0" w:after="0"/>
              <w:jc w:val="left"/>
              <w:rPr/>
            </w:pPr>
            <w:r>
              <w:rPr/>
              <w:t> </w:t>
            </w:r>
          </w:p>
        </w:tc>
        <w:tc>
          <w:tcPr>
            <w:tcW w:w="1070"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340</w:t>
            </w:r>
          </w:p>
        </w:tc>
        <w:tc>
          <w:tcPr>
            <w:tcW w:w="60" w:type="dxa"/>
            <w:tcBorders/>
            <w:shd w:fill="CCEEFF" w:val="clear"/>
            <w:vAlign w:val="center"/>
          </w:tcPr>
          <w:p>
            <w:pPr>
              <w:pStyle w:val="TableContents"/>
              <w:bidi w:val="0"/>
              <w:spacing w:lineRule="auto" w:line="276" w:before="0" w:after="0"/>
              <w:jc w:val="right"/>
              <w:rPr/>
            </w:pPr>
            <w:r>
              <w:rPr/>
              <w:t> </w:t>
            </w:r>
          </w:p>
        </w:tc>
        <w:tc>
          <w:tcPr>
            <w:tcW w:w="60" w:type="dxa"/>
            <w:tcBorders/>
            <w:shd w:fill="CCEEFF" w:val="clear"/>
            <w:vAlign w:val="center"/>
          </w:tcPr>
          <w:p>
            <w:pPr>
              <w:pStyle w:val="TableContents"/>
              <w:bidi w:val="0"/>
              <w:spacing w:lineRule="auto" w:line="276" w:before="0" w:after="0"/>
              <w:jc w:val="right"/>
              <w:rPr/>
            </w:pPr>
            <w:r>
              <w:rPr/>
              <w:t> </w:t>
            </w:r>
          </w:p>
        </w:tc>
        <w:tc>
          <w:tcPr>
            <w:tcW w:w="620"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340</w:t>
            </w:r>
          </w:p>
        </w:tc>
      </w:tr>
      <w:tr>
        <w:trPr/>
        <w:tc>
          <w:tcPr>
            <w:tcW w:w="3380" w:type="dxa"/>
            <w:tcBorders/>
            <w:shd w:fill="FFFFFF" w:val="cle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KSA Optioned</w:t>
            </w:r>
          </w:p>
        </w:tc>
        <w:tc>
          <w:tcPr>
            <w:tcW w:w="60" w:type="dxa"/>
            <w:tcBorders/>
            <w:shd w:fill="FFFFFF" w:val="clear"/>
            <w:vAlign w:val="center"/>
          </w:tcPr>
          <w:p>
            <w:pPr>
              <w:pStyle w:val="TableContents"/>
              <w:bidi w:val="0"/>
              <w:spacing w:lineRule="auto" w:line="276" w:before="0" w:after="0"/>
              <w:jc w:val="left"/>
              <w:rPr/>
            </w:pPr>
            <w:r>
              <w:rPr/>
              <w:t> </w:t>
            </w:r>
          </w:p>
        </w:tc>
        <w:tc>
          <w:tcPr>
            <w:tcW w:w="1370" w:type="dxa"/>
            <w:tcBorders/>
            <w:shd w:fill="FFFFFF" w:val="clear"/>
            <w:vAlign w:val="center"/>
          </w:tcPr>
          <w:p>
            <w:pPr>
              <w:pStyle w:val="TableContents"/>
              <w:bidi w:val="0"/>
              <w:spacing w:lineRule="auto" w:line="276" w:before="0" w:after="0"/>
              <w:jc w:val="left"/>
              <w:rPr/>
            </w:pPr>
            <w:r>
              <w:rPr/>
              <w:t> </w:t>
            </w:r>
          </w:p>
        </w:tc>
        <w:tc>
          <w:tcPr>
            <w:tcW w:w="60" w:type="dxa"/>
            <w:tcBorders/>
            <w:shd w:fill="FFFFFF" w:val="clear"/>
            <w:vAlign w:val="center"/>
          </w:tcPr>
          <w:p>
            <w:pPr>
              <w:pStyle w:val="TableContents"/>
              <w:bidi w:val="0"/>
              <w:spacing w:lineRule="auto" w:line="276" w:before="0" w:after="0"/>
              <w:jc w:val="left"/>
              <w:rPr/>
            </w:pPr>
            <w:r>
              <w:rPr/>
              <w:t> </w:t>
            </w:r>
          </w:p>
        </w:tc>
        <w:tc>
          <w:tcPr>
            <w:tcW w:w="60" w:type="dxa"/>
            <w:tcBorders/>
            <w:shd w:fill="FFFFFF" w:val="clear"/>
            <w:vAlign w:val="center"/>
          </w:tcPr>
          <w:p>
            <w:pPr>
              <w:pStyle w:val="TableContents"/>
              <w:bidi w:val="0"/>
              <w:spacing w:lineRule="auto" w:line="276" w:before="0" w:after="0"/>
              <w:jc w:val="left"/>
              <w:rPr/>
            </w:pPr>
            <w:r>
              <w:rPr/>
              <w:t> </w:t>
            </w:r>
          </w:p>
        </w:tc>
        <w:tc>
          <w:tcPr>
            <w:tcW w:w="1190"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1,241</w:t>
            </w:r>
          </w:p>
        </w:tc>
        <w:tc>
          <w:tcPr>
            <w:tcW w:w="60" w:type="dxa"/>
            <w:tcBorders/>
            <w:shd w:fill="FFFFFF" w:val="clear"/>
            <w:vAlign w:val="center"/>
          </w:tcPr>
          <w:p>
            <w:pPr>
              <w:pStyle w:val="TableContents"/>
              <w:bidi w:val="0"/>
              <w:spacing w:lineRule="auto" w:line="276" w:before="0" w:after="0"/>
              <w:jc w:val="left"/>
              <w:rPr/>
            </w:pPr>
            <w:r>
              <w:rPr/>
              <w:t> </w:t>
            </w:r>
          </w:p>
        </w:tc>
        <w:tc>
          <w:tcPr>
            <w:tcW w:w="60" w:type="dxa"/>
            <w:tcBorders/>
            <w:shd w:fill="FFFFFF" w:val="clear"/>
            <w:vAlign w:val="center"/>
          </w:tcPr>
          <w:p>
            <w:pPr>
              <w:pStyle w:val="TableContents"/>
              <w:bidi w:val="0"/>
              <w:spacing w:lineRule="auto" w:line="276" w:before="0" w:after="0"/>
              <w:jc w:val="left"/>
              <w:rPr/>
            </w:pPr>
            <w:r>
              <w:rPr/>
              <w:t> </w:t>
            </w:r>
          </w:p>
        </w:tc>
        <w:tc>
          <w:tcPr>
            <w:tcW w:w="1070"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1,487</w:t>
            </w:r>
          </w:p>
        </w:tc>
        <w:tc>
          <w:tcPr>
            <w:tcW w:w="60" w:type="dxa"/>
            <w:tcBorders/>
            <w:shd w:fill="FFFFFF" w:val="clear"/>
            <w:vAlign w:val="center"/>
          </w:tcPr>
          <w:p>
            <w:pPr>
              <w:pStyle w:val="TableContents"/>
              <w:bidi w:val="0"/>
              <w:spacing w:lineRule="auto" w:line="276" w:before="0" w:after="0"/>
              <w:jc w:val="right"/>
              <w:rPr/>
            </w:pPr>
            <w:r>
              <w:rPr/>
              <w:t> </w:t>
            </w:r>
          </w:p>
        </w:tc>
        <w:tc>
          <w:tcPr>
            <w:tcW w:w="60" w:type="dxa"/>
            <w:tcBorders/>
            <w:shd w:fill="FFFFFF" w:val="clear"/>
            <w:vAlign w:val="center"/>
          </w:tcPr>
          <w:p>
            <w:pPr>
              <w:pStyle w:val="TableContents"/>
              <w:bidi w:val="0"/>
              <w:spacing w:lineRule="auto" w:line="276" w:before="0" w:after="0"/>
              <w:jc w:val="right"/>
              <w:rPr/>
            </w:pPr>
            <w:r>
              <w:rPr/>
              <w:t> </w:t>
            </w:r>
          </w:p>
        </w:tc>
        <w:tc>
          <w:tcPr>
            <w:tcW w:w="620"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2,728</w:t>
            </w:r>
          </w:p>
        </w:tc>
      </w:tr>
      <w:tr>
        <w:trPr/>
        <w:tc>
          <w:tcPr>
            <w:tcW w:w="3380" w:type="dxa"/>
            <w:tcBorders>
              <w:bottom w:val="single" w:sz="8" w:space="0" w:color="000000"/>
            </w:tcBorders>
            <w:shd w:fill="CCEEFF" w:val="clear"/>
            <w:tcMar>
              <w:bottom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Construction to permanent financing lots</w:t>
            </w:r>
          </w:p>
        </w:tc>
        <w:tc>
          <w:tcPr>
            <w:tcW w:w="60" w:type="dxa"/>
            <w:tcBorders>
              <w:bottom w:val="single" w:sz="8"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1370" w:type="dxa"/>
            <w:tcBorders>
              <w:bottom w:val="single" w:sz="8"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13</w:t>
            </w:r>
          </w:p>
        </w:tc>
        <w:tc>
          <w:tcPr>
            <w:tcW w:w="60" w:type="dxa"/>
            <w:tcBorders>
              <w:bottom w:val="single" w:sz="8"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w:t>
            </w:r>
          </w:p>
        </w:tc>
        <w:tc>
          <w:tcPr>
            <w:tcW w:w="6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2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13</w:t>
            </w:r>
          </w:p>
        </w:tc>
      </w:tr>
      <w:tr>
        <w:trPr/>
        <w:tc>
          <w:tcPr>
            <w:tcW w:w="3380" w:type="dxa"/>
            <w:tcBorders>
              <w:top w:val="single" w:sz="8" w:space="0" w:color="000000"/>
            </w:tcBorders>
            <w:shd w:fill="FFFFFF" w:val="clear"/>
            <w:tcMar>
              <w:top w:w="28" w:type="dxa"/>
            </w:tcMar>
            <w:vAlign w:val="center"/>
          </w:tcPr>
          <w:p>
            <w:pPr>
              <w:pStyle w:val="TableContents"/>
              <w:bidi w:val="0"/>
              <w:spacing w:lineRule="auto" w:line="276" w:before="0" w:after="0"/>
              <w:jc w:val="left"/>
              <w:rPr/>
            </w:pPr>
            <w:r>
              <w:rPr/>
              <w:t> </w:t>
            </w:r>
          </w:p>
        </w:tc>
        <w:tc>
          <w:tcPr>
            <w:tcW w:w="60" w:type="dxa"/>
            <w:tcBorders>
              <w:top w:val="single" w:sz="8" w:space="0" w:color="000000"/>
            </w:tcBorders>
            <w:shd w:fill="FFFFFF" w:val="clear"/>
            <w:tcMar>
              <w:top w:w="28" w:type="dxa"/>
            </w:tcMar>
            <w:vAlign w:val="center"/>
          </w:tcPr>
          <w:p>
            <w:pPr>
              <w:pStyle w:val="TableContents"/>
              <w:bidi w:val="0"/>
              <w:spacing w:lineRule="auto" w:line="276" w:before="0" w:after="0"/>
              <w:jc w:val="left"/>
              <w:rPr/>
            </w:pPr>
            <w:r>
              <w:rPr/>
              <w:t> </w:t>
            </w:r>
          </w:p>
        </w:tc>
        <w:tc>
          <w:tcPr>
            <w:tcW w:w="1370" w:type="dxa"/>
            <w:tcBorders>
              <w:top w:val="single" w:sz="8" w:space="0" w:color="000000"/>
            </w:tcBorders>
            <w:shd w:fill="FFFFFF" w:val="clear"/>
            <w:tcMar>
              <w:top w:w="28" w:type="dxa"/>
            </w:tcMar>
            <w:vAlign w:val="center"/>
          </w:tcPr>
          <w:p>
            <w:pPr>
              <w:pStyle w:val="TableContents"/>
              <w:bidi w:val="0"/>
              <w:spacing w:lineRule="auto" w:line="276" w:before="0" w:after="0"/>
              <w:jc w:val="left"/>
              <w:rPr/>
            </w:pPr>
            <w:r>
              <w:rPr/>
              <w:t> </w:t>
            </w:r>
          </w:p>
        </w:tc>
        <w:tc>
          <w:tcPr>
            <w:tcW w:w="60" w:type="dxa"/>
            <w:tcBorders>
              <w:top w:val="single" w:sz="8" w:space="0" w:color="000000"/>
            </w:tcBorders>
            <w:shd w:fill="FFFFFF" w:val="clear"/>
            <w:tcMar>
              <w:top w:w="28" w:type="dxa"/>
            </w:tcMar>
            <w:vAlign w:val="center"/>
          </w:tcPr>
          <w:p>
            <w:pPr>
              <w:pStyle w:val="TableContents"/>
              <w:bidi w:val="0"/>
              <w:spacing w:lineRule="auto" w:line="276" w:before="0" w:after="0"/>
              <w:jc w:val="left"/>
              <w:rPr/>
            </w:pPr>
            <w:r>
              <w:rPr/>
              <w:t> </w:t>
            </w:r>
          </w:p>
        </w:tc>
        <w:tc>
          <w:tcPr>
            <w:tcW w:w="60" w:type="dxa"/>
            <w:tcBorders>
              <w:top w:val="single" w:sz="8" w:space="0" w:color="000000"/>
            </w:tcBorders>
            <w:shd w:fill="FFFFFF" w:val="clear"/>
            <w:tcMar>
              <w:top w:w="28" w:type="dxa"/>
            </w:tcMar>
            <w:vAlign w:val="center"/>
          </w:tcPr>
          <w:p>
            <w:pPr>
              <w:pStyle w:val="TableContents"/>
              <w:bidi w:val="0"/>
              <w:spacing w:lineRule="auto" w:line="276" w:before="0" w:after="0"/>
              <w:jc w:val="left"/>
              <w:rPr/>
            </w:pPr>
            <w:r>
              <w:rPr/>
              <w:t> </w:t>
            </w:r>
          </w:p>
        </w:tc>
        <w:tc>
          <w:tcPr>
            <w:tcW w:w="119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FFFFFF" w:val="clear"/>
            <w:tcMar>
              <w:top w:w="28" w:type="dxa"/>
            </w:tcMar>
            <w:vAlign w:val="center"/>
          </w:tcPr>
          <w:p>
            <w:pPr>
              <w:pStyle w:val="TableContents"/>
              <w:bidi w:val="0"/>
              <w:spacing w:lineRule="auto" w:line="276" w:before="0" w:after="0"/>
              <w:jc w:val="left"/>
              <w:rPr/>
            </w:pPr>
            <w:r>
              <w:rPr/>
              <w:t> </w:t>
            </w:r>
          </w:p>
        </w:tc>
        <w:tc>
          <w:tcPr>
            <w:tcW w:w="60" w:type="dxa"/>
            <w:tcBorders>
              <w:top w:val="single" w:sz="8" w:space="0" w:color="000000"/>
            </w:tcBorders>
            <w:shd w:fill="FFFFFF" w:val="clear"/>
            <w:tcMar>
              <w:top w:w="28" w:type="dxa"/>
            </w:tcMar>
            <w:vAlign w:val="center"/>
          </w:tcPr>
          <w:p>
            <w:pPr>
              <w:pStyle w:val="TableContents"/>
              <w:bidi w:val="0"/>
              <w:spacing w:lineRule="auto" w:line="276" w:before="0" w:after="0"/>
              <w:jc w:val="left"/>
              <w:rPr/>
            </w:pPr>
            <w:r>
              <w:rPr/>
              <w:t> </w:t>
            </w:r>
          </w:p>
        </w:tc>
        <w:tc>
          <w:tcPr>
            <w:tcW w:w="107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c>
          <w:tcPr>
            <w:tcW w:w="62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r>
      <w:tr>
        <w:trPr/>
        <w:tc>
          <w:tcPr>
            <w:tcW w:w="338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Consolidated total</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137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119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13,758</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107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23,696</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2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37,454</w:t>
            </w:r>
          </w:p>
        </w:tc>
      </w:tr>
    </w:tbl>
    <w:p>
      <w:pPr>
        <w:pStyle w:val="TextBody"/>
        <w:bidi w:val="0"/>
        <w:spacing w:lineRule="auto" w:line="276" w:before="0" w:after="0"/>
        <w:jc w:val="left"/>
        <w:rPr/>
      </w:pPr>
      <w:r>
        <w:rPr/>
        <w:t> </w:t>
      </w:r>
    </w:p>
    <w:tbl>
      <w:tblPr>
        <w:tblW w:w="8050" w:type="dxa"/>
        <w:jc w:val="left"/>
        <w:tblInd w:w="0" w:type="dxa"/>
        <w:tblLayout w:type="fixed"/>
        <w:tblCellMar>
          <w:top w:w="0" w:type="dxa"/>
          <w:left w:w="0" w:type="dxa"/>
          <w:bottom w:w="0" w:type="dxa"/>
          <w:right w:w="0" w:type="dxa"/>
        </w:tblCellMar>
      </w:tblPr>
      <w:tblGrid>
        <w:gridCol w:w="3380"/>
        <w:gridCol w:w="60"/>
        <w:gridCol w:w="1370"/>
        <w:gridCol w:w="60"/>
        <w:gridCol w:w="60"/>
        <w:gridCol w:w="1190"/>
        <w:gridCol w:w="60"/>
        <w:gridCol w:w="60"/>
        <w:gridCol w:w="1070"/>
        <w:gridCol w:w="60"/>
        <w:gridCol w:w="60"/>
        <w:gridCol w:w="620"/>
      </w:tblGrid>
      <w:tr>
        <w:trPr/>
        <w:tc>
          <w:tcPr>
            <w:tcW w:w="3380" w:type="dxa"/>
            <w:tcBorders/>
            <w:vAlign w:val="center"/>
          </w:tcPr>
          <w:p>
            <w:pPr>
              <w:pStyle w:val="TableContents"/>
              <w:bidi w:val="0"/>
              <w:spacing w:lineRule="auto" w:line="276" w:before="0" w:after="0"/>
              <w:jc w:val="left"/>
              <w:rPr/>
            </w:pPr>
            <w:r>
              <w:rPr/>
              <w:t> </w:t>
            </w:r>
          </w:p>
        </w:tc>
        <w:tc>
          <w:tcPr>
            <w:tcW w:w="60" w:type="dxa"/>
            <w:tcBorders/>
            <w:vAlign w:val="center"/>
          </w:tcPr>
          <w:p>
            <w:pPr>
              <w:pStyle w:val="TableContents"/>
              <w:bidi w:val="0"/>
              <w:spacing w:lineRule="auto" w:line="276" w:before="0" w:after="0"/>
              <w:jc w:val="left"/>
              <w:rPr/>
            </w:pPr>
            <w:r>
              <w:rPr/>
              <w:t> </w:t>
            </w:r>
          </w:p>
        </w:tc>
        <w:tc>
          <w:tcPr>
            <w:tcW w:w="1370" w:type="dxa"/>
            <w:tcBorders/>
            <w:vAlign w:val="center"/>
          </w:tcPr>
          <w:p>
            <w:pPr>
              <w:pStyle w:val="TableContents"/>
              <w:bidi w:val="0"/>
              <w:spacing w:lineRule="auto" w:line="276" w:before="0" w:after="0"/>
              <w:jc w:val="left"/>
              <w:rPr/>
            </w:pPr>
            <w:r>
              <w:rPr/>
              <w:t> </w:t>
            </w:r>
          </w:p>
        </w:tc>
        <w:tc>
          <w:tcPr>
            <w:tcW w:w="60" w:type="dxa"/>
            <w:tcBorders/>
            <w:vAlign w:val="center"/>
          </w:tcPr>
          <w:p>
            <w:pPr>
              <w:pStyle w:val="TableContents"/>
              <w:bidi w:val="0"/>
              <w:spacing w:lineRule="auto" w:line="276" w:before="0" w:after="0"/>
              <w:jc w:val="left"/>
              <w:rPr/>
            </w:pPr>
            <w:r>
              <w:rPr/>
              <w:t> </w:t>
            </w:r>
          </w:p>
        </w:tc>
        <w:tc>
          <w:tcPr>
            <w:tcW w:w="60" w:type="dxa"/>
            <w:tcBorders/>
            <w:vAlign w:val="center"/>
          </w:tcPr>
          <w:p>
            <w:pPr>
              <w:pStyle w:val="TableContents"/>
              <w:bidi w:val="0"/>
              <w:spacing w:lineRule="auto" w:line="276" w:before="0" w:after="0"/>
              <w:jc w:val="left"/>
              <w:rPr/>
            </w:pPr>
            <w:r>
              <w:rPr/>
              <w:t> </w:t>
            </w:r>
          </w:p>
        </w:tc>
        <w:tc>
          <w:tcPr>
            <w:tcW w:w="1190" w:type="dxa"/>
            <w:tcBorders/>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Active Selling</w:t>
            </w:r>
          </w:p>
        </w:tc>
        <w:tc>
          <w:tcPr>
            <w:tcW w:w="60" w:type="dxa"/>
            <w:tcBorders/>
            <w:vAlign w:val="center"/>
          </w:tcPr>
          <w:p>
            <w:pPr>
              <w:pStyle w:val="TableContents"/>
              <w:bidi w:val="0"/>
              <w:spacing w:lineRule="auto" w:line="276" w:before="0" w:after="0"/>
              <w:jc w:val="left"/>
              <w:rPr/>
            </w:pPr>
            <w:r>
              <w:rPr/>
              <w:t> </w:t>
            </w:r>
          </w:p>
        </w:tc>
        <w:tc>
          <w:tcPr>
            <w:tcW w:w="60" w:type="dxa"/>
            <w:tcBorders/>
            <w:vAlign w:val="center"/>
          </w:tcPr>
          <w:p>
            <w:pPr>
              <w:pStyle w:val="TableContents"/>
              <w:bidi w:val="0"/>
              <w:spacing w:lineRule="auto" w:line="276" w:before="0" w:after="0"/>
              <w:jc w:val="left"/>
              <w:rPr/>
            </w:pPr>
            <w:r>
              <w:rPr/>
              <w:t> </w:t>
            </w:r>
          </w:p>
        </w:tc>
        <w:tc>
          <w:tcPr>
            <w:tcW w:w="1070" w:type="dxa"/>
            <w:tcBorders/>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Proposed</w:t>
            </w:r>
          </w:p>
        </w:tc>
        <w:tc>
          <w:tcPr>
            <w:tcW w:w="60" w:type="dxa"/>
            <w:tcBorders/>
            <w:vAlign w:val="center"/>
          </w:tcPr>
          <w:p>
            <w:pPr>
              <w:pStyle w:val="TableContents"/>
              <w:bidi w:val="0"/>
              <w:spacing w:lineRule="auto" w:line="276" w:before="0" w:after="0"/>
              <w:jc w:val="left"/>
              <w:rPr/>
            </w:pPr>
            <w:r>
              <w:rPr/>
              <w:t> </w:t>
            </w:r>
          </w:p>
        </w:tc>
        <w:tc>
          <w:tcPr>
            <w:tcW w:w="60" w:type="dxa"/>
            <w:tcBorders/>
            <w:vAlign w:val="center"/>
          </w:tcPr>
          <w:p>
            <w:pPr>
              <w:pStyle w:val="TableContents"/>
              <w:bidi w:val="0"/>
              <w:spacing w:lineRule="auto" w:line="276" w:before="0" w:after="0"/>
              <w:jc w:val="left"/>
              <w:rPr/>
            </w:pPr>
            <w:r>
              <w:rPr/>
              <w:t> </w:t>
            </w:r>
          </w:p>
        </w:tc>
        <w:tc>
          <w:tcPr>
            <w:tcW w:w="620" w:type="dxa"/>
            <w:tcBorders/>
            <w:vAlign w:val="center"/>
          </w:tcPr>
          <w:p>
            <w:pPr>
              <w:pStyle w:val="TableContents"/>
              <w:bidi w:val="0"/>
              <w:spacing w:lineRule="auto" w:line="276" w:before="0" w:after="0"/>
              <w:jc w:val="left"/>
              <w:rPr/>
            </w:pPr>
            <w:r>
              <w:rPr/>
              <w:t> </w:t>
            </w:r>
          </w:p>
        </w:tc>
      </w:tr>
      <w:tr>
        <w:trPr/>
        <w:tc>
          <w:tcPr>
            <w:tcW w:w="3380" w:type="dxa"/>
            <w:tcBorders/>
            <w:vAlign w:val="center"/>
          </w:tcPr>
          <w:p>
            <w:pPr>
              <w:pStyle w:val="TableContents"/>
              <w:bidi w:val="0"/>
              <w:spacing w:lineRule="auto" w:line="276" w:before="0" w:after="0"/>
              <w:jc w:val="left"/>
              <w:rPr/>
            </w:pPr>
            <w:r>
              <w:rPr/>
              <w:t> </w:t>
            </w:r>
          </w:p>
        </w:tc>
        <w:tc>
          <w:tcPr>
            <w:tcW w:w="60" w:type="dxa"/>
            <w:tcBorders/>
            <w:vAlign w:val="center"/>
          </w:tcPr>
          <w:p>
            <w:pPr>
              <w:pStyle w:val="TableContents"/>
              <w:bidi w:val="0"/>
              <w:spacing w:lineRule="auto" w:line="276" w:before="0" w:after="0"/>
              <w:jc w:val="left"/>
              <w:rPr/>
            </w:pPr>
            <w:r>
              <w:rPr/>
              <w:t> </w:t>
            </w:r>
          </w:p>
        </w:tc>
        <w:tc>
          <w:tcPr>
            <w:tcW w:w="1370" w:type="dxa"/>
            <w:tcBorders/>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Active Selling</w:t>
            </w:r>
          </w:p>
        </w:tc>
        <w:tc>
          <w:tcPr>
            <w:tcW w:w="60" w:type="dxa"/>
            <w:tcBorders/>
            <w:vAlign w:val="center"/>
          </w:tcPr>
          <w:p>
            <w:pPr>
              <w:pStyle w:val="TableContents"/>
              <w:bidi w:val="0"/>
              <w:spacing w:lineRule="auto" w:line="276" w:before="0" w:after="0"/>
              <w:jc w:val="left"/>
              <w:rPr/>
            </w:pPr>
            <w:r>
              <w:rPr/>
              <w:t> </w:t>
            </w:r>
          </w:p>
        </w:tc>
        <w:tc>
          <w:tcPr>
            <w:tcW w:w="60" w:type="dxa"/>
            <w:tcBorders/>
            <w:vAlign w:val="center"/>
          </w:tcPr>
          <w:p>
            <w:pPr>
              <w:pStyle w:val="TableContents"/>
              <w:bidi w:val="0"/>
              <w:spacing w:lineRule="auto" w:line="276" w:before="0" w:after="0"/>
              <w:jc w:val="left"/>
              <w:rPr/>
            </w:pPr>
            <w:r>
              <w:rPr/>
              <w:t> </w:t>
            </w:r>
          </w:p>
        </w:tc>
        <w:tc>
          <w:tcPr>
            <w:tcW w:w="1190" w:type="dxa"/>
            <w:tcBorders/>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Communities</w:t>
            </w:r>
          </w:p>
        </w:tc>
        <w:tc>
          <w:tcPr>
            <w:tcW w:w="60" w:type="dxa"/>
            <w:tcBorders/>
            <w:vAlign w:val="center"/>
          </w:tcPr>
          <w:p>
            <w:pPr>
              <w:pStyle w:val="TableContents"/>
              <w:bidi w:val="0"/>
              <w:spacing w:lineRule="auto" w:line="276" w:before="0" w:after="0"/>
              <w:jc w:val="left"/>
              <w:rPr/>
            </w:pPr>
            <w:r>
              <w:rPr/>
              <w:t> </w:t>
            </w:r>
          </w:p>
        </w:tc>
        <w:tc>
          <w:tcPr>
            <w:tcW w:w="60" w:type="dxa"/>
            <w:tcBorders/>
            <w:vAlign w:val="center"/>
          </w:tcPr>
          <w:p>
            <w:pPr>
              <w:pStyle w:val="TableContents"/>
              <w:bidi w:val="0"/>
              <w:spacing w:lineRule="auto" w:line="276" w:before="0" w:after="0"/>
              <w:jc w:val="left"/>
              <w:rPr/>
            </w:pPr>
            <w:r>
              <w:rPr/>
              <w:t> </w:t>
            </w:r>
          </w:p>
        </w:tc>
        <w:tc>
          <w:tcPr>
            <w:tcW w:w="1070" w:type="dxa"/>
            <w:tcBorders/>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Developable</w:t>
            </w:r>
          </w:p>
        </w:tc>
        <w:tc>
          <w:tcPr>
            <w:tcW w:w="60" w:type="dxa"/>
            <w:tcBorders/>
            <w:vAlign w:val="center"/>
          </w:tcPr>
          <w:p>
            <w:pPr>
              <w:pStyle w:val="TableContents"/>
              <w:bidi w:val="0"/>
              <w:spacing w:lineRule="auto" w:line="276" w:before="0" w:after="0"/>
              <w:jc w:val="left"/>
              <w:rPr/>
            </w:pPr>
            <w:r>
              <w:rPr/>
              <w:t> </w:t>
            </w:r>
          </w:p>
        </w:tc>
        <w:tc>
          <w:tcPr>
            <w:tcW w:w="60" w:type="dxa"/>
            <w:tcBorders/>
            <w:vAlign w:val="center"/>
          </w:tcPr>
          <w:p>
            <w:pPr>
              <w:pStyle w:val="TableContents"/>
              <w:bidi w:val="0"/>
              <w:spacing w:lineRule="auto" w:line="276" w:before="0" w:after="0"/>
              <w:jc w:val="left"/>
              <w:rPr/>
            </w:pPr>
            <w:r>
              <w:rPr/>
              <w:t> </w:t>
            </w:r>
          </w:p>
        </w:tc>
        <w:tc>
          <w:tcPr>
            <w:tcW w:w="620" w:type="dxa"/>
            <w:tcBorders/>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Total</w:t>
            </w:r>
          </w:p>
        </w:tc>
      </w:tr>
      <w:tr>
        <w:trPr/>
        <w:tc>
          <w:tcPr>
            <w:tcW w:w="3380" w:type="dxa"/>
            <w:tcBorders>
              <w:bottom w:val="single" w:sz="8" w:space="0" w:color="000000"/>
            </w:tcBorders>
            <w:tcMar>
              <w:bottom w:w="28" w:type="dxa"/>
            </w:tcMar>
            <w:vAlign w:val="center"/>
          </w:tcPr>
          <w:p>
            <w:pPr>
              <w:pStyle w:val="TableContents"/>
              <w:bidi w:val="0"/>
              <w:spacing w:lineRule="auto" w:line="276" w:before="0" w:after="0"/>
              <w:jc w:val="left"/>
              <w:rPr/>
            </w:pPr>
            <w:r>
              <w:rPr/>
              <w:t> </w:t>
            </w:r>
          </w:p>
        </w:tc>
        <w:tc>
          <w:tcPr>
            <w:tcW w:w="60" w:type="dxa"/>
            <w:tcBorders>
              <w:bottom w:val="single" w:sz="8" w:space="0" w:color="000000"/>
            </w:tcBorders>
            <w:tcMar>
              <w:bottom w:w="28" w:type="dxa"/>
            </w:tcMar>
            <w:vAlign w:val="center"/>
          </w:tcPr>
          <w:p>
            <w:pPr>
              <w:pStyle w:val="TableContents"/>
              <w:bidi w:val="0"/>
              <w:spacing w:lineRule="auto" w:line="276" w:before="0" w:after="0"/>
              <w:jc w:val="left"/>
              <w:rPr/>
            </w:pPr>
            <w:r>
              <w:rPr/>
              <w:t> </w:t>
            </w:r>
          </w:p>
        </w:tc>
        <w:tc>
          <w:tcPr>
            <w:tcW w:w="1370" w:type="dxa"/>
            <w:tcBorders>
              <w:bottom w:val="single" w:sz="8" w:space="0" w:color="000000"/>
            </w:tcBorders>
            <w:tcMar>
              <w:bottom w:w="28" w:type="dxa"/>
            </w:tcMar>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Communities(1)</w:t>
            </w:r>
          </w:p>
        </w:tc>
        <w:tc>
          <w:tcPr>
            <w:tcW w:w="60" w:type="dxa"/>
            <w:tcBorders>
              <w:bottom w:val="single" w:sz="8" w:space="0" w:color="000000"/>
            </w:tcBorders>
            <w:tcMar>
              <w:bottom w:w="28" w:type="dxa"/>
            </w:tcMar>
            <w:vAlign w:val="center"/>
          </w:tcPr>
          <w:p>
            <w:pPr>
              <w:pStyle w:val="TableContents"/>
              <w:bidi w:val="0"/>
              <w:spacing w:lineRule="auto" w:line="276" w:before="0" w:after="0"/>
              <w:jc w:val="left"/>
              <w:rPr/>
            </w:pPr>
            <w:r>
              <w:rPr/>
              <w:t> </w:t>
            </w:r>
          </w:p>
        </w:tc>
        <w:tc>
          <w:tcPr>
            <w:tcW w:w="60" w:type="dxa"/>
            <w:tcBorders>
              <w:bottom w:val="single" w:sz="8" w:space="0" w:color="000000"/>
            </w:tcBorders>
            <w:tcMar>
              <w:bottom w:w="28" w:type="dxa"/>
            </w:tcMar>
            <w:vAlign w:val="center"/>
          </w:tcPr>
          <w:p>
            <w:pPr>
              <w:pStyle w:val="TableContents"/>
              <w:bidi w:val="0"/>
              <w:spacing w:lineRule="auto" w:line="276" w:before="0" w:after="0"/>
              <w:jc w:val="left"/>
              <w:rPr/>
            </w:pPr>
            <w:r>
              <w:rPr/>
              <w:t> </w:t>
            </w:r>
          </w:p>
        </w:tc>
        <w:tc>
          <w:tcPr>
            <w:tcW w:w="1190" w:type="dxa"/>
            <w:tcBorders>
              <w:bottom w:val="single" w:sz="8" w:space="0" w:color="000000"/>
            </w:tcBorders>
            <w:tcMar>
              <w:bottom w:w="28" w:type="dxa"/>
            </w:tcMar>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Homes</w:t>
            </w:r>
          </w:p>
        </w:tc>
        <w:tc>
          <w:tcPr>
            <w:tcW w:w="60" w:type="dxa"/>
            <w:tcBorders>
              <w:bottom w:val="single" w:sz="8" w:space="0" w:color="000000"/>
            </w:tcBorders>
            <w:tcMar>
              <w:bottom w:w="28" w:type="dxa"/>
            </w:tcMar>
            <w:vAlign w:val="center"/>
          </w:tcPr>
          <w:p>
            <w:pPr>
              <w:pStyle w:val="TableContents"/>
              <w:bidi w:val="0"/>
              <w:spacing w:lineRule="auto" w:line="276" w:before="0" w:after="0"/>
              <w:jc w:val="left"/>
              <w:rPr/>
            </w:pPr>
            <w:r>
              <w:rPr/>
              <w:t> </w:t>
            </w:r>
          </w:p>
        </w:tc>
        <w:tc>
          <w:tcPr>
            <w:tcW w:w="60" w:type="dxa"/>
            <w:tcBorders>
              <w:bottom w:val="single" w:sz="8" w:space="0" w:color="000000"/>
            </w:tcBorders>
            <w:tcMar>
              <w:bottom w:w="28" w:type="dxa"/>
            </w:tcMar>
            <w:vAlign w:val="center"/>
          </w:tcPr>
          <w:p>
            <w:pPr>
              <w:pStyle w:val="TableContents"/>
              <w:bidi w:val="0"/>
              <w:spacing w:lineRule="auto" w:line="276" w:before="0" w:after="0"/>
              <w:jc w:val="left"/>
              <w:rPr/>
            </w:pPr>
            <w:r>
              <w:rPr/>
              <w:t> </w:t>
            </w:r>
          </w:p>
        </w:tc>
        <w:tc>
          <w:tcPr>
            <w:tcW w:w="1070" w:type="dxa"/>
            <w:tcBorders>
              <w:bottom w:val="single" w:sz="8" w:space="0" w:color="000000"/>
            </w:tcBorders>
            <w:tcMar>
              <w:bottom w:w="28" w:type="dxa"/>
            </w:tcMar>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Homes</w:t>
            </w:r>
          </w:p>
        </w:tc>
        <w:tc>
          <w:tcPr>
            <w:tcW w:w="60" w:type="dxa"/>
            <w:tcBorders>
              <w:bottom w:val="single" w:sz="8" w:space="0" w:color="000000"/>
            </w:tcBorders>
            <w:tcMar>
              <w:bottom w:w="28" w:type="dxa"/>
            </w:tcMar>
            <w:vAlign w:val="center"/>
          </w:tcPr>
          <w:p>
            <w:pPr>
              <w:pStyle w:val="TableContents"/>
              <w:bidi w:val="0"/>
              <w:spacing w:lineRule="auto" w:line="276" w:before="0" w:after="0"/>
              <w:jc w:val="left"/>
              <w:rPr/>
            </w:pPr>
            <w:r>
              <w:rPr/>
              <w:t> </w:t>
            </w:r>
          </w:p>
        </w:tc>
        <w:tc>
          <w:tcPr>
            <w:tcW w:w="60" w:type="dxa"/>
            <w:tcBorders>
              <w:bottom w:val="single" w:sz="8" w:space="0" w:color="000000"/>
            </w:tcBorders>
            <w:tcMar>
              <w:bottom w:w="28" w:type="dxa"/>
            </w:tcMar>
            <w:vAlign w:val="center"/>
          </w:tcPr>
          <w:p>
            <w:pPr>
              <w:pStyle w:val="TableContents"/>
              <w:bidi w:val="0"/>
              <w:spacing w:lineRule="auto" w:line="276" w:before="0" w:after="0"/>
              <w:jc w:val="left"/>
              <w:rPr/>
            </w:pPr>
            <w:r>
              <w:rPr/>
              <w:t> </w:t>
            </w:r>
          </w:p>
        </w:tc>
        <w:tc>
          <w:tcPr>
            <w:tcW w:w="620" w:type="dxa"/>
            <w:tcBorders>
              <w:bottom w:val="single" w:sz="8" w:space="0" w:color="000000"/>
            </w:tcBorders>
            <w:tcMar>
              <w:bottom w:w="28" w:type="dxa"/>
            </w:tcMar>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Homes</w:t>
            </w:r>
          </w:p>
        </w:tc>
      </w:tr>
      <w:tr>
        <w:trPr/>
        <w:tc>
          <w:tcPr>
            <w:tcW w:w="3380" w:type="dxa"/>
            <w:tcBorders>
              <w:top w:val="single" w:sz="8" w:space="0" w:color="000000"/>
            </w:tcBorders>
            <w:shd w:fill="CCEEFF" w:val="clear"/>
            <w:tcMar>
              <w:top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October 31, 2025:</w:t>
            </w:r>
          </w:p>
        </w:tc>
        <w:tc>
          <w:tcPr>
            <w:tcW w:w="60" w:type="dxa"/>
            <w:tcBorders>
              <w:top w:val="single" w:sz="8" w:space="0" w:color="000000"/>
            </w:tcBorders>
            <w:shd w:fill="CCEEFF" w:val="clear"/>
            <w:tcMar>
              <w:top w:w="28" w:type="dxa"/>
            </w:tcMar>
            <w:vAlign w:val="center"/>
          </w:tcPr>
          <w:p>
            <w:pPr>
              <w:pStyle w:val="TableContents"/>
              <w:bidi w:val="0"/>
              <w:spacing w:lineRule="auto" w:line="276" w:before="0" w:after="0"/>
              <w:jc w:val="left"/>
              <w:rPr/>
            </w:pPr>
            <w:r>
              <w:rPr/>
              <w:t> </w:t>
            </w:r>
          </w:p>
        </w:tc>
        <w:tc>
          <w:tcPr>
            <w:tcW w:w="1370" w:type="dxa"/>
            <w:tcBorders>
              <w:top w:val="single" w:sz="8" w:space="0" w:color="000000"/>
            </w:tcBorders>
            <w:shd w:fill="CCEEFF" w:val="clear"/>
            <w:tcMar>
              <w:top w:w="28" w:type="dxa"/>
            </w:tcMar>
            <w:vAlign w:val="center"/>
          </w:tcPr>
          <w:p>
            <w:pPr>
              <w:pStyle w:val="TableContents"/>
              <w:bidi w:val="0"/>
              <w:spacing w:lineRule="auto" w:line="276" w:before="0" w:after="0"/>
              <w:jc w:val="left"/>
              <w:rPr/>
            </w:pPr>
            <w:r>
              <w:rPr/>
              <w:t> </w:t>
            </w:r>
          </w:p>
        </w:tc>
        <w:tc>
          <w:tcPr>
            <w:tcW w:w="60" w:type="dxa"/>
            <w:tcBorders>
              <w:top w:val="single" w:sz="8" w:space="0" w:color="000000"/>
            </w:tcBorders>
            <w:shd w:fill="CCEEFF" w:val="clear"/>
            <w:tcMar>
              <w:top w:w="28" w:type="dxa"/>
            </w:tcMar>
            <w:vAlign w:val="center"/>
          </w:tcPr>
          <w:p>
            <w:pPr>
              <w:pStyle w:val="TableContents"/>
              <w:bidi w:val="0"/>
              <w:spacing w:lineRule="auto" w:line="276" w:before="0" w:after="0"/>
              <w:jc w:val="left"/>
              <w:rPr/>
            </w:pPr>
            <w:r>
              <w:rPr/>
              <w:t> </w:t>
            </w:r>
          </w:p>
        </w:tc>
        <w:tc>
          <w:tcPr>
            <w:tcW w:w="60" w:type="dxa"/>
            <w:tcBorders>
              <w:top w:val="single" w:sz="8" w:space="0" w:color="000000"/>
            </w:tcBorders>
            <w:shd w:fill="CCEEFF" w:val="clear"/>
            <w:tcMar>
              <w:top w:w="28" w:type="dxa"/>
            </w:tcMar>
            <w:vAlign w:val="center"/>
          </w:tcPr>
          <w:p>
            <w:pPr>
              <w:pStyle w:val="TableContents"/>
              <w:bidi w:val="0"/>
              <w:spacing w:lineRule="auto" w:line="276" w:before="0" w:after="0"/>
              <w:jc w:val="left"/>
              <w:rPr/>
            </w:pPr>
            <w:r>
              <w:rPr/>
              <w:t> </w:t>
            </w:r>
          </w:p>
        </w:tc>
        <w:tc>
          <w:tcPr>
            <w:tcW w:w="1190" w:type="dxa"/>
            <w:tcBorders>
              <w:top w:val="single" w:sz="8" w:space="0" w:color="000000"/>
            </w:tcBorders>
            <w:shd w:fill="CCEEFF" w:val="clear"/>
            <w:tcMar>
              <w:top w:w="28" w:type="dxa"/>
            </w:tcMar>
            <w:vAlign w:val="center"/>
          </w:tcPr>
          <w:p>
            <w:pPr>
              <w:pStyle w:val="TableContents"/>
              <w:bidi w:val="0"/>
              <w:spacing w:lineRule="auto" w:line="276" w:before="0" w:after="0"/>
              <w:jc w:val="left"/>
              <w:rPr/>
            </w:pPr>
            <w:r>
              <w:rPr/>
              <w:t> </w:t>
            </w:r>
          </w:p>
        </w:tc>
        <w:tc>
          <w:tcPr>
            <w:tcW w:w="60" w:type="dxa"/>
            <w:tcBorders>
              <w:top w:val="single" w:sz="8" w:space="0" w:color="000000"/>
            </w:tcBorders>
            <w:shd w:fill="CCEEFF" w:val="clear"/>
            <w:tcMar>
              <w:top w:w="28" w:type="dxa"/>
            </w:tcMar>
            <w:vAlign w:val="center"/>
          </w:tcPr>
          <w:p>
            <w:pPr>
              <w:pStyle w:val="TableContents"/>
              <w:bidi w:val="0"/>
              <w:spacing w:lineRule="auto" w:line="276" w:before="0" w:after="0"/>
              <w:jc w:val="left"/>
              <w:rPr/>
            </w:pPr>
            <w:r>
              <w:rPr/>
              <w:t> </w:t>
            </w:r>
          </w:p>
        </w:tc>
        <w:tc>
          <w:tcPr>
            <w:tcW w:w="60" w:type="dxa"/>
            <w:tcBorders>
              <w:top w:val="single" w:sz="8" w:space="0" w:color="000000"/>
            </w:tcBorders>
            <w:shd w:fill="CCEEFF" w:val="clear"/>
            <w:tcMar>
              <w:top w:w="28" w:type="dxa"/>
            </w:tcMar>
            <w:vAlign w:val="center"/>
          </w:tcPr>
          <w:p>
            <w:pPr>
              <w:pStyle w:val="TableContents"/>
              <w:bidi w:val="0"/>
              <w:spacing w:lineRule="auto" w:line="276" w:before="0" w:after="0"/>
              <w:jc w:val="left"/>
              <w:rPr/>
            </w:pPr>
            <w:r>
              <w:rPr/>
              <w:t> </w:t>
            </w:r>
          </w:p>
        </w:tc>
        <w:tc>
          <w:tcPr>
            <w:tcW w:w="1070" w:type="dxa"/>
            <w:tcBorders>
              <w:top w:val="single" w:sz="8" w:space="0" w:color="000000"/>
            </w:tcBorders>
            <w:shd w:fill="CCEEFF" w:val="clear"/>
            <w:tcMar>
              <w:top w:w="28" w:type="dxa"/>
            </w:tcMar>
            <w:vAlign w:val="center"/>
          </w:tcPr>
          <w:p>
            <w:pPr>
              <w:pStyle w:val="TableContents"/>
              <w:bidi w:val="0"/>
              <w:spacing w:lineRule="auto" w:line="276" w:before="0" w:after="0"/>
              <w:jc w:val="left"/>
              <w:rPr/>
            </w:pPr>
            <w:r>
              <w:rPr/>
              <w:t> </w:t>
            </w:r>
          </w:p>
        </w:tc>
        <w:tc>
          <w:tcPr>
            <w:tcW w:w="60" w:type="dxa"/>
            <w:tcBorders>
              <w:top w:val="single" w:sz="8" w:space="0" w:color="000000"/>
            </w:tcBorders>
            <w:shd w:fill="CCEEFF" w:val="clear"/>
            <w:tcMar>
              <w:top w:w="28" w:type="dxa"/>
            </w:tcMar>
            <w:vAlign w:val="center"/>
          </w:tcPr>
          <w:p>
            <w:pPr>
              <w:pStyle w:val="TableContents"/>
              <w:bidi w:val="0"/>
              <w:spacing w:lineRule="auto" w:line="276" w:before="0" w:after="0"/>
              <w:jc w:val="left"/>
              <w:rPr/>
            </w:pPr>
            <w:r>
              <w:rPr/>
              <w:t> </w:t>
            </w:r>
          </w:p>
        </w:tc>
        <w:tc>
          <w:tcPr>
            <w:tcW w:w="60" w:type="dxa"/>
            <w:tcBorders>
              <w:top w:val="single" w:sz="8" w:space="0" w:color="000000"/>
            </w:tcBorders>
            <w:shd w:fill="CCEEFF" w:val="clear"/>
            <w:tcMar>
              <w:top w:w="28" w:type="dxa"/>
            </w:tcMar>
            <w:vAlign w:val="center"/>
          </w:tcPr>
          <w:p>
            <w:pPr>
              <w:pStyle w:val="TableContents"/>
              <w:bidi w:val="0"/>
              <w:spacing w:lineRule="auto" w:line="276" w:before="0" w:after="0"/>
              <w:jc w:val="left"/>
              <w:rPr/>
            </w:pPr>
            <w:r>
              <w:rPr/>
              <w:t> </w:t>
            </w:r>
          </w:p>
        </w:tc>
        <w:tc>
          <w:tcPr>
            <w:tcW w:w="620" w:type="dxa"/>
            <w:tcBorders>
              <w:top w:val="single" w:sz="8" w:space="0" w:color="000000"/>
            </w:tcBorders>
            <w:shd w:fill="CCEEFF" w:val="clear"/>
            <w:tcMar>
              <w:top w:w="28" w:type="dxa"/>
            </w:tcMar>
            <w:vAlign w:val="center"/>
          </w:tcPr>
          <w:p>
            <w:pPr>
              <w:pStyle w:val="TableContents"/>
              <w:bidi w:val="0"/>
              <w:spacing w:lineRule="auto" w:line="276" w:before="0" w:after="0"/>
              <w:jc w:val="left"/>
              <w:rPr/>
            </w:pPr>
            <w:r>
              <w:rPr/>
              <w:t> </w:t>
            </w:r>
          </w:p>
        </w:tc>
      </w:tr>
      <w:tr>
        <w:trPr/>
        <w:tc>
          <w:tcPr>
            <w:tcW w:w="3380" w:type="dxa"/>
            <w:tcBorders/>
            <w:shd w:fill="FFFFFF" w:val="clear"/>
            <w:vAlign w:val="center"/>
          </w:tcPr>
          <w:p>
            <w:pPr>
              <w:pStyle w:val="TableContents"/>
              <w:bidi w:val="0"/>
              <w:spacing w:lineRule="auto" w:line="276" w:before="0" w:after="0"/>
              <w:jc w:val="left"/>
              <w:rPr/>
            </w:pPr>
            <w:r>
              <w:rPr/>
              <w:t> </w:t>
            </w:r>
          </w:p>
        </w:tc>
        <w:tc>
          <w:tcPr>
            <w:tcW w:w="60" w:type="dxa"/>
            <w:tcBorders/>
            <w:shd w:fill="FFFFFF" w:val="clear"/>
            <w:vAlign w:val="center"/>
          </w:tcPr>
          <w:p>
            <w:pPr>
              <w:pStyle w:val="TableContents"/>
              <w:bidi w:val="0"/>
              <w:spacing w:lineRule="auto" w:line="276" w:before="0" w:after="0"/>
              <w:jc w:val="left"/>
              <w:rPr/>
            </w:pPr>
            <w:r>
              <w:rPr/>
              <w:t> </w:t>
            </w:r>
          </w:p>
        </w:tc>
        <w:tc>
          <w:tcPr>
            <w:tcW w:w="1370" w:type="dxa"/>
            <w:tcBorders/>
            <w:shd w:fill="FFFFFF" w:val="clear"/>
            <w:vAlign w:val="center"/>
          </w:tcPr>
          <w:p>
            <w:pPr>
              <w:pStyle w:val="TableContents"/>
              <w:bidi w:val="0"/>
              <w:spacing w:lineRule="auto" w:line="276" w:before="0" w:after="0"/>
              <w:jc w:val="left"/>
              <w:rPr/>
            </w:pPr>
            <w:r>
              <w:rPr/>
              <w:t> </w:t>
            </w:r>
          </w:p>
        </w:tc>
        <w:tc>
          <w:tcPr>
            <w:tcW w:w="60" w:type="dxa"/>
            <w:tcBorders/>
            <w:shd w:fill="FFFFFF" w:val="clear"/>
            <w:vAlign w:val="center"/>
          </w:tcPr>
          <w:p>
            <w:pPr>
              <w:pStyle w:val="TableContents"/>
              <w:bidi w:val="0"/>
              <w:spacing w:lineRule="auto" w:line="276" w:before="0" w:after="0"/>
              <w:jc w:val="left"/>
              <w:rPr/>
            </w:pPr>
            <w:r>
              <w:rPr/>
              <w:t> </w:t>
            </w:r>
          </w:p>
        </w:tc>
        <w:tc>
          <w:tcPr>
            <w:tcW w:w="60" w:type="dxa"/>
            <w:tcBorders/>
            <w:shd w:fill="FFFFFF" w:val="clear"/>
            <w:vAlign w:val="center"/>
          </w:tcPr>
          <w:p>
            <w:pPr>
              <w:pStyle w:val="TableContents"/>
              <w:bidi w:val="0"/>
              <w:spacing w:lineRule="auto" w:line="276" w:before="0" w:after="0"/>
              <w:jc w:val="left"/>
              <w:rPr/>
            </w:pPr>
            <w:r>
              <w:rPr/>
              <w:t> </w:t>
            </w:r>
          </w:p>
        </w:tc>
        <w:tc>
          <w:tcPr>
            <w:tcW w:w="1190" w:type="dxa"/>
            <w:tcBorders/>
            <w:shd w:fill="FFFFFF" w:val="clear"/>
            <w:vAlign w:val="center"/>
          </w:tcPr>
          <w:p>
            <w:pPr>
              <w:pStyle w:val="TableContents"/>
              <w:bidi w:val="0"/>
              <w:spacing w:lineRule="auto" w:line="276" w:before="0" w:after="0"/>
              <w:jc w:val="left"/>
              <w:rPr/>
            </w:pPr>
            <w:r>
              <w:rPr/>
              <w:t> </w:t>
            </w:r>
          </w:p>
        </w:tc>
        <w:tc>
          <w:tcPr>
            <w:tcW w:w="60" w:type="dxa"/>
            <w:tcBorders/>
            <w:shd w:fill="FFFFFF" w:val="clear"/>
            <w:vAlign w:val="center"/>
          </w:tcPr>
          <w:p>
            <w:pPr>
              <w:pStyle w:val="TableContents"/>
              <w:bidi w:val="0"/>
              <w:spacing w:lineRule="auto" w:line="276" w:before="0" w:after="0"/>
              <w:jc w:val="left"/>
              <w:rPr/>
            </w:pPr>
            <w:r>
              <w:rPr/>
              <w:t> </w:t>
            </w:r>
          </w:p>
        </w:tc>
        <w:tc>
          <w:tcPr>
            <w:tcW w:w="60" w:type="dxa"/>
            <w:tcBorders/>
            <w:shd w:fill="FFFFFF" w:val="clear"/>
            <w:vAlign w:val="center"/>
          </w:tcPr>
          <w:p>
            <w:pPr>
              <w:pStyle w:val="TableContents"/>
              <w:bidi w:val="0"/>
              <w:spacing w:lineRule="auto" w:line="276" w:before="0" w:after="0"/>
              <w:jc w:val="left"/>
              <w:rPr/>
            </w:pPr>
            <w:r>
              <w:rPr/>
              <w:t> </w:t>
            </w:r>
          </w:p>
        </w:tc>
        <w:tc>
          <w:tcPr>
            <w:tcW w:w="1070" w:type="dxa"/>
            <w:tcBorders/>
            <w:shd w:fill="FFFFFF" w:val="clear"/>
            <w:vAlign w:val="center"/>
          </w:tcPr>
          <w:p>
            <w:pPr>
              <w:pStyle w:val="TableContents"/>
              <w:bidi w:val="0"/>
              <w:spacing w:lineRule="auto" w:line="276" w:before="0" w:after="0"/>
              <w:jc w:val="left"/>
              <w:rPr/>
            </w:pPr>
            <w:r>
              <w:rPr/>
              <w:t> </w:t>
            </w:r>
          </w:p>
        </w:tc>
        <w:tc>
          <w:tcPr>
            <w:tcW w:w="60" w:type="dxa"/>
            <w:tcBorders/>
            <w:shd w:fill="FFFFFF" w:val="clear"/>
            <w:vAlign w:val="center"/>
          </w:tcPr>
          <w:p>
            <w:pPr>
              <w:pStyle w:val="TableContents"/>
              <w:bidi w:val="0"/>
              <w:spacing w:lineRule="auto" w:line="276" w:before="0" w:after="0"/>
              <w:jc w:val="left"/>
              <w:rPr/>
            </w:pPr>
            <w:r>
              <w:rPr/>
              <w:t> </w:t>
            </w:r>
          </w:p>
        </w:tc>
        <w:tc>
          <w:tcPr>
            <w:tcW w:w="60" w:type="dxa"/>
            <w:tcBorders/>
            <w:shd w:fill="FFFFFF" w:val="clear"/>
            <w:vAlign w:val="center"/>
          </w:tcPr>
          <w:p>
            <w:pPr>
              <w:pStyle w:val="TableContents"/>
              <w:bidi w:val="0"/>
              <w:spacing w:lineRule="auto" w:line="276" w:before="0" w:after="0"/>
              <w:jc w:val="left"/>
              <w:rPr/>
            </w:pPr>
            <w:r>
              <w:rPr/>
              <w:t> </w:t>
            </w:r>
          </w:p>
        </w:tc>
        <w:tc>
          <w:tcPr>
            <w:tcW w:w="620" w:type="dxa"/>
            <w:tcBorders/>
            <w:shd w:fill="FFFFFF" w:val="clear"/>
            <w:vAlign w:val="center"/>
          </w:tcPr>
          <w:p>
            <w:pPr>
              <w:pStyle w:val="TableContents"/>
              <w:bidi w:val="0"/>
              <w:spacing w:lineRule="auto" w:line="276" w:before="0" w:after="0"/>
              <w:jc w:val="left"/>
              <w:rPr/>
            </w:pPr>
            <w:r>
              <w:rPr/>
              <w:t> </w:t>
            </w:r>
          </w:p>
        </w:tc>
      </w:tr>
      <w:tr>
        <w:trPr/>
        <w:tc>
          <w:tcPr>
            <w:tcW w:w="3380" w:type="dxa"/>
            <w:tcBorders/>
            <w:shd w:fill="CCEEFF" w:val="cle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Northeast</w:t>
            </w:r>
          </w:p>
        </w:tc>
        <w:tc>
          <w:tcPr>
            <w:tcW w:w="60" w:type="dxa"/>
            <w:tcBorders/>
            <w:shd w:fill="CCEEFF" w:val="clear"/>
            <w:vAlign w:val="center"/>
          </w:tcPr>
          <w:p>
            <w:pPr>
              <w:pStyle w:val="TableContents"/>
              <w:bidi w:val="0"/>
              <w:spacing w:lineRule="auto" w:line="276" w:before="0" w:after="0"/>
              <w:jc w:val="left"/>
              <w:rPr/>
            </w:pPr>
            <w:r>
              <w:rPr/>
              <w:t> </w:t>
            </w:r>
          </w:p>
        </w:tc>
        <w:tc>
          <w:tcPr>
            <w:tcW w:w="1370"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46</w:t>
            </w:r>
          </w:p>
        </w:tc>
        <w:tc>
          <w:tcPr>
            <w:tcW w:w="60" w:type="dxa"/>
            <w:tcBorders/>
            <w:shd w:fill="CCEEFF" w:val="clear"/>
            <w:vAlign w:val="center"/>
          </w:tcPr>
          <w:p>
            <w:pPr>
              <w:pStyle w:val="TableContents"/>
              <w:bidi w:val="0"/>
              <w:spacing w:lineRule="auto" w:line="276" w:before="0" w:after="0"/>
              <w:jc w:val="right"/>
              <w:rPr/>
            </w:pPr>
            <w:r>
              <w:rPr/>
              <w:t> </w:t>
            </w:r>
          </w:p>
        </w:tc>
        <w:tc>
          <w:tcPr>
            <w:tcW w:w="60" w:type="dxa"/>
            <w:tcBorders/>
            <w:shd w:fill="CCEEFF" w:val="clear"/>
            <w:vAlign w:val="center"/>
          </w:tcPr>
          <w:p>
            <w:pPr>
              <w:pStyle w:val="TableContents"/>
              <w:bidi w:val="0"/>
              <w:spacing w:lineRule="auto" w:line="276" w:before="0" w:after="0"/>
              <w:jc w:val="right"/>
              <w:rPr/>
            </w:pPr>
            <w:r>
              <w:rPr/>
              <w:t> </w:t>
            </w:r>
          </w:p>
        </w:tc>
        <w:tc>
          <w:tcPr>
            <w:tcW w:w="1190"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4,844</w:t>
            </w:r>
          </w:p>
        </w:tc>
        <w:tc>
          <w:tcPr>
            <w:tcW w:w="60" w:type="dxa"/>
            <w:tcBorders/>
            <w:shd w:fill="CCEEFF" w:val="clear"/>
            <w:vAlign w:val="center"/>
          </w:tcPr>
          <w:p>
            <w:pPr>
              <w:pStyle w:val="TableContents"/>
              <w:bidi w:val="0"/>
              <w:spacing w:lineRule="auto" w:line="276" w:before="0" w:after="0"/>
              <w:jc w:val="right"/>
              <w:rPr/>
            </w:pPr>
            <w:r>
              <w:rPr/>
              <w:t> </w:t>
            </w:r>
          </w:p>
        </w:tc>
        <w:tc>
          <w:tcPr>
            <w:tcW w:w="60" w:type="dxa"/>
            <w:tcBorders/>
            <w:shd w:fill="CCEEFF" w:val="clear"/>
            <w:vAlign w:val="center"/>
          </w:tcPr>
          <w:p>
            <w:pPr>
              <w:pStyle w:val="TableContents"/>
              <w:bidi w:val="0"/>
              <w:spacing w:lineRule="auto" w:line="276" w:before="0" w:after="0"/>
              <w:jc w:val="right"/>
              <w:rPr/>
            </w:pPr>
            <w:r>
              <w:rPr/>
              <w:t> </w:t>
            </w:r>
          </w:p>
        </w:tc>
        <w:tc>
          <w:tcPr>
            <w:tcW w:w="1070"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14,138</w:t>
            </w:r>
          </w:p>
        </w:tc>
        <w:tc>
          <w:tcPr>
            <w:tcW w:w="60" w:type="dxa"/>
            <w:tcBorders/>
            <w:shd w:fill="CCEEFF" w:val="clear"/>
            <w:vAlign w:val="center"/>
          </w:tcPr>
          <w:p>
            <w:pPr>
              <w:pStyle w:val="TableContents"/>
              <w:bidi w:val="0"/>
              <w:spacing w:lineRule="auto" w:line="276" w:before="0" w:after="0"/>
              <w:jc w:val="right"/>
              <w:rPr/>
            </w:pPr>
            <w:r>
              <w:rPr/>
              <w:t> </w:t>
            </w:r>
          </w:p>
        </w:tc>
        <w:tc>
          <w:tcPr>
            <w:tcW w:w="60" w:type="dxa"/>
            <w:tcBorders/>
            <w:shd w:fill="CCEEFF" w:val="clear"/>
            <w:vAlign w:val="center"/>
          </w:tcPr>
          <w:p>
            <w:pPr>
              <w:pStyle w:val="TableContents"/>
              <w:bidi w:val="0"/>
              <w:spacing w:lineRule="auto" w:line="276" w:before="0" w:after="0"/>
              <w:jc w:val="right"/>
              <w:rPr/>
            </w:pPr>
            <w:r>
              <w:rPr/>
              <w:t> </w:t>
            </w:r>
          </w:p>
        </w:tc>
        <w:tc>
          <w:tcPr>
            <w:tcW w:w="620"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18,982</w:t>
            </w:r>
          </w:p>
        </w:tc>
      </w:tr>
      <w:tr>
        <w:trPr/>
        <w:tc>
          <w:tcPr>
            <w:tcW w:w="3380" w:type="dxa"/>
            <w:tcBorders/>
            <w:shd w:fill="FFFFFF" w:val="cle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Southeast</w:t>
            </w:r>
          </w:p>
        </w:tc>
        <w:tc>
          <w:tcPr>
            <w:tcW w:w="60" w:type="dxa"/>
            <w:tcBorders/>
            <w:shd w:fill="FFFFFF" w:val="clear"/>
            <w:vAlign w:val="center"/>
          </w:tcPr>
          <w:p>
            <w:pPr>
              <w:pStyle w:val="TableContents"/>
              <w:bidi w:val="0"/>
              <w:spacing w:lineRule="auto" w:line="276" w:before="0" w:after="0"/>
              <w:jc w:val="left"/>
              <w:rPr/>
            </w:pPr>
            <w:r>
              <w:rPr/>
              <w:t> </w:t>
            </w:r>
          </w:p>
        </w:tc>
        <w:tc>
          <w:tcPr>
            <w:tcW w:w="1370"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27</w:t>
            </w:r>
          </w:p>
        </w:tc>
        <w:tc>
          <w:tcPr>
            <w:tcW w:w="60" w:type="dxa"/>
            <w:tcBorders/>
            <w:shd w:fill="FFFFFF" w:val="clear"/>
            <w:vAlign w:val="center"/>
          </w:tcPr>
          <w:p>
            <w:pPr>
              <w:pStyle w:val="TableContents"/>
              <w:bidi w:val="0"/>
              <w:spacing w:lineRule="auto" w:line="276" w:before="0" w:after="0"/>
              <w:jc w:val="right"/>
              <w:rPr/>
            </w:pPr>
            <w:r>
              <w:rPr/>
              <w:t> </w:t>
            </w:r>
          </w:p>
        </w:tc>
        <w:tc>
          <w:tcPr>
            <w:tcW w:w="60" w:type="dxa"/>
            <w:tcBorders/>
            <w:shd w:fill="FFFFFF" w:val="clear"/>
            <w:vAlign w:val="center"/>
          </w:tcPr>
          <w:p>
            <w:pPr>
              <w:pStyle w:val="TableContents"/>
              <w:bidi w:val="0"/>
              <w:spacing w:lineRule="auto" w:line="276" w:before="0" w:after="0"/>
              <w:jc w:val="right"/>
              <w:rPr/>
            </w:pPr>
            <w:r>
              <w:rPr/>
              <w:t> </w:t>
            </w:r>
          </w:p>
        </w:tc>
        <w:tc>
          <w:tcPr>
            <w:tcW w:w="1190"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2,218</w:t>
            </w:r>
          </w:p>
        </w:tc>
        <w:tc>
          <w:tcPr>
            <w:tcW w:w="60" w:type="dxa"/>
            <w:tcBorders/>
            <w:shd w:fill="FFFFFF" w:val="clear"/>
            <w:vAlign w:val="center"/>
          </w:tcPr>
          <w:p>
            <w:pPr>
              <w:pStyle w:val="TableContents"/>
              <w:bidi w:val="0"/>
              <w:spacing w:lineRule="auto" w:line="276" w:before="0" w:after="0"/>
              <w:jc w:val="right"/>
              <w:rPr/>
            </w:pPr>
            <w:r>
              <w:rPr/>
              <w:t> </w:t>
            </w:r>
          </w:p>
        </w:tc>
        <w:tc>
          <w:tcPr>
            <w:tcW w:w="60" w:type="dxa"/>
            <w:tcBorders/>
            <w:shd w:fill="FFFFFF" w:val="clear"/>
            <w:vAlign w:val="center"/>
          </w:tcPr>
          <w:p>
            <w:pPr>
              <w:pStyle w:val="TableContents"/>
              <w:bidi w:val="0"/>
              <w:spacing w:lineRule="auto" w:line="276" w:before="0" w:after="0"/>
              <w:jc w:val="right"/>
              <w:rPr/>
            </w:pPr>
            <w:r>
              <w:rPr/>
              <w:t> </w:t>
            </w:r>
          </w:p>
        </w:tc>
        <w:tc>
          <w:tcPr>
            <w:tcW w:w="1070"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3,863</w:t>
            </w:r>
          </w:p>
        </w:tc>
        <w:tc>
          <w:tcPr>
            <w:tcW w:w="60" w:type="dxa"/>
            <w:tcBorders/>
            <w:shd w:fill="FFFFFF" w:val="clear"/>
            <w:vAlign w:val="center"/>
          </w:tcPr>
          <w:p>
            <w:pPr>
              <w:pStyle w:val="TableContents"/>
              <w:bidi w:val="0"/>
              <w:spacing w:lineRule="auto" w:line="276" w:before="0" w:after="0"/>
              <w:jc w:val="right"/>
              <w:rPr/>
            </w:pPr>
            <w:r>
              <w:rPr/>
              <w:t> </w:t>
            </w:r>
          </w:p>
        </w:tc>
        <w:tc>
          <w:tcPr>
            <w:tcW w:w="60" w:type="dxa"/>
            <w:tcBorders/>
            <w:shd w:fill="FFFFFF" w:val="clear"/>
            <w:vAlign w:val="center"/>
          </w:tcPr>
          <w:p>
            <w:pPr>
              <w:pStyle w:val="TableContents"/>
              <w:bidi w:val="0"/>
              <w:spacing w:lineRule="auto" w:line="276" w:before="0" w:after="0"/>
              <w:jc w:val="right"/>
              <w:rPr/>
            </w:pPr>
            <w:r>
              <w:rPr/>
              <w:t> </w:t>
            </w:r>
          </w:p>
        </w:tc>
        <w:tc>
          <w:tcPr>
            <w:tcW w:w="620"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6,081</w:t>
            </w:r>
          </w:p>
        </w:tc>
      </w:tr>
      <w:tr>
        <w:trPr/>
        <w:tc>
          <w:tcPr>
            <w:tcW w:w="3380" w:type="dxa"/>
            <w:tcBorders>
              <w:bottom w:val="single" w:sz="8" w:space="0" w:color="000000"/>
            </w:tcBorders>
            <w:shd w:fill="CCEEFF" w:val="clear"/>
            <w:tcMar>
              <w:bottom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West</w:t>
            </w:r>
          </w:p>
        </w:tc>
        <w:tc>
          <w:tcPr>
            <w:tcW w:w="60" w:type="dxa"/>
            <w:tcBorders>
              <w:bottom w:val="single" w:sz="8"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137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67</w:t>
            </w:r>
          </w:p>
        </w:tc>
        <w:tc>
          <w:tcPr>
            <w:tcW w:w="6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119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6,853</w:t>
            </w:r>
          </w:p>
        </w:tc>
        <w:tc>
          <w:tcPr>
            <w:tcW w:w="6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107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3,969</w:t>
            </w:r>
          </w:p>
        </w:tc>
        <w:tc>
          <w:tcPr>
            <w:tcW w:w="6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2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10,822</w:t>
            </w:r>
          </w:p>
        </w:tc>
      </w:tr>
      <w:tr>
        <w:trPr/>
        <w:tc>
          <w:tcPr>
            <w:tcW w:w="3380" w:type="dxa"/>
            <w:tcBorders>
              <w:top w:val="single" w:sz="8" w:space="0" w:color="000000"/>
            </w:tcBorders>
            <w:shd w:fill="FFFFFF" w:val="clear"/>
            <w:tcMar>
              <w:top w:w="28" w:type="dxa"/>
            </w:tcMar>
            <w:vAlign w:val="center"/>
          </w:tcPr>
          <w:p>
            <w:pPr>
              <w:pStyle w:val="TableContents"/>
              <w:bidi w:val="0"/>
              <w:spacing w:lineRule="auto" w:line="276" w:before="0" w:after="0"/>
              <w:jc w:val="left"/>
              <w:rPr/>
            </w:pPr>
            <w:r>
              <w:rPr/>
              <w:t> </w:t>
            </w:r>
          </w:p>
        </w:tc>
        <w:tc>
          <w:tcPr>
            <w:tcW w:w="60" w:type="dxa"/>
            <w:tcBorders>
              <w:top w:val="single" w:sz="8" w:space="0" w:color="000000"/>
            </w:tcBorders>
            <w:shd w:fill="FFFFFF" w:val="clear"/>
            <w:tcMar>
              <w:top w:w="28" w:type="dxa"/>
            </w:tcMar>
            <w:vAlign w:val="center"/>
          </w:tcPr>
          <w:p>
            <w:pPr>
              <w:pStyle w:val="TableContents"/>
              <w:bidi w:val="0"/>
              <w:spacing w:lineRule="auto" w:line="276" w:before="0" w:after="0"/>
              <w:jc w:val="left"/>
              <w:rPr/>
            </w:pPr>
            <w:r>
              <w:rPr/>
              <w:t> </w:t>
            </w:r>
          </w:p>
        </w:tc>
        <w:tc>
          <w:tcPr>
            <w:tcW w:w="137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c>
          <w:tcPr>
            <w:tcW w:w="119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c>
          <w:tcPr>
            <w:tcW w:w="107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c>
          <w:tcPr>
            <w:tcW w:w="62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r>
      <w:tr>
        <w:trPr/>
        <w:tc>
          <w:tcPr>
            <w:tcW w:w="338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Consolidated total</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137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140</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119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13,915</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107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21,970</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2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35,885</w:t>
            </w:r>
          </w:p>
        </w:tc>
      </w:tr>
      <w:tr>
        <w:trPr/>
        <w:tc>
          <w:tcPr>
            <w:tcW w:w="3380" w:type="dxa"/>
            <w:tcBorders>
              <w:top w:val="double" w:sz="6" w:space="0" w:color="000000"/>
            </w:tcBorders>
            <w:shd w:fill="FFFFFF" w:val="clear"/>
            <w:tcMar>
              <w:top w:w="28" w:type="dxa"/>
            </w:tcMar>
            <w:vAlign w:val="center"/>
          </w:tcPr>
          <w:p>
            <w:pPr>
              <w:pStyle w:val="TableContents"/>
              <w:bidi w:val="0"/>
              <w:spacing w:lineRule="auto" w:line="276" w:before="0" w:after="0"/>
              <w:jc w:val="lef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left"/>
              <w:rPr/>
            </w:pPr>
            <w:r>
              <w:rPr/>
              <w:t> </w:t>
            </w:r>
          </w:p>
        </w:tc>
        <w:tc>
          <w:tcPr>
            <w:tcW w:w="137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119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107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62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r>
      <w:tr>
        <w:trPr/>
        <w:tc>
          <w:tcPr>
            <w:tcW w:w="338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Unconsolidated joint ventures (2)</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137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20</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119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3,631</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107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2,294</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2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5,925</w:t>
            </w:r>
          </w:p>
        </w:tc>
      </w:tr>
      <w:tr>
        <w:trPr/>
        <w:tc>
          <w:tcPr>
            <w:tcW w:w="3380" w:type="dxa"/>
            <w:tcBorders>
              <w:top w:val="double" w:sz="6" w:space="0" w:color="000000"/>
            </w:tcBorders>
            <w:shd w:fill="FFFFFF" w:val="clear"/>
            <w:tcMar>
              <w:top w:w="28" w:type="dxa"/>
            </w:tcMar>
            <w:vAlign w:val="center"/>
          </w:tcPr>
          <w:p>
            <w:pPr>
              <w:pStyle w:val="TableContents"/>
              <w:bidi w:val="0"/>
              <w:spacing w:lineRule="auto" w:line="276" w:before="0" w:after="0"/>
              <w:jc w:val="lef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left"/>
              <w:rPr/>
            </w:pPr>
            <w:r>
              <w:rPr/>
              <w:t> </w:t>
            </w:r>
          </w:p>
        </w:tc>
        <w:tc>
          <w:tcPr>
            <w:tcW w:w="137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119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107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c>
          <w:tcPr>
            <w:tcW w:w="620" w:type="dxa"/>
            <w:tcBorders>
              <w:top w:val="double" w:sz="6" w:space="0" w:color="000000"/>
            </w:tcBorders>
            <w:shd w:fill="FFFFFF" w:val="clear"/>
            <w:tcMar>
              <w:top w:w="28" w:type="dxa"/>
            </w:tcMar>
            <w:vAlign w:val="center"/>
          </w:tcPr>
          <w:p>
            <w:pPr>
              <w:pStyle w:val="TableContents"/>
              <w:bidi w:val="0"/>
              <w:spacing w:lineRule="auto" w:line="276" w:before="0" w:after="0"/>
              <w:jc w:val="right"/>
              <w:rPr/>
            </w:pPr>
            <w:r>
              <w:rPr/>
              <w:t> </w:t>
            </w:r>
          </w:p>
        </w:tc>
      </w:tr>
      <w:tr>
        <w:trPr/>
        <w:tc>
          <w:tcPr>
            <w:tcW w:w="3380" w:type="dxa"/>
            <w:tcBorders/>
            <w:shd w:fill="CCEEFF" w:val="cle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Owned</w:t>
            </w:r>
          </w:p>
        </w:tc>
        <w:tc>
          <w:tcPr>
            <w:tcW w:w="60" w:type="dxa"/>
            <w:tcBorders/>
            <w:shd w:fill="CCEEFF" w:val="clear"/>
            <w:vAlign w:val="center"/>
          </w:tcPr>
          <w:p>
            <w:pPr>
              <w:pStyle w:val="TableContents"/>
              <w:bidi w:val="0"/>
              <w:spacing w:lineRule="auto" w:line="276" w:before="0" w:after="0"/>
              <w:jc w:val="left"/>
              <w:rPr/>
            </w:pPr>
            <w:r>
              <w:rPr/>
              <w:t> </w:t>
            </w:r>
          </w:p>
        </w:tc>
        <w:tc>
          <w:tcPr>
            <w:tcW w:w="1370" w:type="dxa"/>
            <w:tcBorders/>
            <w:shd w:fill="CCEEFF" w:val="clear"/>
            <w:vAlign w:val="center"/>
          </w:tcPr>
          <w:p>
            <w:pPr>
              <w:pStyle w:val="TableContents"/>
              <w:bidi w:val="0"/>
              <w:spacing w:lineRule="auto" w:line="276" w:before="0" w:after="0"/>
              <w:jc w:val="right"/>
              <w:rPr/>
            </w:pPr>
            <w:r>
              <w:rPr/>
              <w:t> </w:t>
            </w:r>
          </w:p>
        </w:tc>
        <w:tc>
          <w:tcPr>
            <w:tcW w:w="60" w:type="dxa"/>
            <w:tcBorders/>
            <w:shd w:fill="CCEEFF" w:val="clear"/>
            <w:vAlign w:val="center"/>
          </w:tcPr>
          <w:p>
            <w:pPr>
              <w:pStyle w:val="TableContents"/>
              <w:bidi w:val="0"/>
              <w:spacing w:lineRule="auto" w:line="276" w:before="0" w:after="0"/>
              <w:jc w:val="right"/>
              <w:rPr/>
            </w:pPr>
            <w:r>
              <w:rPr/>
              <w:t> </w:t>
            </w:r>
          </w:p>
        </w:tc>
        <w:tc>
          <w:tcPr>
            <w:tcW w:w="60" w:type="dxa"/>
            <w:tcBorders/>
            <w:shd w:fill="CCEEFF" w:val="clear"/>
            <w:vAlign w:val="center"/>
          </w:tcPr>
          <w:p>
            <w:pPr>
              <w:pStyle w:val="TableContents"/>
              <w:bidi w:val="0"/>
              <w:spacing w:lineRule="auto" w:line="276" w:before="0" w:after="0"/>
              <w:jc w:val="right"/>
              <w:rPr/>
            </w:pPr>
            <w:r>
              <w:rPr/>
              <w:t> </w:t>
            </w:r>
          </w:p>
        </w:tc>
        <w:tc>
          <w:tcPr>
            <w:tcW w:w="1190"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3,982</w:t>
            </w:r>
          </w:p>
        </w:tc>
        <w:tc>
          <w:tcPr>
            <w:tcW w:w="60" w:type="dxa"/>
            <w:tcBorders/>
            <w:shd w:fill="CCEEFF" w:val="clear"/>
            <w:vAlign w:val="center"/>
          </w:tcPr>
          <w:p>
            <w:pPr>
              <w:pStyle w:val="TableContents"/>
              <w:bidi w:val="0"/>
              <w:spacing w:lineRule="auto" w:line="276" w:before="0" w:after="0"/>
              <w:jc w:val="right"/>
              <w:rPr/>
            </w:pPr>
            <w:r>
              <w:rPr/>
              <w:t> </w:t>
            </w:r>
          </w:p>
        </w:tc>
        <w:tc>
          <w:tcPr>
            <w:tcW w:w="60" w:type="dxa"/>
            <w:tcBorders/>
            <w:shd w:fill="CCEEFF" w:val="clear"/>
            <w:vAlign w:val="center"/>
          </w:tcPr>
          <w:p>
            <w:pPr>
              <w:pStyle w:val="TableContents"/>
              <w:bidi w:val="0"/>
              <w:spacing w:lineRule="auto" w:line="276" w:before="0" w:after="0"/>
              <w:jc w:val="right"/>
              <w:rPr/>
            </w:pPr>
            <w:r>
              <w:rPr/>
              <w:t> </w:t>
            </w:r>
          </w:p>
        </w:tc>
        <w:tc>
          <w:tcPr>
            <w:tcW w:w="1070"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1,514</w:t>
            </w:r>
          </w:p>
        </w:tc>
        <w:tc>
          <w:tcPr>
            <w:tcW w:w="60" w:type="dxa"/>
            <w:tcBorders/>
            <w:shd w:fill="CCEEFF" w:val="clear"/>
            <w:vAlign w:val="center"/>
          </w:tcPr>
          <w:p>
            <w:pPr>
              <w:pStyle w:val="TableContents"/>
              <w:bidi w:val="0"/>
              <w:spacing w:lineRule="auto" w:line="276" w:before="0" w:after="0"/>
              <w:jc w:val="right"/>
              <w:rPr/>
            </w:pPr>
            <w:r>
              <w:rPr/>
              <w:t> </w:t>
            </w:r>
          </w:p>
        </w:tc>
        <w:tc>
          <w:tcPr>
            <w:tcW w:w="60" w:type="dxa"/>
            <w:tcBorders/>
            <w:shd w:fill="CCEEFF" w:val="clear"/>
            <w:vAlign w:val="center"/>
          </w:tcPr>
          <w:p>
            <w:pPr>
              <w:pStyle w:val="TableContents"/>
              <w:bidi w:val="0"/>
              <w:spacing w:lineRule="auto" w:line="276" w:before="0" w:after="0"/>
              <w:jc w:val="right"/>
              <w:rPr/>
            </w:pPr>
            <w:r>
              <w:rPr/>
              <w:t> </w:t>
            </w:r>
          </w:p>
        </w:tc>
        <w:tc>
          <w:tcPr>
            <w:tcW w:w="620"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5,496</w:t>
            </w:r>
          </w:p>
        </w:tc>
      </w:tr>
      <w:tr>
        <w:trPr/>
        <w:tc>
          <w:tcPr>
            <w:tcW w:w="3380" w:type="dxa"/>
            <w:tcBorders/>
            <w:shd w:fill="FFFFFF" w:val="cle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Optioned</w:t>
            </w:r>
          </w:p>
        </w:tc>
        <w:tc>
          <w:tcPr>
            <w:tcW w:w="60" w:type="dxa"/>
            <w:tcBorders/>
            <w:shd w:fill="FFFFFF" w:val="clear"/>
            <w:vAlign w:val="center"/>
          </w:tcPr>
          <w:p>
            <w:pPr>
              <w:pStyle w:val="TableContents"/>
              <w:bidi w:val="0"/>
              <w:spacing w:lineRule="auto" w:line="276" w:before="0" w:after="0"/>
              <w:jc w:val="left"/>
              <w:rPr/>
            </w:pPr>
            <w:r>
              <w:rPr/>
              <w:t> </w:t>
            </w:r>
          </w:p>
        </w:tc>
        <w:tc>
          <w:tcPr>
            <w:tcW w:w="1370" w:type="dxa"/>
            <w:tcBorders/>
            <w:shd w:fill="FFFFFF" w:val="clear"/>
            <w:vAlign w:val="center"/>
          </w:tcPr>
          <w:p>
            <w:pPr>
              <w:pStyle w:val="TableContents"/>
              <w:bidi w:val="0"/>
              <w:spacing w:lineRule="auto" w:line="276" w:before="0" w:after="0"/>
              <w:jc w:val="right"/>
              <w:rPr/>
            </w:pPr>
            <w:r>
              <w:rPr/>
              <w:t> </w:t>
            </w:r>
          </w:p>
        </w:tc>
        <w:tc>
          <w:tcPr>
            <w:tcW w:w="60" w:type="dxa"/>
            <w:tcBorders/>
            <w:shd w:fill="FFFFFF" w:val="clear"/>
            <w:vAlign w:val="center"/>
          </w:tcPr>
          <w:p>
            <w:pPr>
              <w:pStyle w:val="TableContents"/>
              <w:bidi w:val="0"/>
              <w:spacing w:lineRule="auto" w:line="276" w:before="0" w:after="0"/>
              <w:jc w:val="right"/>
              <w:rPr/>
            </w:pPr>
            <w:r>
              <w:rPr/>
              <w:t> </w:t>
            </w:r>
          </w:p>
        </w:tc>
        <w:tc>
          <w:tcPr>
            <w:tcW w:w="60" w:type="dxa"/>
            <w:tcBorders/>
            <w:shd w:fill="FFFFFF" w:val="clear"/>
            <w:vAlign w:val="center"/>
          </w:tcPr>
          <w:p>
            <w:pPr>
              <w:pStyle w:val="TableContents"/>
              <w:bidi w:val="0"/>
              <w:spacing w:lineRule="auto" w:line="276" w:before="0" w:after="0"/>
              <w:jc w:val="right"/>
              <w:rPr/>
            </w:pPr>
            <w:r>
              <w:rPr/>
              <w:t> </w:t>
            </w:r>
          </w:p>
        </w:tc>
        <w:tc>
          <w:tcPr>
            <w:tcW w:w="1190"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9,931</w:t>
            </w:r>
          </w:p>
        </w:tc>
        <w:tc>
          <w:tcPr>
            <w:tcW w:w="60" w:type="dxa"/>
            <w:tcBorders/>
            <w:shd w:fill="FFFFFF" w:val="clear"/>
            <w:vAlign w:val="center"/>
          </w:tcPr>
          <w:p>
            <w:pPr>
              <w:pStyle w:val="TableContents"/>
              <w:bidi w:val="0"/>
              <w:spacing w:lineRule="auto" w:line="276" w:before="0" w:after="0"/>
              <w:jc w:val="right"/>
              <w:rPr/>
            </w:pPr>
            <w:r>
              <w:rPr/>
              <w:t> </w:t>
            </w:r>
          </w:p>
        </w:tc>
        <w:tc>
          <w:tcPr>
            <w:tcW w:w="60" w:type="dxa"/>
            <w:tcBorders/>
            <w:shd w:fill="FFFFFF" w:val="clear"/>
            <w:vAlign w:val="center"/>
          </w:tcPr>
          <w:p>
            <w:pPr>
              <w:pStyle w:val="TableContents"/>
              <w:bidi w:val="0"/>
              <w:spacing w:lineRule="auto" w:line="276" w:before="0" w:after="0"/>
              <w:jc w:val="right"/>
              <w:rPr/>
            </w:pPr>
            <w:r>
              <w:rPr/>
              <w:t> </w:t>
            </w:r>
          </w:p>
        </w:tc>
        <w:tc>
          <w:tcPr>
            <w:tcW w:w="1070"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20,456</w:t>
            </w:r>
          </w:p>
        </w:tc>
        <w:tc>
          <w:tcPr>
            <w:tcW w:w="60" w:type="dxa"/>
            <w:tcBorders/>
            <w:shd w:fill="FFFFFF" w:val="clear"/>
            <w:vAlign w:val="center"/>
          </w:tcPr>
          <w:p>
            <w:pPr>
              <w:pStyle w:val="TableContents"/>
              <w:bidi w:val="0"/>
              <w:spacing w:lineRule="auto" w:line="276" w:before="0" w:after="0"/>
              <w:jc w:val="right"/>
              <w:rPr/>
            </w:pPr>
            <w:r>
              <w:rPr/>
              <w:t> </w:t>
            </w:r>
          </w:p>
        </w:tc>
        <w:tc>
          <w:tcPr>
            <w:tcW w:w="60" w:type="dxa"/>
            <w:tcBorders/>
            <w:shd w:fill="FFFFFF" w:val="clear"/>
            <w:vAlign w:val="center"/>
          </w:tcPr>
          <w:p>
            <w:pPr>
              <w:pStyle w:val="TableContents"/>
              <w:bidi w:val="0"/>
              <w:spacing w:lineRule="auto" w:line="276" w:before="0" w:after="0"/>
              <w:jc w:val="right"/>
              <w:rPr/>
            </w:pPr>
            <w:r>
              <w:rPr/>
              <w:t> </w:t>
            </w:r>
          </w:p>
        </w:tc>
        <w:tc>
          <w:tcPr>
            <w:tcW w:w="620"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30,387</w:t>
            </w:r>
          </w:p>
        </w:tc>
      </w:tr>
      <w:tr>
        <w:trPr/>
        <w:tc>
          <w:tcPr>
            <w:tcW w:w="3380" w:type="dxa"/>
            <w:tcBorders>
              <w:bottom w:val="single" w:sz="8" w:space="0" w:color="000000"/>
            </w:tcBorders>
            <w:shd w:fill="CCEEFF" w:val="clear"/>
            <w:tcMar>
              <w:bottom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Construction to permanent financing lots</w:t>
            </w:r>
          </w:p>
        </w:tc>
        <w:tc>
          <w:tcPr>
            <w:tcW w:w="60" w:type="dxa"/>
            <w:tcBorders>
              <w:bottom w:val="single" w:sz="8"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137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119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w:t>
            </w:r>
          </w:p>
        </w:tc>
        <w:tc>
          <w:tcPr>
            <w:tcW w:w="6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107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w:t>
            </w:r>
          </w:p>
        </w:tc>
        <w:tc>
          <w:tcPr>
            <w:tcW w:w="6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20"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w:t>
            </w:r>
          </w:p>
        </w:tc>
      </w:tr>
      <w:tr>
        <w:trPr/>
        <w:tc>
          <w:tcPr>
            <w:tcW w:w="3380" w:type="dxa"/>
            <w:tcBorders>
              <w:top w:val="single" w:sz="8" w:space="0" w:color="000000"/>
            </w:tcBorders>
            <w:shd w:fill="FFFFFF" w:val="clear"/>
            <w:tcMar>
              <w:top w:w="28" w:type="dxa"/>
            </w:tcMar>
            <w:vAlign w:val="center"/>
          </w:tcPr>
          <w:p>
            <w:pPr>
              <w:pStyle w:val="TableContents"/>
              <w:bidi w:val="0"/>
              <w:spacing w:lineRule="auto" w:line="276" w:before="0" w:after="0"/>
              <w:jc w:val="left"/>
              <w:rPr/>
            </w:pPr>
            <w:r>
              <w:rPr/>
              <w:t> </w:t>
            </w:r>
          </w:p>
        </w:tc>
        <w:tc>
          <w:tcPr>
            <w:tcW w:w="60" w:type="dxa"/>
            <w:tcBorders>
              <w:top w:val="single" w:sz="8" w:space="0" w:color="000000"/>
            </w:tcBorders>
            <w:shd w:fill="FFFFFF" w:val="clear"/>
            <w:tcMar>
              <w:top w:w="28" w:type="dxa"/>
            </w:tcMar>
            <w:vAlign w:val="center"/>
          </w:tcPr>
          <w:p>
            <w:pPr>
              <w:pStyle w:val="TableContents"/>
              <w:bidi w:val="0"/>
              <w:spacing w:lineRule="auto" w:line="276" w:before="0" w:after="0"/>
              <w:jc w:val="left"/>
              <w:rPr/>
            </w:pPr>
            <w:r>
              <w:rPr/>
              <w:t> </w:t>
            </w:r>
          </w:p>
        </w:tc>
        <w:tc>
          <w:tcPr>
            <w:tcW w:w="137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c>
          <w:tcPr>
            <w:tcW w:w="119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c>
          <w:tcPr>
            <w:tcW w:w="107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c>
          <w:tcPr>
            <w:tcW w:w="620" w:type="dxa"/>
            <w:tcBorders>
              <w:top w:val="single" w:sz="8" w:space="0" w:color="000000"/>
            </w:tcBorders>
            <w:shd w:fill="FFFFFF" w:val="clear"/>
            <w:tcMar>
              <w:top w:w="28" w:type="dxa"/>
            </w:tcMar>
            <w:vAlign w:val="center"/>
          </w:tcPr>
          <w:p>
            <w:pPr>
              <w:pStyle w:val="TableContents"/>
              <w:bidi w:val="0"/>
              <w:spacing w:lineRule="auto" w:line="276" w:before="0" w:after="0"/>
              <w:jc w:val="right"/>
              <w:rPr/>
            </w:pPr>
            <w:r>
              <w:rPr/>
              <w:t> </w:t>
            </w:r>
          </w:p>
        </w:tc>
      </w:tr>
      <w:tr>
        <w:trPr/>
        <w:tc>
          <w:tcPr>
            <w:tcW w:w="338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Consolidated total</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137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119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13,915</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107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21,970</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pPr>
            <w:r>
              <w:rPr/>
              <w:t> </w:t>
            </w:r>
          </w:p>
        </w:tc>
        <w:tc>
          <w:tcPr>
            <w:tcW w:w="620" w:type="dxa"/>
            <w:tcBorders>
              <w:bottom w:val="double" w:sz="6"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35,885</w:t>
            </w:r>
          </w:p>
        </w:tc>
      </w:tr>
    </w:tbl>
    <w:p>
      <w:pPr>
        <w:pStyle w:val="TextBody"/>
        <w:bidi w:val="0"/>
        <w:spacing w:lineRule="atLeast" w:line="24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0"/>
              <w:jc w:val="left"/>
              <w:rPr>
                <w:i/>
                <w:sz w:val="20"/>
              </w:rPr>
            </w:pPr>
            <w:r>
              <w:rPr>
                <w:i/>
                <w:sz w:val="20"/>
              </w:rPr>
              <w:t xml:space="preserve">(1) </w:t>
            </w:r>
          </w:p>
        </w:tc>
        <w:tc>
          <w:tcPr>
            <w:tcW w:w="9916" w:type="dxa"/>
            <w:tcBorders/>
            <w:vAlign w:val="center"/>
          </w:tcPr>
          <w:p>
            <w:pPr>
              <w:pStyle w:val="TableContents"/>
              <w:bidi w:val="0"/>
              <w:spacing w:before="0" w:after="120"/>
              <w:jc w:val="left"/>
              <w:rPr>
                <w:sz w:val="20"/>
              </w:rPr>
            </w:pPr>
            <w:r>
              <w:rPr>
                <w:i/>
                <w:sz w:val="20"/>
              </w:rPr>
              <w:t>Active selling communities are open for sale communities with ten</w:t>
            </w:r>
            <w:r>
              <w:rPr>
                <w:sz w:val="20"/>
              </w:rPr>
              <w:t> </w:t>
            </w:r>
            <w:r>
              <w:rPr>
                <w:i/>
                <w:sz w:val="20"/>
              </w:rPr>
              <w:t>or more home sites available. We identify communities based on product type. Therefore, at times there are multiple communities at</w:t>
            </w:r>
            <w:r>
              <w:rPr>
                <w:sz w:val="20"/>
              </w:rPr>
              <w:t> </w:t>
            </w:r>
            <w:r>
              <w:rPr>
                <w:i/>
                <w:sz w:val="20"/>
              </w:rPr>
              <w:t>one</w:t>
            </w:r>
            <w:r>
              <w:rPr>
                <w:sz w:val="20"/>
              </w:rPr>
              <w:t> </w:t>
            </w:r>
            <w:r>
              <w:rPr>
                <w:i/>
                <w:sz w:val="20"/>
              </w:rPr>
              <w:t xml:space="preserve">land site. </w:t>
            </w:r>
          </w:p>
        </w:tc>
      </w:tr>
      <w:tr>
        <w:trPr/>
        <w:tc>
          <w:tcPr>
            <w:tcW w:w="75"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0"/>
              <w:jc w:val="left"/>
              <w:rPr/>
            </w:pPr>
            <w:r>
              <w:rPr/>
              <w:t> </w:t>
            </w:r>
          </w:p>
        </w:tc>
        <w:tc>
          <w:tcPr>
            <w:tcW w:w="9916"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0"/>
              <w:jc w:val="left"/>
              <w:rPr>
                <w:i/>
                <w:sz w:val="20"/>
              </w:rPr>
            </w:pPr>
            <w:r>
              <w:rPr>
                <w:i/>
                <w:sz w:val="20"/>
              </w:rPr>
              <w:t xml:space="preserve">(2) </w:t>
            </w:r>
          </w:p>
        </w:tc>
        <w:tc>
          <w:tcPr>
            <w:tcW w:w="9916" w:type="dxa"/>
            <w:tcBorders/>
            <w:vAlign w:val="center"/>
          </w:tcPr>
          <w:p>
            <w:pPr>
              <w:pStyle w:val="TableContents"/>
              <w:bidi w:val="0"/>
              <w:spacing w:before="0" w:after="0"/>
              <w:jc w:val="left"/>
              <w:rPr>
                <w:i/>
                <w:sz w:val="20"/>
              </w:rPr>
            </w:pPr>
            <w:r>
              <w:rPr>
                <w:i/>
                <w:sz w:val="20"/>
              </w:rPr>
              <w:t xml:space="preserve">Represents active selling communities and home sites for our unconsolidated homebuilding joint ventures for the period. We provide this data as a supplement to our consolidated results as an indicator of the volume managed in our unconsolidated joint ventures. See Note 18 to the Condensed Consolidated Financial Statements for a further discussion of our unconsolidated joint ventures. </w:t>
            </w:r>
          </w:p>
        </w:tc>
      </w:tr>
    </w:tbl>
    <w:p>
      <w:pPr>
        <w:pStyle w:val="TextBody"/>
        <w:bidi w:val="0"/>
        <w:spacing w:lineRule="atLeast" w:line="240" w:before="0" w:after="0"/>
        <w:jc w:val="left"/>
        <w:rPr/>
      </w:pPr>
      <w:r>
        <w:rPr/>
        <w:t> </w:t>
      </w:r>
    </w:p>
    <w:p>
      <w:pPr>
        <w:pStyle w:val="TextBody"/>
        <w:bidi w:val="0"/>
        <w:spacing w:lineRule="auto" w:line="276" w:before="0" w:after="0"/>
        <w:jc w:val="center"/>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pPr>
      <w:hyperlink w:anchor="TOC_TableofContent">
        <w:r>
          <w:rPr>
            <w:rStyle w:val="InternetLink"/>
            <w:strike w:val="false"/>
            <w:dstrike w:val="false"/>
            <w:color w:val="0000FF"/>
            <w:sz w:val="20"/>
            <w:u w:val="single"/>
            <w:effect w:val="none"/>
          </w:rPr>
          <w:t>Table of Contents</w:t>
        </w:r>
      </w:hyperlink>
    </w:p>
    <w:p>
      <w:pPr>
        <w:pStyle w:val="TextBody"/>
        <w:bidi w:val="0"/>
        <w:spacing w:lineRule="atLeast" w:line="240" w:before="200" w:after="200"/>
        <w:ind w:left="0" w:right="0" w:firstLine="900"/>
        <w:jc w:val="left"/>
        <w:rPr/>
      </w:pPr>
      <w:r>
        <w:rPr>
          <w:sz w:val="20"/>
        </w:rPr>
        <w:t xml:space="preserve">The following table summarizes our started or completed unsold homes and models, excluding unconsolidated joint ventures, in substantially completed communities. The decrease in started or completed unsold homes from </w:t>
      </w:r>
      <w:r>
        <w:rPr>
          <w:rFonts w:ascii="Times New Roman" w:hAnsi="Times New Roman"/>
          <w:sz w:val="20"/>
        </w:rPr>
        <w:t>October 31, 2025</w:t>
      </w:r>
      <w:r>
        <w:rPr/>
        <w:t xml:space="preserve"> </w:t>
      </w:r>
      <w:r>
        <w:rPr>
          <w:sz w:val="20"/>
        </w:rPr>
        <w:t xml:space="preserve">to </w:t>
      </w:r>
      <w:r>
        <w:rPr>
          <w:rFonts w:ascii="Times New Roman" w:hAnsi="Times New Roman"/>
          <w:sz w:val="20"/>
        </w:rPr>
        <w:t>July 31, 2026</w:t>
      </w:r>
      <w:r>
        <w:rPr/>
        <w:t xml:space="preserve"> </w:t>
      </w:r>
      <w:r>
        <w:rPr>
          <w:sz w:val="20"/>
        </w:rPr>
        <w:t>is due to a concerted effort to manage inventory levels by aligning our starts pace with sales pace at each community.</w:t>
      </w:r>
    </w:p>
    <w:tbl>
      <w:tblPr>
        <w:tblW w:w="10205" w:type="dxa"/>
        <w:jc w:val="left"/>
        <w:tblInd w:w="0" w:type="dxa"/>
        <w:tblLayout w:type="fixed"/>
        <w:tblCellMar>
          <w:top w:w="0" w:type="dxa"/>
          <w:left w:w="0" w:type="dxa"/>
          <w:bottom w:w="28" w:type="dxa"/>
          <w:right w:w="0" w:type="dxa"/>
        </w:tblCellMar>
      </w:tblPr>
      <w:tblGrid>
        <w:gridCol w:w="6080"/>
        <w:gridCol w:w="60"/>
        <w:gridCol w:w="605"/>
        <w:gridCol w:w="60"/>
        <w:gridCol w:w="60"/>
        <w:gridCol w:w="635"/>
        <w:gridCol w:w="60"/>
        <w:gridCol w:w="60"/>
        <w:gridCol w:w="485"/>
        <w:gridCol w:w="60"/>
        <w:gridCol w:w="60"/>
        <w:gridCol w:w="605"/>
        <w:gridCol w:w="60"/>
        <w:gridCol w:w="60"/>
        <w:gridCol w:w="635"/>
        <w:gridCol w:w="60"/>
        <w:gridCol w:w="60"/>
        <w:gridCol w:w="500"/>
      </w:tblGrid>
      <w:tr>
        <w:trPr/>
        <w:tc>
          <w:tcPr>
            <w:tcW w:w="6080" w:type="dxa"/>
            <w:tcBorders>
              <w:bottom w:val="single" w:sz="8" w:space="0" w:color="000000"/>
            </w:tcBorders>
            <w:vAlign w:val="center"/>
          </w:tcPr>
          <w:p>
            <w:pPr>
              <w:pStyle w:val="TableContents"/>
              <w:bidi w:val="0"/>
              <w:spacing w:lineRule="auto" w:line="276" w:before="0" w:after="0"/>
              <w:jc w:val="left"/>
              <w:rPr/>
            </w:pPr>
            <w:r>
              <w:rPr/>
              <w:t> </w:t>
            </w:r>
          </w:p>
        </w:tc>
        <w:tc>
          <w:tcPr>
            <w:tcW w:w="60" w:type="dxa"/>
            <w:tcBorders>
              <w:bottom w:val="single" w:sz="8" w:space="0" w:color="000000"/>
            </w:tcBorders>
            <w:vAlign w:val="center"/>
          </w:tcPr>
          <w:p>
            <w:pPr>
              <w:pStyle w:val="TableContents"/>
              <w:bidi w:val="0"/>
              <w:spacing w:lineRule="auto" w:line="276" w:before="0" w:after="0"/>
              <w:jc w:val="left"/>
              <w:rPr/>
            </w:pPr>
            <w:r>
              <w:rPr/>
              <w:t> </w:t>
            </w:r>
          </w:p>
        </w:tc>
        <w:tc>
          <w:tcPr>
            <w:tcW w:w="1965" w:type="dxa"/>
            <w:gridSpan w:val="7"/>
            <w:tcBorders>
              <w:bottom w:val="single" w:sz="8" w:space="0" w:color="000000"/>
            </w:tcBorders>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July 31, 2026</w:t>
            </w:r>
          </w:p>
        </w:tc>
        <w:tc>
          <w:tcPr>
            <w:tcW w:w="60" w:type="dxa"/>
            <w:tcBorders>
              <w:bottom w:val="single" w:sz="8" w:space="0" w:color="000000"/>
            </w:tcBorders>
            <w:vAlign w:val="center"/>
          </w:tcPr>
          <w:p>
            <w:pPr>
              <w:pStyle w:val="TableContents"/>
              <w:bidi w:val="0"/>
              <w:spacing w:lineRule="auto" w:line="276" w:before="0" w:after="0"/>
              <w:jc w:val="left"/>
              <w:rPr/>
            </w:pPr>
            <w:r>
              <w:rPr/>
              <w:t> </w:t>
            </w:r>
          </w:p>
        </w:tc>
        <w:tc>
          <w:tcPr>
            <w:tcW w:w="60" w:type="dxa"/>
            <w:tcBorders>
              <w:bottom w:val="single" w:sz="8" w:space="0" w:color="000000"/>
            </w:tcBorders>
            <w:vAlign w:val="center"/>
          </w:tcPr>
          <w:p>
            <w:pPr>
              <w:pStyle w:val="TableContents"/>
              <w:bidi w:val="0"/>
              <w:spacing w:lineRule="auto" w:line="276" w:before="0" w:after="0"/>
              <w:jc w:val="left"/>
              <w:rPr/>
            </w:pPr>
            <w:r>
              <w:rPr/>
              <w:t> </w:t>
            </w:r>
          </w:p>
        </w:tc>
        <w:tc>
          <w:tcPr>
            <w:tcW w:w="1980" w:type="dxa"/>
            <w:gridSpan w:val="7"/>
            <w:tcBorders>
              <w:bottom w:val="single" w:sz="8" w:space="0" w:color="000000"/>
            </w:tcBorders>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October 31, 2025</w:t>
            </w:r>
          </w:p>
        </w:tc>
      </w:tr>
      <w:tr>
        <w:trPr/>
        <w:tc>
          <w:tcPr>
            <w:tcW w:w="6080" w:type="dxa"/>
            <w:tcBorders>
              <w:top w:val="single" w:sz="8" w:space="0" w:color="000000"/>
            </w:tcBorders>
            <w:tcMar>
              <w:top w:w="28" w:type="dxa"/>
              <w:bottom w:w="0" w:type="dxa"/>
            </w:tcMar>
            <w:vAlign w:val="center"/>
          </w:tcPr>
          <w:p>
            <w:pPr>
              <w:pStyle w:val="TableContents"/>
              <w:bidi w:val="0"/>
              <w:spacing w:lineRule="auto" w:line="276" w:before="0" w:after="0"/>
              <w:jc w:val="left"/>
              <w:rPr/>
            </w:pPr>
            <w:r>
              <w:rPr/>
              <w:t> </w:t>
            </w:r>
          </w:p>
        </w:tc>
        <w:tc>
          <w:tcPr>
            <w:tcW w:w="60" w:type="dxa"/>
            <w:tcBorders>
              <w:top w:val="single" w:sz="8" w:space="0" w:color="000000"/>
            </w:tcBorders>
            <w:tcMar>
              <w:top w:w="28" w:type="dxa"/>
              <w:bottom w:w="0" w:type="dxa"/>
            </w:tcMar>
            <w:vAlign w:val="center"/>
          </w:tcPr>
          <w:p>
            <w:pPr>
              <w:pStyle w:val="TableContents"/>
              <w:bidi w:val="0"/>
              <w:spacing w:lineRule="auto" w:line="276" w:before="0" w:after="0"/>
              <w:jc w:val="left"/>
              <w:rPr/>
            </w:pPr>
            <w:r>
              <w:rPr/>
              <w:t> </w:t>
            </w:r>
          </w:p>
        </w:tc>
        <w:tc>
          <w:tcPr>
            <w:tcW w:w="605" w:type="dxa"/>
            <w:tcBorders>
              <w:top w:val="single" w:sz="8" w:space="0" w:color="000000"/>
            </w:tcBorders>
            <w:tcMar>
              <w:top w:w="28" w:type="dxa"/>
              <w:bottom w:w="0" w:type="dxa"/>
            </w:tcMar>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Unsold</w:t>
            </w:r>
          </w:p>
        </w:tc>
        <w:tc>
          <w:tcPr>
            <w:tcW w:w="60" w:type="dxa"/>
            <w:tcBorders>
              <w:top w:val="single" w:sz="8" w:space="0" w:color="000000"/>
            </w:tcBorders>
            <w:tcMar>
              <w:top w:w="28" w:type="dxa"/>
              <w:bottom w:w="0" w:type="dxa"/>
            </w:tcMar>
            <w:vAlign w:val="center"/>
          </w:tcPr>
          <w:p>
            <w:pPr>
              <w:pStyle w:val="TableContents"/>
              <w:bidi w:val="0"/>
              <w:spacing w:lineRule="auto" w:line="276" w:before="0" w:after="0"/>
              <w:jc w:val="left"/>
              <w:rPr/>
            </w:pPr>
            <w:r>
              <w:rPr/>
              <w:t> </w:t>
            </w:r>
          </w:p>
        </w:tc>
        <w:tc>
          <w:tcPr>
            <w:tcW w:w="60" w:type="dxa"/>
            <w:tcBorders>
              <w:top w:val="single" w:sz="8" w:space="0" w:color="000000"/>
            </w:tcBorders>
            <w:tcMar>
              <w:top w:w="28" w:type="dxa"/>
              <w:bottom w:w="0" w:type="dxa"/>
            </w:tcMar>
            <w:vAlign w:val="center"/>
          </w:tcPr>
          <w:p>
            <w:pPr>
              <w:pStyle w:val="TableContents"/>
              <w:bidi w:val="0"/>
              <w:spacing w:lineRule="auto" w:line="276" w:before="0" w:after="0"/>
              <w:jc w:val="left"/>
              <w:rPr/>
            </w:pPr>
            <w:r>
              <w:rPr/>
              <w:t> </w:t>
            </w:r>
          </w:p>
        </w:tc>
        <w:tc>
          <w:tcPr>
            <w:tcW w:w="635" w:type="dxa"/>
            <w:tcBorders>
              <w:top w:val="single" w:sz="8" w:space="0" w:color="000000"/>
            </w:tcBorders>
            <w:tcMar>
              <w:top w:w="28" w:type="dxa"/>
              <w:bottom w:w="0" w:type="dxa"/>
            </w:tcMar>
            <w:vAlign w:val="center"/>
          </w:tcPr>
          <w:p>
            <w:pPr>
              <w:pStyle w:val="TableContents"/>
              <w:bidi w:val="0"/>
              <w:spacing w:lineRule="auto" w:line="276" w:before="0" w:after="0"/>
              <w:jc w:val="left"/>
              <w:rPr/>
            </w:pPr>
            <w:r>
              <w:rPr/>
              <w:t> </w:t>
            </w:r>
          </w:p>
        </w:tc>
        <w:tc>
          <w:tcPr>
            <w:tcW w:w="60" w:type="dxa"/>
            <w:tcBorders>
              <w:top w:val="single" w:sz="8" w:space="0" w:color="000000"/>
            </w:tcBorders>
            <w:tcMar>
              <w:top w:w="28" w:type="dxa"/>
              <w:bottom w:w="0" w:type="dxa"/>
            </w:tcMar>
            <w:vAlign w:val="center"/>
          </w:tcPr>
          <w:p>
            <w:pPr>
              <w:pStyle w:val="TableContents"/>
              <w:bidi w:val="0"/>
              <w:spacing w:lineRule="auto" w:line="276" w:before="0" w:after="0"/>
              <w:jc w:val="left"/>
              <w:rPr/>
            </w:pPr>
            <w:r>
              <w:rPr/>
              <w:t> </w:t>
            </w:r>
          </w:p>
        </w:tc>
        <w:tc>
          <w:tcPr>
            <w:tcW w:w="60" w:type="dxa"/>
            <w:tcBorders>
              <w:top w:val="single" w:sz="8" w:space="0" w:color="000000"/>
            </w:tcBorders>
            <w:tcMar>
              <w:top w:w="28" w:type="dxa"/>
              <w:bottom w:w="0" w:type="dxa"/>
            </w:tcMar>
            <w:vAlign w:val="center"/>
          </w:tcPr>
          <w:p>
            <w:pPr>
              <w:pStyle w:val="TableContents"/>
              <w:bidi w:val="0"/>
              <w:spacing w:lineRule="auto" w:line="276" w:before="0" w:after="0"/>
              <w:jc w:val="left"/>
              <w:rPr/>
            </w:pPr>
            <w:r>
              <w:rPr/>
              <w:t> </w:t>
            </w:r>
          </w:p>
        </w:tc>
        <w:tc>
          <w:tcPr>
            <w:tcW w:w="485" w:type="dxa"/>
            <w:tcBorders>
              <w:top w:val="single" w:sz="8" w:space="0" w:color="000000"/>
            </w:tcBorders>
            <w:tcMar>
              <w:top w:w="28" w:type="dxa"/>
              <w:bottom w:w="0" w:type="dxa"/>
            </w:tcMar>
            <w:vAlign w:val="center"/>
          </w:tcPr>
          <w:p>
            <w:pPr>
              <w:pStyle w:val="TableContents"/>
              <w:bidi w:val="0"/>
              <w:spacing w:lineRule="auto" w:line="276" w:before="0" w:after="0"/>
              <w:jc w:val="left"/>
              <w:rPr/>
            </w:pPr>
            <w:r>
              <w:rPr/>
              <w:t> </w:t>
            </w:r>
          </w:p>
        </w:tc>
        <w:tc>
          <w:tcPr>
            <w:tcW w:w="60" w:type="dxa"/>
            <w:tcBorders>
              <w:top w:val="single" w:sz="8" w:space="0" w:color="000000"/>
            </w:tcBorders>
            <w:tcMar>
              <w:top w:w="28" w:type="dxa"/>
              <w:bottom w:w="0" w:type="dxa"/>
            </w:tcMar>
            <w:vAlign w:val="center"/>
          </w:tcPr>
          <w:p>
            <w:pPr>
              <w:pStyle w:val="TableContents"/>
              <w:bidi w:val="0"/>
              <w:spacing w:lineRule="auto" w:line="276" w:before="0" w:after="0"/>
              <w:jc w:val="left"/>
              <w:rPr/>
            </w:pPr>
            <w:r>
              <w:rPr/>
              <w:t> </w:t>
            </w:r>
          </w:p>
        </w:tc>
        <w:tc>
          <w:tcPr>
            <w:tcW w:w="60" w:type="dxa"/>
            <w:tcBorders>
              <w:top w:val="single" w:sz="8" w:space="0" w:color="000000"/>
            </w:tcBorders>
            <w:tcMar>
              <w:top w:w="28" w:type="dxa"/>
              <w:bottom w:w="0" w:type="dxa"/>
            </w:tcMar>
            <w:vAlign w:val="center"/>
          </w:tcPr>
          <w:p>
            <w:pPr>
              <w:pStyle w:val="TableContents"/>
              <w:bidi w:val="0"/>
              <w:spacing w:lineRule="auto" w:line="276" w:before="0" w:after="0"/>
              <w:jc w:val="left"/>
              <w:rPr/>
            </w:pPr>
            <w:r>
              <w:rPr/>
              <w:t> </w:t>
            </w:r>
          </w:p>
        </w:tc>
        <w:tc>
          <w:tcPr>
            <w:tcW w:w="605" w:type="dxa"/>
            <w:tcBorders>
              <w:top w:val="single" w:sz="8" w:space="0" w:color="000000"/>
            </w:tcBorders>
            <w:tcMar>
              <w:top w:w="28" w:type="dxa"/>
              <w:bottom w:w="0" w:type="dxa"/>
            </w:tcMar>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Unsold</w:t>
            </w:r>
          </w:p>
        </w:tc>
        <w:tc>
          <w:tcPr>
            <w:tcW w:w="60" w:type="dxa"/>
            <w:tcBorders>
              <w:top w:val="single" w:sz="8" w:space="0" w:color="000000"/>
            </w:tcBorders>
            <w:tcMar>
              <w:top w:w="28" w:type="dxa"/>
              <w:bottom w:w="0" w:type="dxa"/>
            </w:tcMar>
            <w:vAlign w:val="center"/>
          </w:tcPr>
          <w:p>
            <w:pPr>
              <w:pStyle w:val="TableContents"/>
              <w:bidi w:val="0"/>
              <w:spacing w:lineRule="auto" w:line="276" w:before="0" w:after="0"/>
              <w:jc w:val="left"/>
              <w:rPr/>
            </w:pPr>
            <w:r>
              <w:rPr/>
              <w:t> </w:t>
            </w:r>
          </w:p>
        </w:tc>
        <w:tc>
          <w:tcPr>
            <w:tcW w:w="60" w:type="dxa"/>
            <w:tcBorders>
              <w:top w:val="single" w:sz="8" w:space="0" w:color="000000"/>
            </w:tcBorders>
            <w:tcMar>
              <w:top w:w="28" w:type="dxa"/>
              <w:bottom w:w="0" w:type="dxa"/>
            </w:tcMar>
            <w:vAlign w:val="center"/>
          </w:tcPr>
          <w:p>
            <w:pPr>
              <w:pStyle w:val="TableContents"/>
              <w:bidi w:val="0"/>
              <w:spacing w:lineRule="auto" w:line="276" w:before="0" w:after="0"/>
              <w:jc w:val="left"/>
              <w:rPr/>
            </w:pPr>
            <w:r>
              <w:rPr/>
              <w:t> </w:t>
            </w:r>
          </w:p>
        </w:tc>
        <w:tc>
          <w:tcPr>
            <w:tcW w:w="635" w:type="dxa"/>
            <w:tcBorders>
              <w:top w:val="single" w:sz="8" w:space="0" w:color="000000"/>
            </w:tcBorders>
            <w:tcMar>
              <w:top w:w="28" w:type="dxa"/>
              <w:bottom w:w="0" w:type="dxa"/>
            </w:tcMar>
            <w:vAlign w:val="center"/>
          </w:tcPr>
          <w:p>
            <w:pPr>
              <w:pStyle w:val="TableContents"/>
              <w:bidi w:val="0"/>
              <w:spacing w:lineRule="auto" w:line="276" w:before="0" w:after="0"/>
              <w:jc w:val="left"/>
              <w:rPr/>
            </w:pPr>
            <w:r>
              <w:rPr/>
              <w:t> </w:t>
            </w:r>
          </w:p>
        </w:tc>
        <w:tc>
          <w:tcPr>
            <w:tcW w:w="60" w:type="dxa"/>
            <w:tcBorders>
              <w:top w:val="single" w:sz="8" w:space="0" w:color="000000"/>
            </w:tcBorders>
            <w:tcMar>
              <w:top w:w="28" w:type="dxa"/>
              <w:bottom w:w="0" w:type="dxa"/>
            </w:tcMar>
            <w:vAlign w:val="center"/>
          </w:tcPr>
          <w:p>
            <w:pPr>
              <w:pStyle w:val="TableContents"/>
              <w:bidi w:val="0"/>
              <w:spacing w:lineRule="auto" w:line="276" w:before="0" w:after="0"/>
              <w:jc w:val="left"/>
              <w:rPr/>
            </w:pPr>
            <w:r>
              <w:rPr/>
              <w:t> </w:t>
            </w:r>
          </w:p>
        </w:tc>
        <w:tc>
          <w:tcPr>
            <w:tcW w:w="60" w:type="dxa"/>
            <w:tcBorders>
              <w:top w:val="single" w:sz="8" w:space="0" w:color="000000"/>
            </w:tcBorders>
            <w:tcMar>
              <w:top w:w="28" w:type="dxa"/>
              <w:bottom w:w="0" w:type="dxa"/>
            </w:tcMar>
            <w:vAlign w:val="center"/>
          </w:tcPr>
          <w:p>
            <w:pPr>
              <w:pStyle w:val="TableContents"/>
              <w:bidi w:val="0"/>
              <w:spacing w:lineRule="auto" w:line="276" w:before="0" w:after="0"/>
              <w:jc w:val="left"/>
              <w:rPr/>
            </w:pPr>
            <w:r>
              <w:rPr/>
              <w:t> </w:t>
            </w:r>
          </w:p>
        </w:tc>
        <w:tc>
          <w:tcPr>
            <w:tcW w:w="500" w:type="dxa"/>
            <w:tcBorders>
              <w:top w:val="single" w:sz="8" w:space="0" w:color="000000"/>
            </w:tcBorders>
            <w:tcMar>
              <w:top w:w="28" w:type="dxa"/>
              <w:bottom w:w="0" w:type="dxa"/>
            </w:tcMar>
            <w:vAlign w:val="center"/>
          </w:tcPr>
          <w:p>
            <w:pPr>
              <w:pStyle w:val="TableContents"/>
              <w:bidi w:val="0"/>
              <w:spacing w:lineRule="auto" w:line="276" w:before="0" w:after="0"/>
              <w:jc w:val="left"/>
              <w:rPr/>
            </w:pPr>
            <w:r>
              <w:rPr/>
              <w:t> </w:t>
            </w:r>
          </w:p>
        </w:tc>
      </w:tr>
      <w:tr>
        <w:trPr/>
        <w:tc>
          <w:tcPr>
            <w:tcW w:w="6080" w:type="dxa"/>
            <w:tcBorders>
              <w:bottom w:val="single" w:sz="8" w:space="0" w:color="000000"/>
            </w:tcBorders>
            <w:vAlign w:val="center"/>
          </w:tcPr>
          <w:p>
            <w:pPr>
              <w:pStyle w:val="TableContents"/>
              <w:bidi w:val="0"/>
              <w:spacing w:lineRule="auto" w:line="276" w:before="0" w:after="0"/>
              <w:jc w:val="left"/>
              <w:rPr/>
            </w:pPr>
            <w:r>
              <w:rPr/>
              <w:t> </w:t>
            </w:r>
          </w:p>
        </w:tc>
        <w:tc>
          <w:tcPr>
            <w:tcW w:w="60" w:type="dxa"/>
            <w:tcBorders>
              <w:bottom w:val="single" w:sz="8" w:space="0" w:color="000000"/>
            </w:tcBorders>
            <w:vAlign w:val="center"/>
          </w:tcPr>
          <w:p>
            <w:pPr>
              <w:pStyle w:val="TableContents"/>
              <w:bidi w:val="0"/>
              <w:spacing w:lineRule="auto" w:line="276" w:before="0" w:after="0"/>
              <w:jc w:val="left"/>
              <w:rPr/>
            </w:pPr>
            <w:r>
              <w:rPr/>
              <w:t> </w:t>
            </w:r>
          </w:p>
        </w:tc>
        <w:tc>
          <w:tcPr>
            <w:tcW w:w="605" w:type="dxa"/>
            <w:tcBorders>
              <w:bottom w:val="single" w:sz="8" w:space="0" w:color="000000"/>
            </w:tcBorders>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Homes</w:t>
            </w:r>
          </w:p>
        </w:tc>
        <w:tc>
          <w:tcPr>
            <w:tcW w:w="60" w:type="dxa"/>
            <w:tcBorders>
              <w:bottom w:val="single" w:sz="8" w:space="0" w:color="000000"/>
            </w:tcBorders>
            <w:vAlign w:val="center"/>
          </w:tcPr>
          <w:p>
            <w:pPr>
              <w:pStyle w:val="TableContents"/>
              <w:bidi w:val="0"/>
              <w:spacing w:lineRule="auto" w:line="276" w:before="0" w:after="0"/>
              <w:jc w:val="left"/>
              <w:rPr/>
            </w:pPr>
            <w:r>
              <w:rPr/>
              <w:t> </w:t>
            </w:r>
          </w:p>
        </w:tc>
        <w:tc>
          <w:tcPr>
            <w:tcW w:w="60" w:type="dxa"/>
            <w:tcBorders>
              <w:bottom w:val="single" w:sz="8" w:space="0" w:color="000000"/>
            </w:tcBorders>
            <w:vAlign w:val="center"/>
          </w:tcPr>
          <w:p>
            <w:pPr>
              <w:pStyle w:val="TableContents"/>
              <w:bidi w:val="0"/>
              <w:spacing w:lineRule="auto" w:line="276" w:before="0" w:after="0"/>
              <w:jc w:val="left"/>
              <w:rPr/>
            </w:pPr>
            <w:r>
              <w:rPr/>
              <w:t> </w:t>
            </w:r>
          </w:p>
        </w:tc>
        <w:tc>
          <w:tcPr>
            <w:tcW w:w="635" w:type="dxa"/>
            <w:tcBorders>
              <w:bottom w:val="single" w:sz="8" w:space="0" w:color="000000"/>
            </w:tcBorders>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Models</w:t>
            </w:r>
          </w:p>
        </w:tc>
        <w:tc>
          <w:tcPr>
            <w:tcW w:w="60" w:type="dxa"/>
            <w:tcBorders>
              <w:bottom w:val="single" w:sz="8" w:space="0" w:color="000000"/>
            </w:tcBorders>
            <w:vAlign w:val="center"/>
          </w:tcPr>
          <w:p>
            <w:pPr>
              <w:pStyle w:val="TableContents"/>
              <w:bidi w:val="0"/>
              <w:spacing w:lineRule="auto" w:line="276" w:before="0" w:after="0"/>
              <w:jc w:val="left"/>
              <w:rPr/>
            </w:pPr>
            <w:r>
              <w:rPr/>
              <w:t> </w:t>
            </w:r>
          </w:p>
        </w:tc>
        <w:tc>
          <w:tcPr>
            <w:tcW w:w="60" w:type="dxa"/>
            <w:tcBorders>
              <w:bottom w:val="single" w:sz="8" w:space="0" w:color="000000"/>
            </w:tcBorders>
            <w:vAlign w:val="center"/>
          </w:tcPr>
          <w:p>
            <w:pPr>
              <w:pStyle w:val="TableContents"/>
              <w:bidi w:val="0"/>
              <w:spacing w:lineRule="auto" w:line="276" w:before="0" w:after="0"/>
              <w:jc w:val="left"/>
              <w:rPr/>
            </w:pPr>
            <w:r>
              <w:rPr/>
              <w:t> </w:t>
            </w:r>
          </w:p>
        </w:tc>
        <w:tc>
          <w:tcPr>
            <w:tcW w:w="485" w:type="dxa"/>
            <w:tcBorders>
              <w:bottom w:val="single" w:sz="8" w:space="0" w:color="000000"/>
            </w:tcBorders>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Total</w:t>
            </w:r>
          </w:p>
        </w:tc>
        <w:tc>
          <w:tcPr>
            <w:tcW w:w="60" w:type="dxa"/>
            <w:tcBorders>
              <w:bottom w:val="single" w:sz="8" w:space="0" w:color="000000"/>
            </w:tcBorders>
            <w:vAlign w:val="center"/>
          </w:tcPr>
          <w:p>
            <w:pPr>
              <w:pStyle w:val="TableContents"/>
              <w:bidi w:val="0"/>
              <w:spacing w:lineRule="auto" w:line="276" w:before="0" w:after="0"/>
              <w:jc w:val="left"/>
              <w:rPr/>
            </w:pPr>
            <w:r>
              <w:rPr/>
              <w:t> </w:t>
            </w:r>
          </w:p>
        </w:tc>
        <w:tc>
          <w:tcPr>
            <w:tcW w:w="60" w:type="dxa"/>
            <w:tcBorders>
              <w:bottom w:val="single" w:sz="8" w:space="0" w:color="000000"/>
            </w:tcBorders>
            <w:vAlign w:val="center"/>
          </w:tcPr>
          <w:p>
            <w:pPr>
              <w:pStyle w:val="TableContents"/>
              <w:bidi w:val="0"/>
              <w:spacing w:lineRule="auto" w:line="276" w:before="0" w:after="0"/>
              <w:jc w:val="left"/>
              <w:rPr/>
            </w:pPr>
            <w:r>
              <w:rPr/>
              <w:t> </w:t>
            </w:r>
          </w:p>
        </w:tc>
        <w:tc>
          <w:tcPr>
            <w:tcW w:w="605" w:type="dxa"/>
            <w:tcBorders>
              <w:bottom w:val="single" w:sz="8" w:space="0" w:color="000000"/>
            </w:tcBorders>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Homes</w:t>
            </w:r>
          </w:p>
        </w:tc>
        <w:tc>
          <w:tcPr>
            <w:tcW w:w="60" w:type="dxa"/>
            <w:tcBorders>
              <w:bottom w:val="single" w:sz="8" w:space="0" w:color="000000"/>
            </w:tcBorders>
            <w:vAlign w:val="center"/>
          </w:tcPr>
          <w:p>
            <w:pPr>
              <w:pStyle w:val="TableContents"/>
              <w:bidi w:val="0"/>
              <w:spacing w:lineRule="auto" w:line="276" w:before="0" w:after="0"/>
              <w:jc w:val="left"/>
              <w:rPr/>
            </w:pPr>
            <w:r>
              <w:rPr/>
              <w:t> </w:t>
            </w:r>
          </w:p>
        </w:tc>
        <w:tc>
          <w:tcPr>
            <w:tcW w:w="60" w:type="dxa"/>
            <w:tcBorders>
              <w:bottom w:val="single" w:sz="8" w:space="0" w:color="000000"/>
            </w:tcBorders>
            <w:vAlign w:val="center"/>
          </w:tcPr>
          <w:p>
            <w:pPr>
              <w:pStyle w:val="TableContents"/>
              <w:bidi w:val="0"/>
              <w:spacing w:lineRule="auto" w:line="276" w:before="0" w:after="0"/>
              <w:jc w:val="left"/>
              <w:rPr/>
            </w:pPr>
            <w:r>
              <w:rPr/>
              <w:t> </w:t>
            </w:r>
          </w:p>
        </w:tc>
        <w:tc>
          <w:tcPr>
            <w:tcW w:w="635" w:type="dxa"/>
            <w:tcBorders>
              <w:bottom w:val="single" w:sz="8" w:space="0" w:color="000000"/>
            </w:tcBorders>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Models</w:t>
            </w:r>
          </w:p>
        </w:tc>
        <w:tc>
          <w:tcPr>
            <w:tcW w:w="60" w:type="dxa"/>
            <w:tcBorders>
              <w:bottom w:val="single" w:sz="8" w:space="0" w:color="000000"/>
            </w:tcBorders>
            <w:vAlign w:val="center"/>
          </w:tcPr>
          <w:p>
            <w:pPr>
              <w:pStyle w:val="TableContents"/>
              <w:bidi w:val="0"/>
              <w:spacing w:lineRule="auto" w:line="276" w:before="0" w:after="0"/>
              <w:jc w:val="left"/>
              <w:rPr/>
            </w:pPr>
            <w:r>
              <w:rPr/>
              <w:t> </w:t>
            </w:r>
          </w:p>
        </w:tc>
        <w:tc>
          <w:tcPr>
            <w:tcW w:w="60" w:type="dxa"/>
            <w:tcBorders>
              <w:bottom w:val="single" w:sz="8" w:space="0" w:color="000000"/>
            </w:tcBorders>
            <w:vAlign w:val="center"/>
          </w:tcPr>
          <w:p>
            <w:pPr>
              <w:pStyle w:val="TableContents"/>
              <w:bidi w:val="0"/>
              <w:spacing w:lineRule="auto" w:line="276" w:before="0" w:after="0"/>
              <w:jc w:val="left"/>
              <w:rPr/>
            </w:pPr>
            <w:r>
              <w:rPr/>
              <w:t> </w:t>
            </w:r>
          </w:p>
        </w:tc>
        <w:tc>
          <w:tcPr>
            <w:tcW w:w="500" w:type="dxa"/>
            <w:tcBorders>
              <w:bottom w:val="single" w:sz="8" w:space="0" w:color="000000"/>
            </w:tcBorders>
            <w:vAlign w:val="center"/>
          </w:tcPr>
          <w:p>
            <w:pPr>
              <w:pStyle w:val="TableContents"/>
              <w:bidi w:val="0"/>
              <w:spacing w:lineRule="auto" w:line="276" w:before="0" w:after="0"/>
              <w:jc w:val="center"/>
              <w:rPr>
                <w:rFonts w:ascii="Times New Roman" w:hAnsi="Times New Roman"/>
                <w:b/>
                <w:sz w:val="20"/>
              </w:rPr>
            </w:pPr>
            <w:r>
              <w:rPr>
                <w:rFonts w:ascii="Times New Roman" w:hAnsi="Times New Roman"/>
                <w:b/>
                <w:sz w:val="20"/>
              </w:rPr>
              <w:t>Total</w:t>
            </w:r>
          </w:p>
        </w:tc>
      </w:tr>
      <w:tr>
        <w:trPr/>
        <w:tc>
          <w:tcPr>
            <w:tcW w:w="6080" w:type="dxa"/>
            <w:tcBorders>
              <w:top w:val="single" w:sz="8" w:space="0" w:color="000000"/>
            </w:tcBorders>
            <w:shd w:fill="CCEEFF" w:val="clear"/>
            <w:tcMar>
              <w:top w:w="28" w:type="dxa"/>
              <w:bottom w:w="0"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Northeast</w:t>
            </w:r>
          </w:p>
        </w:tc>
        <w:tc>
          <w:tcPr>
            <w:tcW w:w="60" w:type="dxa"/>
            <w:tcBorders>
              <w:top w:val="single" w:sz="8" w:space="0" w:color="000000"/>
            </w:tcBorders>
            <w:shd w:fill="CCEEFF" w:val="clear"/>
            <w:tcMar>
              <w:top w:w="28" w:type="dxa"/>
              <w:bottom w:w="0" w:type="dxa"/>
            </w:tcMar>
            <w:vAlign w:val="center"/>
          </w:tcPr>
          <w:p>
            <w:pPr>
              <w:pStyle w:val="TableContents"/>
              <w:bidi w:val="0"/>
              <w:spacing w:lineRule="auto" w:line="276" w:before="0" w:after="0"/>
              <w:jc w:val="left"/>
              <w:rPr/>
            </w:pPr>
            <w:r>
              <w:rPr/>
              <w:t> </w:t>
            </w:r>
          </w:p>
        </w:tc>
        <w:tc>
          <w:tcPr>
            <w:tcW w:w="605" w:type="dxa"/>
            <w:tcBorders>
              <w:top w:val="single" w:sz="8" w:space="0" w:color="000000"/>
            </w:tcBorders>
            <w:shd w:fill="CCEEFF" w:val="clear"/>
            <w:tcMar>
              <w:top w:w="28" w:type="dxa"/>
              <w:bottom w:w="0"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238</w:t>
            </w:r>
          </w:p>
        </w:tc>
        <w:tc>
          <w:tcPr>
            <w:tcW w:w="60" w:type="dxa"/>
            <w:tcBorders>
              <w:top w:val="single" w:sz="8" w:space="0" w:color="000000"/>
            </w:tcBorders>
            <w:shd w:fill="CCEEFF" w:val="clear"/>
            <w:tcMar>
              <w:top w:w="28" w:type="dxa"/>
              <w:bottom w:w="0"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lineRule="auto" w:line="276" w:before="0" w:after="0"/>
              <w:jc w:val="right"/>
              <w:rPr/>
            </w:pPr>
            <w:r>
              <w:rPr/>
              <w:t> </w:t>
            </w:r>
          </w:p>
        </w:tc>
        <w:tc>
          <w:tcPr>
            <w:tcW w:w="635" w:type="dxa"/>
            <w:tcBorders>
              <w:top w:val="single" w:sz="8" w:space="0" w:color="000000"/>
            </w:tcBorders>
            <w:shd w:fill="CCEEFF" w:val="clear"/>
            <w:tcMar>
              <w:top w:w="28" w:type="dxa"/>
              <w:bottom w:w="0"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18</w:t>
            </w:r>
          </w:p>
        </w:tc>
        <w:tc>
          <w:tcPr>
            <w:tcW w:w="60" w:type="dxa"/>
            <w:tcBorders>
              <w:top w:val="single" w:sz="8" w:space="0" w:color="000000"/>
            </w:tcBorders>
            <w:shd w:fill="CCEEFF" w:val="clear"/>
            <w:tcMar>
              <w:top w:w="28" w:type="dxa"/>
              <w:bottom w:w="0"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lineRule="auto" w:line="276" w:before="0" w:after="0"/>
              <w:jc w:val="right"/>
              <w:rPr/>
            </w:pPr>
            <w:r>
              <w:rPr/>
              <w:t> </w:t>
            </w:r>
          </w:p>
        </w:tc>
        <w:tc>
          <w:tcPr>
            <w:tcW w:w="485" w:type="dxa"/>
            <w:tcBorders>
              <w:top w:val="single" w:sz="8" w:space="0" w:color="000000"/>
            </w:tcBorders>
            <w:shd w:fill="CCEEFF" w:val="clear"/>
            <w:tcMar>
              <w:top w:w="28" w:type="dxa"/>
              <w:bottom w:w="0"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256</w:t>
            </w:r>
          </w:p>
        </w:tc>
        <w:tc>
          <w:tcPr>
            <w:tcW w:w="60" w:type="dxa"/>
            <w:tcBorders>
              <w:top w:val="single" w:sz="8" w:space="0" w:color="000000"/>
            </w:tcBorders>
            <w:shd w:fill="CCEEFF" w:val="clear"/>
            <w:tcMar>
              <w:top w:w="28" w:type="dxa"/>
              <w:bottom w:w="0"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lineRule="auto" w:line="276" w:before="0" w:after="0"/>
              <w:jc w:val="right"/>
              <w:rPr/>
            </w:pPr>
            <w:r>
              <w:rPr/>
              <w:t> </w:t>
            </w:r>
          </w:p>
        </w:tc>
        <w:tc>
          <w:tcPr>
            <w:tcW w:w="605" w:type="dxa"/>
            <w:tcBorders>
              <w:top w:val="single" w:sz="8" w:space="0" w:color="000000"/>
            </w:tcBorders>
            <w:shd w:fill="CCEEFF" w:val="clear"/>
            <w:tcMar>
              <w:top w:w="28" w:type="dxa"/>
              <w:bottom w:w="0"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257</w:t>
            </w:r>
          </w:p>
        </w:tc>
        <w:tc>
          <w:tcPr>
            <w:tcW w:w="60" w:type="dxa"/>
            <w:tcBorders>
              <w:top w:val="single" w:sz="8" w:space="0" w:color="000000"/>
            </w:tcBorders>
            <w:shd w:fill="CCEEFF" w:val="clear"/>
            <w:tcMar>
              <w:top w:w="28" w:type="dxa"/>
              <w:bottom w:w="0"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lineRule="auto" w:line="276" w:before="0" w:after="0"/>
              <w:jc w:val="right"/>
              <w:rPr/>
            </w:pPr>
            <w:r>
              <w:rPr/>
              <w:t> </w:t>
            </w:r>
          </w:p>
        </w:tc>
        <w:tc>
          <w:tcPr>
            <w:tcW w:w="635" w:type="dxa"/>
            <w:tcBorders>
              <w:top w:val="single" w:sz="8" w:space="0" w:color="000000"/>
            </w:tcBorders>
            <w:shd w:fill="CCEEFF" w:val="clear"/>
            <w:tcMar>
              <w:top w:w="28" w:type="dxa"/>
              <w:bottom w:w="0"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23</w:t>
            </w:r>
          </w:p>
        </w:tc>
        <w:tc>
          <w:tcPr>
            <w:tcW w:w="60" w:type="dxa"/>
            <w:tcBorders>
              <w:top w:val="single" w:sz="8" w:space="0" w:color="000000"/>
            </w:tcBorders>
            <w:shd w:fill="CCEEFF" w:val="clear"/>
            <w:tcMar>
              <w:top w:w="28" w:type="dxa"/>
              <w:bottom w:w="0"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lineRule="auto" w:line="276" w:before="0" w:after="0"/>
              <w:jc w:val="right"/>
              <w:rPr/>
            </w:pPr>
            <w:r>
              <w:rPr/>
              <w:t> </w:t>
            </w:r>
          </w:p>
        </w:tc>
        <w:tc>
          <w:tcPr>
            <w:tcW w:w="500" w:type="dxa"/>
            <w:tcBorders>
              <w:top w:val="single" w:sz="8" w:space="0" w:color="000000"/>
            </w:tcBorders>
            <w:shd w:fill="CCEEFF" w:val="clear"/>
            <w:tcMar>
              <w:top w:w="28" w:type="dxa"/>
              <w:bottom w:w="0"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280</w:t>
            </w:r>
          </w:p>
        </w:tc>
      </w:tr>
      <w:tr>
        <w:trPr/>
        <w:tc>
          <w:tcPr>
            <w:tcW w:w="6080" w:type="dxa"/>
            <w:tcBorders/>
            <w:shd w:fill="FFFFFF" w:val="clear"/>
            <w:tcMar>
              <w:bottom w:w="0"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Southeast</w:t>
            </w:r>
          </w:p>
        </w:tc>
        <w:tc>
          <w:tcPr>
            <w:tcW w:w="60" w:type="dxa"/>
            <w:tcBorders/>
            <w:shd w:fill="FFFFFF" w:val="clear"/>
            <w:tcMar>
              <w:bottom w:w="0" w:type="dxa"/>
            </w:tcMar>
            <w:vAlign w:val="center"/>
          </w:tcPr>
          <w:p>
            <w:pPr>
              <w:pStyle w:val="TableContents"/>
              <w:bidi w:val="0"/>
              <w:spacing w:lineRule="auto" w:line="276" w:before="0" w:after="0"/>
              <w:jc w:val="left"/>
              <w:rPr/>
            </w:pPr>
            <w:r>
              <w:rPr/>
              <w:t> </w:t>
            </w:r>
          </w:p>
        </w:tc>
        <w:tc>
          <w:tcPr>
            <w:tcW w:w="605" w:type="dxa"/>
            <w:tcBorders/>
            <w:shd w:fill="FFFFFF" w:val="clear"/>
            <w:tcMar>
              <w:bottom w:w="0"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128</w:t>
            </w:r>
          </w:p>
        </w:tc>
        <w:tc>
          <w:tcPr>
            <w:tcW w:w="60" w:type="dxa"/>
            <w:tcBorders/>
            <w:shd w:fill="FFFFFF" w:val="clear"/>
            <w:tcMar>
              <w:bottom w:w="0" w:type="dxa"/>
            </w:tcMar>
            <w:vAlign w:val="center"/>
          </w:tcPr>
          <w:p>
            <w:pPr>
              <w:pStyle w:val="TableContents"/>
              <w:bidi w:val="0"/>
              <w:spacing w:lineRule="auto" w:line="276" w:before="0" w:after="0"/>
              <w:jc w:val="right"/>
              <w:rPr/>
            </w:pPr>
            <w:r>
              <w:rPr/>
              <w:t> </w:t>
            </w:r>
          </w:p>
        </w:tc>
        <w:tc>
          <w:tcPr>
            <w:tcW w:w="60" w:type="dxa"/>
            <w:tcBorders/>
            <w:shd w:fill="FFFFFF" w:val="clear"/>
            <w:tcMar>
              <w:bottom w:w="0" w:type="dxa"/>
            </w:tcMar>
            <w:vAlign w:val="center"/>
          </w:tcPr>
          <w:p>
            <w:pPr>
              <w:pStyle w:val="TableContents"/>
              <w:bidi w:val="0"/>
              <w:spacing w:lineRule="auto" w:line="276" w:before="0" w:after="0"/>
              <w:jc w:val="right"/>
              <w:rPr/>
            </w:pPr>
            <w:r>
              <w:rPr/>
              <w:t> </w:t>
            </w:r>
          </w:p>
        </w:tc>
        <w:tc>
          <w:tcPr>
            <w:tcW w:w="635" w:type="dxa"/>
            <w:tcBorders/>
            <w:shd w:fill="FFFFFF" w:val="clear"/>
            <w:tcMar>
              <w:bottom w:w="0"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13</w:t>
            </w:r>
          </w:p>
        </w:tc>
        <w:tc>
          <w:tcPr>
            <w:tcW w:w="60" w:type="dxa"/>
            <w:tcBorders/>
            <w:shd w:fill="FFFFFF" w:val="clear"/>
            <w:tcMar>
              <w:bottom w:w="0" w:type="dxa"/>
            </w:tcMar>
            <w:vAlign w:val="center"/>
          </w:tcPr>
          <w:p>
            <w:pPr>
              <w:pStyle w:val="TableContents"/>
              <w:bidi w:val="0"/>
              <w:spacing w:lineRule="auto" w:line="276" w:before="0" w:after="0"/>
              <w:jc w:val="right"/>
              <w:rPr/>
            </w:pPr>
            <w:r>
              <w:rPr/>
              <w:t> </w:t>
            </w:r>
          </w:p>
        </w:tc>
        <w:tc>
          <w:tcPr>
            <w:tcW w:w="60" w:type="dxa"/>
            <w:tcBorders/>
            <w:shd w:fill="FFFFFF" w:val="clear"/>
            <w:tcMar>
              <w:bottom w:w="0" w:type="dxa"/>
            </w:tcMar>
            <w:vAlign w:val="center"/>
          </w:tcPr>
          <w:p>
            <w:pPr>
              <w:pStyle w:val="TableContents"/>
              <w:bidi w:val="0"/>
              <w:spacing w:lineRule="auto" w:line="276" w:before="0" w:after="0"/>
              <w:jc w:val="right"/>
              <w:rPr/>
            </w:pPr>
            <w:r>
              <w:rPr/>
              <w:t> </w:t>
            </w:r>
          </w:p>
        </w:tc>
        <w:tc>
          <w:tcPr>
            <w:tcW w:w="485" w:type="dxa"/>
            <w:tcBorders/>
            <w:shd w:fill="FFFFFF" w:val="clear"/>
            <w:tcMar>
              <w:bottom w:w="0"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141</w:t>
            </w:r>
          </w:p>
        </w:tc>
        <w:tc>
          <w:tcPr>
            <w:tcW w:w="60" w:type="dxa"/>
            <w:tcBorders/>
            <w:shd w:fill="FFFFFF" w:val="clear"/>
            <w:tcMar>
              <w:bottom w:w="0" w:type="dxa"/>
            </w:tcMar>
            <w:vAlign w:val="center"/>
          </w:tcPr>
          <w:p>
            <w:pPr>
              <w:pStyle w:val="TableContents"/>
              <w:bidi w:val="0"/>
              <w:spacing w:lineRule="auto" w:line="276" w:before="0" w:after="0"/>
              <w:jc w:val="right"/>
              <w:rPr/>
            </w:pPr>
            <w:r>
              <w:rPr/>
              <w:t> </w:t>
            </w:r>
          </w:p>
        </w:tc>
        <w:tc>
          <w:tcPr>
            <w:tcW w:w="60" w:type="dxa"/>
            <w:tcBorders/>
            <w:shd w:fill="FFFFFF" w:val="clear"/>
            <w:tcMar>
              <w:bottom w:w="0" w:type="dxa"/>
            </w:tcMar>
            <w:vAlign w:val="center"/>
          </w:tcPr>
          <w:p>
            <w:pPr>
              <w:pStyle w:val="TableContents"/>
              <w:bidi w:val="0"/>
              <w:spacing w:lineRule="auto" w:line="276" w:before="0" w:after="0"/>
              <w:jc w:val="right"/>
              <w:rPr/>
            </w:pPr>
            <w:r>
              <w:rPr/>
              <w:t> </w:t>
            </w:r>
          </w:p>
        </w:tc>
        <w:tc>
          <w:tcPr>
            <w:tcW w:w="605" w:type="dxa"/>
            <w:tcBorders/>
            <w:shd w:fill="FFFFFF" w:val="clear"/>
            <w:tcMar>
              <w:bottom w:w="0"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125</w:t>
            </w:r>
          </w:p>
        </w:tc>
        <w:tc>
          <w:tcPr>
            <w:tcW w:w="60" w:type="dxa"/>
            <w:tcBorders/>
            <w:shd w:fill="FFFFFF" w:val="clear"/>
            <w:tcMar>
              <w:bottom w:w="0" w:type="dxa"/>
            </w:tcMar>
            <w:vAlign w:val="center"/>
          </w:tcPr>
          <w:p>
            <w:pPr>
              <w:pStyle w:val="TableContents"/>
              <w:bidi w:val="0"/>
              <w:spacing w:lineRule="auto" w:line="276" w:before="0" w:after="0"/>
              <w:jc w:val="right"/>
              <w:rPr/>
            </w:pPr>
            <w:r>
              <w:rPr/>
              <w:t> </w:t>
            </w:r>
          </w:p>
        </w:tc>
        <w:tc>
          <w:tcPr>
            <w:tcW w:w="60" w:type="dxa"/>
            <w:tcBorders/>
            <w:shd w:fill="FFFFFF" w:val="clear"/>
            <w:tcMar>
              <w:bottom w:w="0" w:type="dxa"/>
            </w:tcMar>
            <w:vAlign w:val="center"/>
          </w:tcPr>
          <w:p>
            <w:pPr>
              <w:pStyle w:val="TableContents"/>
              <w:bidi w:val="0"/>
              <w:spacing w:lineRule="auto" w:line="276" w:before="0" w:after="0"/>
              <w:jc w:val="right"/>
              <w:rPr/>
            </w:pPr>
            <w:r>
              <w:rPr/>
              <w:t> </w:t>
            </w:r>
          </w:p>
        </w:tc>
        <w:tc>
          <w:tcPr>
            <w:tcW w:w="635" w:type="dxa"/>
            <w:tcBorders/>
            <w:shd w:fill="FFFFFF" w:val="clear"/>
            <w:tcMar>
              <w:bottom w:w="0"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18</w:t>
            </w:r>
          </w:p>
        </w:tc>
        <w:tc>
          <w:tcPr>
            <w:tcW w:w="60" w:type="dxa"/>
            <w:tcBorders/>
            <w:shd w:fill="FFFFFF" w:val="clear"/>
            <w:tcMar>
              <w:bottom w:w="0" w:type="dxa"/>
            </w:tcMar>
            <w:vAlign w:val="center"/>
          </w:tcPr>
          <w:p>
            <w:pPr>
              <w:pStyle w:val="TableContents"/>
              <w:bidi w:val="0"/>
              <w:spacing w:lineRule="auto" w:line="276" w:before="0" w:after="0"/>
              <w:jc w:val="right"/>
              <w:rPr/>
            </w:pPr>
            <w:r>
              <w:rPr/>
              <w:t> </w:t>
            </w:r>
          </w:p>
        </w:tc>
        <w:tc>
          <w:tcPr>
            <w:tcW w:w="60" w:type="dxa"/>
            <w:tcBorders/>
            <w:shd w:fill="FFFFFF" w:val="clear"/>
            <w:tcMar>
              <w:bottom w:w="0" w:type="dxa"/>
            </w:tcMar>
            <w:vAlign w:val="center"/>
          </w:tcPr>
          <w:p>
            <w:pPr>
              <w:pStyle w:val="TableContents"/>
              <w:bidi w:val="0"/>
              <w:spacing w:lineRule="auto" w:line="276" w:before="0" w:after="0"/>
              <w:jc w:val="right"/>
              <w:rPr/>
            </w:pPr>
            <w:r>
              <w:rPr/>
              <w:t> </w:t>
            </w:r>
          </w:p>
        </w:tc>
        <w:tc>
          <w:tcPr>
            <w:tcW w:w="500" w:type="dxa"/>
            <w:tcBorders/>
            <w:shd w:fill="FFFFFF" w:val="clear"/>
            <w:tcMar>
              <w:bottom w:w="0"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143</w:t>
            </w:r>
          </w:p>
        </w:tc>
      </w:tr>
      <w:tr>
        <w:trPr/>
        <w:tc>
          <w:tcPr>
            <w:tcW w:w="6080" w:type="dxa"/>
            <w:tcBorders>
              <w:bottom w:val="single" w:sz="8" w:space="0" w:color="000000"/>
            </w:tcBorders>
            <w:shd w:fill="CCEEFF" w:val="cle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West</w:t>
            </w:r>
          </w:p>
        </w:tc>
        <w:tc>
          <w:tcPr>
            <w:tcW w:w="60" w:type="dxa"/>
            <w:tcBorders>
              <w:bottom w:val="single" w:sz="8" w:space="0" w:color="000000"/>
            </w:tcBorders>
            <w:shd w:fill="CCEEFF" w:val="clear"/>
            <w:vAlign w:val="center"/>
          </w:tcPr>
          <w:p>
            <w:pPr>
              <w:pStyle w:val="TableContents"/>
              <w:bidi w:val="0"/>
              <w:spacing w:lineRule="auto" w:line="276" w:before="0" w:after="0"/>
              <w:jc w:val="left"/>
              <w:rPr/>
            </w:pPr>
            <w:r>
              <w:rPr/>
              <w:t> </w:t>
            </w:r>
          </w:p>
        </w:tc>
        <w:tc>
          <w:tcPr>
            <w:tcW w:w="605" w:type="dxa"/>
            <w:tcBorders>
              <w:bottom w:val="single" w:sz="8" w:space="0" w:color="000000"/>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454</w:t>
            </w:r>
          </w:p>
        </w:tc>
        <w:tc>
          <w:tcPr>
            <w:tcW w:w="60" w:type="dxa"/>
            <w:tcBorders>
              <w:bottom w:val="single" w:sz="8" w:space="0" w:color="000000"/>
            </w:tcBorders>
            <w:shd w:fill="CCEEFF" w:val="clear"/>
            <w:vAlign w:val="center"/>
          </w:tcPr>
          <w:p>
            <w:pPr>
              <w:pStyle w:val="TableContents"/>
              <w:bidi w:val="0"/>
              <w:spacing w:lineRule="auto" w:line="276" w:before="0" w:after="0"/>
              <w:jc w:val="right"/>
              <w:rPr/>
            </w:pPr>
            <w:r>
              <w:rPr/>
              <w:t> </w:t>
            </w:r>
          </w:p>
        </w:tc>
        <w:tc>
          <w:tcPr>
            <w:tcW w:w="60" w:type="dxa"/>
            <w:tcBorders>
              <w:bottom w:val="single" w:sz="8" w:space="0" w:color="000000"/>
            </w:tcBorders>
            <w:shd w:fill="CCEEFF" w:val="clear"/>
            <w:vAlign w:val="center"/>
          </w:tcPr>
          <w:p>
            <w:pPr>
              <w:pStyle w:val="TableContents"/>
              <w:bidi w:val="0"/>
              <w:spacing w:lineRule="auto" w:line="276" w:before="0" w:after="0"/>
              <w:jc w:val="right"/>
              <w:rPr/>
            </w:pPr>
            <w:r>
              <w:rPr/>
              <w:t> </w:t>
            </w:r>
          </w:p>
        </w:tc>
        <w:tc>
          <w:tcPr>
            <w:tcW w:w="635" w:type="dxa"/>
            <w:tcBorders>
              <w:bottom w:val="single" w:sz="8" w:space="0" w:color="000000"/>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35</w:t>
            </w:r>
          </w:p>
        </w:tc>
        <w:tc>
          <w:tcPr>
            <w:tcW w:w="60" w:type="dxa"/>
            <w:tcBorders>
              <w:bottom w:val="single" w:sz="8" w:space="0" w:color="000000"/>
            </w:tcBorders>
            <w:shd w:fill="CCEEFF" w:val="clear"/>
            <w:vAlign w:val="center"/>
          </w:tcPr>
          <w:p>
            <w:pPr>
              <w:pStyle w:val="TableContents"/>
              <w:bidi w:val="0"/>
              <w:spacing w:lineRule="auto" w:line="276" w:before="0" w:after="0"/>
              <w:jc w:val="right"/>
              <w:rPr/>
            </w:pPr>
            <w:r>
              <w:rPr/>
              <w:t> </w:t>
            </w:r>
          </w:p>
        </w:tc>
        <w:tc>
          <w:tcPr>
            <w:tcW w:w="60" w:type="dxa"/>
            <w:tcBorders>
              <w:bottom w:val="single" w:sz="8" w:space="0" w:color="000000"/>
            </w:tcBorders>
            <w:shd w:fill="CCEEFF" w:val="clear"/>
            <w:vAlign w:val="center"/>
          </w:tcPr>
          <w:p>
            <w:pPr>
              <w:pStyle w:val="TableContents"/>
              <w:bidi w:val="0"/>
              <w:spacing w:lineRule="auto" w:line="276" w:before="0" w:after="0"/>
              <w:jc w:val="right"/>
              <w:rPr/>
            </w:pPr>
            <w:r>
              <w:rPr/>
              <w:t> </w:t>
            </w:r>
          </w:p>
        </w:tc>
        <w:tc>
          <w:tcPr>
            <w:tcW w:w="485" w:type="dxa"/>
            <w:tcBorders>
              <w:bottom w:val="single" w:sz="8" w:space="0" w:color="000000"/>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489</w:t>
            </w:r>
          </w:p>
        </w:tc>
        <w:tc>
          <w:tcPr>
            <w:tcW w:w="60" w:type="dxa"/>
            <w:tcBorders>
              <w:bottom w:val="single" w:sz="8" w:space="0" w:color="000000"/>
            </w:tcBorders>
            <w:shd w:fill="CCEEFF" w:val="clear"/>
            <w:vAlign w:val="center"/>
          </w:tcPr>
          <w:p>
            <w:pPr>
              <w:pStyle w:val="TableContents"/>
              <w:bidi w:val="0"/>
              <w:spacing w:lineRule="auto" w:line="276" w:before="0" w:after="0"/>
              <w:jc w:val="right"/>
              <w:rPr/>
            </w:pPr>
            <w:r>
              <w:rPr/>
              <w:t> </w:t>
            </w:r>
          </w:p>
        </w:tc>
        <w:tc>
          <w:tcPr>
            <w:tcW w:w="60" w:type="dxa"/>
            <w:tcBorders>
              <w:bottom w:val="single" w:sz="8" w:space="0" w:color="000000"/>
            </w:tcBorders>
            <w:shd w:fill="CCEEFF" w:val="clear"/>
            <w:vAlign w:val="center"/>
          </w:tcPr>
          <w:p>
            <w:pPr>
              <w:pStyle w:val="TableContents"/>
              <w:bidi w:val="0"/>
              <w:spacing w:lineRule="auto" w:line="276" w:before="0" w:after="0"/>
              <w:jc w:val="right"/>
              <w:rPr/>
            </w:pPr>
            <w:r>
              <w:rPr/>
              <w:t> </w:t>
            </w:r>
          </w:p>
        </w:tc>
        <w:tc>
          <w:tcPr>
            <w:tcW w:w="605" w:type="dxa"/>
            <w:tcBorders>
              <w:bottom w:val="single" w:sz="8" w:space="0" w:color="000000"/>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525</w:t>
            </w:r>
          </w:p>
        </w:tc>
        <w:tc>
          <w:tcPr>
            <w:tcW w:w="60" w:type="dxa"/>
            <w:tcBorders>
              <w:bottom w:val="single" w:sz="8" w:space="0" w:color="000000"/>
            </w:tcBorders>
            <w:shd w:fill="CCEEFF" w:val="clear"/>
            <w:vAlign w:val="center"/>
          </w:tcPr>
          <w:p>
            <w:pPr>
              <w:pStyle w:val="TableContents"/>
              <w:bidi w:val="0"/>
              <w:spacing w:lineRule="auto" w:line="276" w:before="0" w:after="0"/>
              <w:jc w:val="right"/>
              <w:rPr/>
            </w:pPr>
            <w:r>
              <w:rPr/>
              <w:t> </w:t>
            </w:r>
          </w:p>
        </w:tc>
        <w:tc>
          <w:tcPr>
            <w:tcW w:w="60" w:type="dxa"/>
            <w:tcBorders>
              <w:bottom w:val="single" w:sz="8" w:space="0" w:color="000000"/>
            </w:tcBorders>
            <w:shd w:fill="CCEEFF" w:val="clear"/>
            <w:vAlign w:val="center"/>
          </w:tcPr>
          <w:p>
            <w:pPr>
              <w:pStyle w:val="TableContents"/>
              <w:bidi w:val="0"/>
              <w:spacing w:lineRule="auto" w:line="276" w:before="0" w:after="0"/>
              <w:jc w:val="right"/>
              <w:rPr/>
            </w:pPr>
            <w:r>
              <w:rPr/>
              <w:t> </w:t>
            </w:r>
          </w:p>
        </w:tc>
        <w:tc>
          <w:tcPr>
            <w:tcW w:w="635" w:type="dxa"/>
            <w:tcBorders>
              <w:bottom w:val="single" w:sz="8" w:space="0" w:color="000000"/>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23</w:t>
            </w:r>
          </w:p>
        </w:tc>
        <w:tc>
          <w:tcPr>
            <w:tcW w:w="60" w:type="dxa"/>
            <w:tcBorders>
              <w:bottom w:val="single" w:sz="8" w:space="0" w:color="000000"/>
            </w:tcBorders>
            <w:shd w:fill="CCEEFF" w:val="clear"/>
            <w:vAlign w:val="center"/>
          </w:tcPr>
          <w:p>
            <w:pPr>
              <w:pStyle w:val="TableContents"/>
              <w:bidi w:val="0"/>
              <w:spacing w:lineRule="auto" w:line="276" w:before="0" w:after="0"/>
              <w:jc w:val="right"/>
              <w:rPr/>
            </w:pPr>
            <w:r>
              <w:rPr/>
              <w:t> </w:t>
            </w:r>
          </w:p>
        </w:tc>
        <w:tc>
          <w:tcPr>
            <w:tcW w:w="60" w:type="dxa"/>
            <w:tcBorders>
              <w:bottom w:val="single" w:sz="8" w:space="0" w:color="000000"/>
            </w:tcBorders>
            <w:shd w:fill="CCEEFF" w:val="clear"/>
            <w:vAlign w:val="center"/>
          </w:tcPr>
          <w:p>
            <w:pPr>
              <w:pStyle w:val="TableContents"/>
              <w:bidi w:val="0"/>
              <w:spacing w:lineRule="auto" w:line="276" w:before="0" w:after="0"/>
              <w:jc w:val="right"/>
              <w:rPr/>
            </w:pPr>
            <w:r>
              <w:rPr/>
              <w:t> </w:t>
            </w:r>
          </w:p>
        </w:tc>
        <w:tc>
          <w:tcPr>
            <w:tcW w:w="500" w:type="dxa"/>
            <w:tcBorders>
              <w:bottom w:val="single" w:sz="8" w:space="0" w:color="000000"/>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548</w:t>
            </w:r>
          </w:p>
        </w:tc>
      </w:tr>
      <w:tr>
        <w:trPr/>
        <w:tc>
          <w:tcPr>
            <w:tcW w:w="6080" w:type="dxa"/>
            <w:tcBorders>
              <w:top w:val="single" w:sz="8" w:space="0" w:color="000000"/>
            </w:tcBorders>
            <w:shd w:fill="FFFFFF" w:val="clear"/>
            <w:tcMar>
              <w:top w:w="28" w:type="dxa"/>
              <w:bottom w:w="0" w:type="dxa"/>
            </w:tcMar>
            <w:vAlign w:val="center"/>
          </w:tcPr>
          <w:p>
            <w:pPr>
              <w:pStyle w:val="TableContents"/>
              <w:bidi w:val="0"/>
              <w:spacing w:lineRule="auto" w:line="276" w:before="0" w:after="0"/>
              <w:jc w:val="left"/>
              <w:rPr/>
            </w:pPr>
            <w:r>
              <w:rPr/>
              <w:t> </w:t>
            </w:r>
          </w:p>
        </w:tc>
        <w:tc>
          <w:tcPr>
            <w:tcW w:w="60" w:type="dxa"/>
            <w:tcBorders>
              <w:top w:val="single" w:sz="8" w:space="0" w:color="000000"/>
            </w:tcBorders>
            <w:shd w:fill="FFFFFF" w:val="clear"/>
            <w:tcMar>
              <w:top w:w="28" w:type="dxa"/>
              <w:bottom w:w="0" w:type="dxa"/>
            </w:tcMar>
            <w:vAlign w:val="center"/>
          </w:tcPr>
          <w:p>
            <w:pPr>
              <w:pStyle w:val="TableContents"/>
              <w:bidi w:val="0"/>
              <w:spacing w:lineRule="auto" w:line="276" w:before="0" w:after="0"/>
              <w:jc w:val="left"/>
              <w:rPr/>
            </w:pPr>
            <w:r>
              <w:rPr/>
              <w:t> </w:t>
            </w:r>
          </w:p>
        </w:tc>
        <w:tc>
          <w:tcPr>
            <w:tcW w:w="605" w:type="dxa"/>
            <w:tcBorders>
              <w:top w:val="single" w:sz="8"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c>
          <w:tcPr>
            <w:tcW w:w="635" w:type="dxa"/>
            <w:tcBorders>
              <w:top w:val="single" w:sz="8"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c>
          <w:tcPr>
            <w:tcW w:w="485" w:type="dxa"/>
            <w:tcBorders>
              <w:top w:val="single" w:sz="8"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c>
          <w:tcPr>
            <w:tcW w:w="605" w:type="dxa"/>
            <w:tcBorders>
              <w:top w:val="single" w:sz="8"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c>
          <w:tcPr>
            <w:tcW w:w="635" w:type="dxa"/>
            <w:tcBorders>
              <w:top w:val="single" w:sz="8"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c>
          <w:tcPr>
            <w:tcW w:w="60" w:type="dxa"/>
            <w:tcBorders>
              <w:top w:val="single" w:sz="8"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c>
          <w:tcPr>
            <w:tcW w:w="500" w:type="dxa"/>
            <w:tcBorders>
              <w:top w:val="single" w:sz="8"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r>
      <w:tr>
        <w:trPr/>
        <w:tc>
          <w:tcPr>
            <w:tcW w:w="6080" w:type="dxa"/>
            <w:tcBorders>
              <w:bottom w:val="double" w:sz="6" w:space="0" w:color="000000"/>
            </w:tcBorders>
            <w:shd w:fill="CCEEFF" w:val="cle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Domestic total (1)</w:t>
            </w:r>
          </w:p>
        </w:tc>
        <w:tc>
          <w:tcPr>
            <w:tcW w:w="60" w:type="dxa"/>
            <w:tcBorders>
              <w:bottom w:val="double" w:sz="6" w:space="0" w:color="000000"/>
            </w:tcBorders>
            <w:shd w:fill="CCEEFF" w:val="clear"/>
            <w:vAlign w:val="center"/>
          </w:tcPr>
          <w:p>
            <w:pPr>
              <w:pStyle w:val="TableContents"/>
              <w:bidi w:val="0"/>
              <w:spacing w:lineRule="auto" w:line="276" w:before="0" w:after="0"/>
              <w:jc w:val="left"/>
              <w:rPr/>
            </w:pPr>
            <w:r>
              <w:rPr/>
              <w:t> </w:t>
            </w:r>
          </w:p>
        </w:tc>
        <w:tc>
          <w:tcPr>
            <w:tcW w:w="605" w:type="dxa"/>
            <w:tcBorders>
              <w:bottom w:val="double" w:sz="6" w:space="0" w:color="000000"/>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820</w:t>
            </w:r>
          </w:p>
        </w:tc>
        <w:tc>
          <w:tcPr>
            <w:tcW w:w="60" w:type="dxa"/>
            <w:tcBorders>
              <w:bottom w:val="double" w:sz="6" w:space="0" w:color="000000"/>
            </w:tcBorders>
            <w:shd w:fill="CCEEFF" w:val="clear"/>
            <w:vAlign w:val="center"/>
          </w:tcPr>
          <w:p>
            <w:pPr>
              <w:pStyle w:val="TableContents"/>
              <w:bidi w:val="0"/>
              <w:spacing w:lineRule="auto" w:line="276" w:before="0" w:after="0"/>
              <w:jc w:val="right"/>
              <w:rPr/>
            </w:pPr>
            <w:r>
              <w:rPr/>
              <w:t> </w:t>
            </w:r>
          </w:p>
        </w:tc>
        <w:tc>
          <w:tcPr>
            <w:tcW w:w="60" w:type="dxa"/>
            <w:tcBorders>
              <w:bottom w:val="double" w:sz="6" w:space="0" w:color="000000"/>
            </w:tcBorders>
            <w:shd w:fill="CCEEFF" w:val="clear"/>
            <w:vAlign w:val="center"/>
          </w:tcPr>
          <w:p>
            <w:pPr>
              <w:pStyle w:val="TableContents"/>
              <w:bidi w:val="0"/>
              <w:spacing w:lineRule="auto" w:line="276" w:before="0" w:after="0"/>
              <w:jc w:val="right"/>
              <w:rPr/>
            </w:pPr>
            <w:r>
              <w:rPr/>
              <w:t> </w:t>
            </w:r>
          </w:p>
        </w:tc>
        <w:tc>
          <w:tcPr>
            <w:tcW w:w="635" w:type="dxa"/>
            <w:tcBorders>
              <w:bottom w:val="double" w:sz="6" w:space="0" w:color="000000"/>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66</w:t>
            </w:r>
          </w:p>
        </w:tc>
        <w:tc>
          <w:tcPr>
            <w:tcW w:w="60" w:type="dxa"/>
            <w:tcBorders>
              <w:bottom w:val="double" w:sz="6" w:space="0" w:color="000000"/>
            </w:tcBorders>
            <w:shd w:fill="CCEEFF" w:val="clear"/>
            <w:vAlign w:val="center"/>
          </w:tcPr>
          <w:p>
            <w:pPr>
              <w:pStyle w:val="TableContents"/>
              <w:bidi w:val="0"/>
              <w:spacing w:lineRule="auto" w:line="276" w:before="0" w:after="0"/>
              <w:jc w:val="right"/>
              <w:rPr/>
            </w:pPr>
            <w:r>
              <w:rPr/>
              <w:t> </w:t>
            </w:r>
          </w:p>
        </w:tc>
        <w:tc>
          <w:tcPr>
            <w:tcW w:w="60" w:type="dxa"/>
            <w:tcBorders>
              <w:bottom w:val="double" w:sz="6" w:space="0" w:color="000000"/>
            </w:tcBorders>
            <w:shd w:fill="CCEEFF" w:val="clear"/>
            <w:vAlign w:val="center"/>
          </w:tcPr>
          <w:p>
            <w:pPr>
              <w:pStyle w:val="TableContents"/>
              <w:bidi w:val="0"/>
              <w:spacing w:lineRule="auto" w:line="276" w:before="0" w:after="0"/>
              <w:jc w:val="right"/>
              <w:rPr/>
            </w:pPr>
            <w:r>
              <w:rPr/>
              <w:t> </w:t>
            </w:r>
          </w:p>
        </w:tc>
        <w:tc>
          <w:tcPr>
            <w:tcW w:w="485" w:type="dxa"/>
            <w:tcBorders>
              <w:bottom w:val="double" w:sz="6" w:space="0" w:color="000000"/>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886</w:t>
            </w:r>
          </w:p>
        </w:tc>
        <w:tc>
          <w:tcPr>
            <w:tcW w:w="60" w:type="dxa"/>
            <w:tcBorders>
              <w:bottom w:val="double" w:sz="6" w:space="0" w:color="000000"/>
            </w:tcBorders>
            <w:shd w:fill="CCEEFF" w:val="clear"/>
            <w:vAlign w:val="center"/>
          </w:tcPr>
          <w:p>
            <w:pPr>
              <w:pStyle w:val="TableContents"/>
              <w:bidi w:val="0"/>
              <w:spacing w:lineRule="auto" w:line="276" w:before="0" w:after="0"/>
              <w:jc w:val="right"/>
              <w:rPr/>
            </w:pPr>
            <w:r>
              <w:rPr/>
              <w:t> </w:t>
            </w:r>
          </w:p>
        </w:tc>
        <w:tc>
          <w:tcPr>
            <w:tcW w:w="60" w:type="dxa"/>
            <w:tcBorders>
              <w:bottom w:val="double" w:sz="6" w:space="0" w:color="000000"/>
            </w:tcBorders>
            <w:shd w:fill="CCEEFF" w:val="clear"/>
            <w:vAlign w:val="center"/>
          </w:tcPr>
          <w:p>
            <w:pPr>
              <w:pStyle w:val="TableContents"/>
              <w:bidi w:val="0"/>
              <w:spacing w:lineRule="auto" w:line="276" w:before="0" w:after="0"/>
              <w:jc w:val="right"/>
              <w:rPr/>
            </w:pPr>
            <w:r>
              <w:rPr/>
              <w:t> </w:t>
            </w:r>
          </w:p>
        </w:tc>
        <w:tc>
          <w:tcPr>
            <w:tcW w:w="605" w:type="dxa"/>
            <w:tcBorders>
              <w:bottom w:val="double" w:sz="6" w:space="0" w:color="000000"/>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907</w:t>
            </w:r>
          </w:p>
        </w:tc>
        <w:tc>
          <w:tcPr>
            <w:tcW w:w="60" w:type="dxa"/>
            <w:tcBorders>
              <w:bottom w:val="double" w:sz="6" w:space="0" w:color="000000"/>
            </w:tcBorders>
            <w:shd w:fill="CCEEFF" w:val="clear"/>
            <w:vAlign w:val="center"/>
          </w:tcPr>
          <w:p>
            <w:pPr>
              <w:pStyle w:val="TableContents"/>
              <w:bidi w:val="0"/>
              <w:spacing w:lineRule="auto" w:line="276" w:before="0" w:after="0"/>
              <w:jc w:val="right"/>
              <w:rPr/>
            </w:pPr>
            <w:r>
              <w:rPr/>
              <w:t> </w:t>
            </w:r>
          </w:p>
        </w:tc>
        <w:tc>
          <w:tcPr>
            <w:tcW w:w="60" w:type="dxa"/>
            <w:tcBorders>
              <w:bottom w:val="double" w:sz="6" w:space="0" w:color="000000"/>
            </w:tcBorders>
            <w:shd w:fill="CCEEFF" w:val="clear"/>
            <w:vAlign w:val="center"/>
          </w:tcPr>
          <w:p>
            <w:pPr>
              <w:pStyle w:val="TableContents"/>
              <w:bidi w:val="0"/>
              <w:spacing w:lineRule="auto" w:line="276" w:before="0" w:after="0"/>
              <w:jc w:val="right"/>
              <w:rPr/>
            </w:pPr>
            <w:r>
              <w:rPr/>
              <w:t> </w:t>
            </w:r>
          </w:p>
        </w:tc>
        <w:tc>
          <w:tcPr>
            <w:tcW w:w="635" w:type="dxa"/>
            <w:tcBorders>
              <w:bottom w:val="double" w:sz="6" w:space="0" w:color="000000"/>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64</w:t>
            </w:r>
          </w:p>
        </w:tc>
        <w:tc>
          <w:tcPr>
            <w:tcW w:w="60" w:type="dxa"/>
            <w:tcBorders>
              <w:bottom w:val="double" w:sz="6" w:space="0" w:color="000000"/>
            </w:tcBorders>
            <w:shd w:fill="CCEEFF" w:val="clear"/>
            <w:vAlign w:val="center"/>
          </w:tcPr>
          <w:p>
            <w:pPr>
              <w:pStyle w:val="TableContents"/>
              <w:bidi w:val="0"/>
              <w:spacing w:lineRule="auto" w:line="276" w:before="0" w:after="0"/>
              <w:jc w:val="right"/>
              <w:rPr/>
            </w:pPr>
            <w:r>
              <w:rPr/>
              <w:t> </w:t>
            </w:r>
          </w:p>
        </w:tc>
        <w:tc>
          <w:tcPr>
            <w:tcW w:w="60" w:type="dxa"/>
            <w:tcBorders>
              <w:bottom w:val="double" w:sz="6" w:space="0" w:color="000000"/>
            </w:tcBorders>
            <w:shd w:fill="CCEEFF" w:val="clear"/>
            <w:vAlign w:val="center"/>
          </w:tcPr>
          <w:p>
            <w:pPr>
              <w:pStyle w:val="TableContents"/>
              <w:bidi w:val="0"/>
              <w:spacing w:lineRule="auto" w:line="276" w:before="0" w:after="0"/>
              <w:jc w:val="right"/>
              <w:rPr/>
            </w:pPr>
            <w:r>
              <w:rPr/>
              <w:t> </w:t>
            </w:r>
          </w:p>
        </w:tc>
        <w:tc>
          <w:tcPr>
            <w:tcW w:w="500" w:type="dxa"/>
            <w:tcBorders>
              <w:bottom w:val="double" w:sz="6" w:space="0" w:color="000000"/>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971</w:t>
            </w:r>
          </w:p>
        </w:tc>
      </w:tr>
      <w:tr>
        <w:trPr/>
        <w:tc>
          <w:tcPr>
            <w:tcW w:w="6080" w:type="dxa"/>
            <w:tcBorders>
              <w:top w:val="double" w:sz="6" w:space="0" w:color="000000"/>
            </w:tcBorders>
            <w:shd w:fill="FFFFFF" w:val="clear"/>
            <w:tcMar>
              <w:top w:w="28" w:type="dxa"/>
              <w:bottom w:w="0" w:type="dxa"/>
            </w:tcMar>
            <w:vAlign w:val="center"/>
          </w:tcPr>
          <w:p>
            <w:pPr>
              <w:pStyle w:val="TableContents"/>
              <w:bidi w:val="0"/>
              <w:spacing w:lineRule="auto" w:line="276" w:before="0" w:after="0"/>
              <w:jc w:val="left"/>
              <w:rPr/>
            </w:pPr>
            <w:r>
              <w:rPr/>
              <w:t> </w:t>
            </w:r>
          </w:p>
        </w:tc>
        <w:tc>
          <w:tcPr>
            <w:tcW w:w="60" w:type="dxa"/>
            <w:tcBorders>
              <w:top w:val="double" w:sz="6" w:space="0" w:color="000000"/>
            </w:tcBorders>
            <w:shd w:fill="FFFFFF" w:val="clear"/>
            <w:tcMar>
              <w:top w:w="28" w:type="dxa"/>
              <w:bottom w:w="0" w:type="dxa"/>
            </w:tcMar>
            <w:vAlign w:val="center"/>
          </w:tcPr>
          <w:p>
            <w:pPr>
              <w:pStyle w:val="TableContents"/>
              <w:bidi w:val="0"/>
              <w:spacing w:lineRule="auto" w:line="276" w:before="0" w:after="0"/>
              <w:jc w:val="left"/>
              <w:rPr/>
            </w:pPr>
            <w:r>
              <w:rPr/>
              <w:t> </w:t>
            </w:r>
          </w:p>
        </w:tc>
        <w:tc>
          <w:tcPr>
            <w:tcW w:w="605" w:type="dxa"/>
            <w:tcBorders>
              <w:top w:val="double" w:sz="6"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c>
          <w:tcPr>
            <w:tcW w:w="635" w:type="dxa"/>
            <w:tcBorders>
              <w:top w:val="double" w:sz="6"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c>
          <w:tcPr>
            <w:tcW w:w="485" w:type="dxa"/>
            <w:tcBorders>
              <w:top w:val="double" w:sz="6"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c>
          <w:tcPr>
            <w:tcW w:w="605" w:type="dxa"/>
            <w:tcBorders>
              <w:top w:val="double" w:sz="6"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c>
          <w:tcPr>
            <w:tcW w:w="635" w:type="dxa"/>
            <w:tcBorders>
              <w:top w:val="double" w:sz="6"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c>
          <w:tcPr>
            <w:tcW w:w="60" w:type="dxa"/>
            <w:tcBorders>
              <w:top w:val="double" w:sz="6"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c>
          <w:tcPr>
            <w:tcW w:w="500" w:type="dxa"/>
            <w:tcBorders>
              <w:top w:val="double" w:sz="6" w:space="0" w:color="000000"/>
            </w:tcBorders>
            <w:shd w:fill="FFFFFF" w:val="clear"/>
            <w:tcMar>
              <w:top w:w="28" w:type="dxa"/>
              <w:bottom w:w="0" w:type="dxa"/>
            </w:tcMar>
            <w:vAlign w:val="center"/>
          </w:tcPr>
          <w:p>
            <w:pPr>
              <w:pStyle w:val="TableContents"/>
              <w:bidi w:val="0"/>
              <w:spacing w:lineRule="auto" w:line="276" w:before="0" w:after="0"/>
              <w:jc w:val="right"/>
              <w:rPr/>
            </w:pPr>
            <w:r>
              <w:rPr/>
              <w:t> </w:t>
            </w:r>
          </w:p>
        </w:tc>
      </w:tr>
      <w:tr>
        <w:trPr/>
        <w:tc>
          <w:tcPr>
            <w:tcW w:w="6080" w:type="dxa"/>
            <w:tcBorders/>
            <w:shd w:fill="CCEEFF" w:val="clear"/>
            <w:tcMar>
              <w:bottom w:w="0"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Started or completed unsold homes and models per domestic active selling communities (2)</w:t>
            </w:r>
          </w:p>
        </w:tc>
        <w:tc>
          <w:tcPr>
            <w:tcW w:w="60" w:type="dxa"/>
            <w:tcBorders/>
            <w:shd w:fill="CCEEFF" w:val="clear"/>
            <w:tcMar>
              <w:bottom w:w="0" w:type="dxa"/>
            </w:tcMar>
            <w:vAlign w:val="center"/>
          </w:tcPr>
          <w:p>
            <w:pPr>
              <w:pStyle w:val="TableContents"/>
              <w:bidi w:val="0"/>
              <w:spacing w:lineRule="auto" w:line="276" w:before="0" w:after="0"/>
              <w:jc w:val="left"/>
              <w:rPr/>
            </w:pPr>
            <w:r>
              <w:rPr/>
              <w:t> </w:t>
            </w:r>
          </w:p>
        </w:tc>
        <w:tc>
          <w:tcPr>
            <w:tcW w:w="605" w:type="dxa"/>
            <w:tcBorders/>
            <w:shd w:fill="CCEEFF" w:val="clear"/>
            <w:tcMar>
              <w:bottom w:w="0"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6.7</w:t>
            </w:r>
          </w:p>
        </w:tc>
        <w:tc>
          <w:tcPr>
            <w:tcW w:w="60" w:type="dxa"/>
            <w:tcBorders/>
            <w:shd w:fill="CCEEFF" w:val="clear"/>
            <w:tcMar>
              <w:bottom w:w="0" w:type="dxa"/>
            </w:tcMar>
            <w:vAlign w:val="center"/>
          </w:tcPr>
          <w:p>
            <w:pPr>
              <w:pStyle w:val="TableContents"/>
              <w:bidi w:val="0"/>
              <w:spacing w:lineRule="auto" w:line="276" w:before="0" w:after="0"/>
              <w:jc w:val="right"/>
              <w:rPr/>
            </w:pPr>
            <w:r>
              <w:rPr/>
              <w:t> </w:t>
            </w:r>
          </w:p>
        </w:tc>
        <w:tc>
          <w:tcPr>
            <w:tcW w:w="60" w:type="dxa"/>
            <w:tcBorders/>
            <w:shd w:fill="CCEEFF" w:val="clear"/>
            <w:tcMar>
              <w:bottom w:w="0" w:type="dxa"/>
            </w:tcMar>
            <w:vAlign w:val="center"/>
          </w:tcPr>
          <w:p>
            <w:pPr>
              <w:pStyle w:val="TableContents"/>
              <w:bidi w:val="0"/>
              <w:spacing w:lineRule="auto" w:line="276" w:before="0" w:after="0"/>
              <w:jc w:val="right"/>
              <w:rPr/>
            </w:pPr>
            <w:r>
              <w:rPr/>
              <w:t> </w:t>
            </w:r>
          </w:p>
        </w:tc>
        <w:tc>
          <w:tcPr>
            <w:tcW w:w="635" w:type="dxa"/>
            <w:tcBorders/>
            <w:shd w:fill="CCEEFF" w:val="clear"/>
            <w:tcMar>
              <w:bottom w:w="0"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0.5</w:t>
            </w:r>
          </w:p>
        </w:tc>
        <w:tc>
          <w:tcPr>
            <w:tcW w:w="60" w:type="dxa"/>
            <w:tcBorders/>
            <w:shd w:fill="CCEEFF" w:val="clear"/>
            <w:tcMar>
              <w:bottom w:w="0" w:type="dxa"/>
            </w:tcMar>
            <w:vAlign w:val="center"/>
          </w:tcPr>
          <w:p>
            <w:pPr>
              <w:pStyle w:val="TableContents"/>
              <w:bidi w:val="0"/>
              <w:spacing w:lineRule="auto" w:line="276" w:before="0" w:after="0"/>
              <w:jc w:val="right"/>
              <w:rPr/>
            </w:pPr>
            <w:r>
              <w:rPr/>
              <w:t> </w:t>
            </w:r>
          </w:p>
        </w:tc>
        <w:tc>
          <w:tcPr>
            <w:tcW w:w="60" w:type="dxa"/>
            <w:tcBorders/>
            <w:shd w:fill="CCEEFF" w:val="clear"/>
            <w:tcMar>
              <w:bottom w:w="0" w:type="dxa"/>
            </w:tcMar>
            <w:vAlign w:val="center"/>
          </w:tcPr>
          <w:p>
            <w:pPr>
              <w:pStyle w:val="TableContents"/>
              <w:bidi w:val="0"/>
              <w:spacing w:lineRule="auto" w:line="276" w:before="0" w:after="0"/>
              <w:jc w:val="right"/>
              <w:rPr/>
            </w:pPr>
            <w:r>
              <w:rPr/>
              <w:t> </w:t>
            </w:r>
          </w:p>
        </w:tc>
        <w:tc>
          <w:tcPr>
            <w:tcW w:w="485" w:type="dxa"/>
            <w:tcBorders/>
            <w:shd w:fill="CCEEFF" w:val="clear"/>
            <w:tcMar>
              <w:bottom w:w="0"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7.2</w:t>
            </w:r>
          </w:p>
        </w:tc>
        <w:tc>
          <w:tcPr>
            <w:tcW w:w="60" w:type="dxa"/>
            <w:tcBorders/>
            <w:shd w:fill="CCEEFF" w:val="clear"/>
            <w:tcMar>
              <w:bottom w:w="0" w:type="dxa"/>
            </w:tcMar>
            <w:vAlign w:val="center"/>
          </w:tcPr>
          <w:p>
            <w:pPr>
              <w:pStyle w:val="TableContents"/>
              <w:bidi w:val="0"/>
              <w:spacing w:lineRule="auto" w:line="276" w:before="0" w:after="0"/>
              <w:jc w:val="right"/>
              <w:rPr/>
            </w:pPr>
            <w:r>
              <w:rPr/>
              <w:t> </w:t>
            </w:r>
          </w:p>
        </w:tc>
        <w:tc>
          <w:tcPr>
            <w:tcW w:w="60" w:type="dxa"/>
            <w:tcBorders/>
            <w:shd w:fill="CCEEFF" w:val="clear"/>
            <w:tcMar>
              <w:bottom w:w="0" w:type="dxa"/>
            </w:tcMar>
            <w:vAlign w:val="center"/>
          </w:tcPr>
          <w:p>
            <w:pPr>
              <w:pStyle w:val="TableContents"/>
              <w:bidi w:val="0"/>
              <w:spacing w:lineRule="auto" w:line="276" w:before="0" w:after="0"/>
              <w:jc w:val="right"/>
              <w:rPr/>
            </w:pPr>
            <w:r>
              <w:rPr/>
              <w:t> </w:t>
            </w:r>
          </w:p>
        </w:tc>
        <w:tc>
          <w:tcPr>
            <w:tcW w:w="605" w:type="dxa"/>
            <w:tcBorders/>
            <w:shd w:fill="CCEEFF" w:val="clear"/>
            <w:tcMar>
              <w:bottom w:w="0"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6.5</w:t>
            </w:r>
          </w:p>
        </w:tc>
        <w:tc>
          <w:tcPr>
            <w:tcW w:w="60" w:type="dxa"/>
            <w:tcBorders/>
            <w:shd w:fill="CCEEFF" w:val="clear"/>
            <w:tcMar>
              <w:bottom w:w="0" w:type="dxa"/>
            </w:tcMar>
            <w:vAlign w:val="center"/>
          </w:tcPr>
          <w:p>
            <w:pPr>
              <w:pStyle w:val="TableContents"/>
              <w:bidi w:val="0"/>
              <w:spacing w:lineRule="auto" w:line="276" w:before="0" w:after="0"/>
              <w:jc w:val="right"/>
              <w:rPr/>
            </w:pPr>
            <w:r>
              <w:rPr/>
              <w:t> </w:t>
            </w:r>
          </w:p>
        </w:tc>
        <w:tc>
          <w:tcPr>
            <w:tcW w:w="60" w:type="dxa"/>
            <w:tcBorders/>
            <w:shd w:fill="CCEEFF" w:val="clear"/>
            <w:tcMar>
              <w:bottom w:w="0" w:type="dxa"/>
            </w:tcMar>
            <w:vAlign w:val="center"/>
          </w:tcPr>
          <w:p>
            <w:pPr>
              <w:pStyle w:val="TableContents"/>
              <w:bidi w:val="0"/>
              <w:spacing w:lineRule="auto" w:line="276" w:before="0" w:after="0"/>
              <w:jc w:val="right"/>
              <w:rPr/>
            </w:pPr>
            <w:r>
              <w:rPr/>
              <w:t> </w:t>
            </w:r>
          </w:p>
        </w:tc>
        <w:tc>
          <w:tcPr>
            <w:tcW w:w="635" w:type="dxa"/>
            <w:tcBorders/>
            <w:shd w:fill="CCEEFF" w:val="clear"/>
            <w:tcMar>
              <w:bottom w:w="0"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0.4</w:t>
            </w:r>
          </w:p>
        </w:tc>
        <w:tc>
          <w:tcPr>
            <w:tcW w:w="60" w:type="dxa"/>
            <w:tcBorders/>
            <w:shd w:fill="CCEEFF" w:val="clear"/>
            <w:tcMar>
              <w:bottom w:w="0" w:type="dxa"/>
            </w:tcMar>
            <w:vAlign w:val="center"/>
          </w:tcPr>
          <w:p>
            <w:pPr>
              <w:pStyle w:val="TableContents"/>
              <w:bidi w:val="0"/>
              <w:spacing w:lineRule="auto" w:line="276" w:before="0" w:after="0"/>
              <w:jc w:val="right"/>
              <w:rPr/>
            </w:pPr>
            <w:r>
              <w:rPr/>
              <w:t> </w:t>
            </w:r>
          </w:p>
        </w:tc>
        <w:tc>
          <w:tcPr>
            <w:tcW w:w="60" w:type="dxa"/>
            <w:tcBorders/>
            <w:shd w:fill="CCEEFF" w:val="clear"/>
            <w:tcMar>
              <w:bottom w:w="0" w:type="dxa"/>
            </w:tcMar>
            <w:vAlign w:val="center"/>
          </w:tcPr>
          <w:p>
            <w:pPr>
              <w:pStyle w:val="TableContents"/>
              <w:bidi w:val="0"/>
              <w:spacing w:lineRule="auto" w:line="276" w:before="0" w:after="0"/>
              <w:jc w:val="right"/>
              <w:rPr/>
            </w:pPr>
            <w:r>
              <w:rPr/>
              <w:t> </w:t>
            </w:r>
          </w:p>
        </w:tc>
        <w:tc>
          <w:tcPr>
            <w:tcW w:w="500" w:type="dxa"/>
            <w:tcBorders/>
            <w:shd w:fill="CCEEFF" w:val="clear"/>
            <w:tcMar>
              <w:bottom w:w="0"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6.9</w:t>
            </w:r>
          </w:p>
        </w:tc>
      </w:tr>
    </w:tbl>
    <w:p>
      <w:pPr>
        <w:pStyle w:val="TextBody"/>
        <w:bidi w:val="0"/>
        <w:spacing w:lineRule="atLeast" w:line="24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i/>
                <w:sz w:val="20"/>
              </w:rPr>
            </w:pPr>
            <w:r>
              <w:rPr>
                <w:i/>
                <w:sz w:val="20"/>
              </w:rPr>
              <w:t xml:space="preserve">(1) </w:t>
            </w:r>
          </w:p>
        </w:tc>
        <w:tc>
          <w:tcPr>
            <w:tcW w:w="9907" w:type="dxa"/>
            <w:tcBorders/>
            <w:vAlign w:val="center"/>
          </w:tcPr>
          <w:p>
            <w:pPr>
              <w:pStyle w:val="TableContents"/>
              <w:bidi w:val="0"/>
              <w:spacing w:before="0" w:after="120"/>
              <w:jc w:val="left"/>
              <w:rPr>
                <w:sz w:val="20"/>
              </w:rPr>
            </w:pPr>
            <w:r>
              <w:rPr>
                <w:i/>
                <w:sz w:val="20"/>
              </w:rPr>
              <w:t xml:space="preserve">At </w:t>
            </w:r>
            <w:r>
              <w:rPr>
                <w:rFonts w:ascii="Times New Roman" w:hAnsi="Times New Roman"/>
                <w:i/>
                <w:sz w:val="20"/>
              </w:rPr>
              <w:t>July 31, 2026</w:t>
            </w:r>
            <w:r>
              <w:rPr>
                <w:i/>
                <w:sz w:val="20"/>
              </w:rPr>
              <w:t>, KSA had no started unsold homes or models.</w:t>
            </w:r>
          </w:p>
        </w:tc>
      </w:tr>
      <w:tr>
        <w:trPr/>
        <w:tc>
          <w:tcPr>
            <w:tcW w:w="75"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i/>
                <w:sz w:val="20"/>
              </w:rPr>
            </w:pPr>
            <w:r>
              <w:rPr>
                <w:i/>
                <w:sz w:val="20"/>
              </w:rPr>
              <w:t>(2)</w:t>
            </w:r>
          </w:p>
        </w:tc>
        <w:tc>
          <w:tcPr>
            <w:tcW w:w="9907" w:type="dxa"/>
            <w:tcBorders/>
            <w:vAlign w:val="center"/>
          </w:tcPr>
          <w:p>
            <w:pPr>
              <w:pStyle w:val="TableContents"/>
              <w:bidi w:val="0"/>
              <w:spacing w:before="0" w:after="0"/>
              <w:jc w:val="left"/>
              <w:rPr>
                <w:sz w:val="20"/>
              </w:rPr>
            </w:pPr>
            <w:r>
              <w:rPr>
                <w:i/>
                <w:sz w:val="20"/>
              </w:rPr>
              <w:t xml:space="preserve">Domestic active selling communities (which are communities that are open for sale with ten or more home sites available) were 123 at </w:t>
            </w:r>
            <w:r>
              <w:rPr>
                <w:rFonts w:ascii="Times New Roman" w:hAnsi="Times New Roman"/>
                <w:i/>
                <w:sz w:val="20"/>
              </w:rPr>
              <w:t>July 31, 2026</w:t>
            </w:r>
            <w:r>
              <w:rPr>
                <w:sz w:val="20"/>
              </w:rPr>
              <w:t xml:space="preserve"> </w:t>
            </w:r>
            <w:r>
              <w:rPr>
                <w:i/>
                <w:sz w:val="20"/>
              </w:rPr>
              <w:t>and 140</w:t>
            </w:r>
            <w:r>
              <w:rPr>
                <w:sz w:val="20"/>
              </w:rPr>
              <w:t> </w:t>
            </w:r>
            <w:r>
              <w:rPr>
                <w:i/>
                <w:sz w:val="20"/>
              </w:rPr>
              <w:t>at October 31, 2025. This ratio does not include substantially completed communities, which are communities with less than ten home sites available.</w:t>
            </w:r>
          </w:p>
        </w:tc>
      </w:tr>
    </w:tbl>
    <w:p>
      <w:pPr>
        <w:pStyle w:val="TextBody"/>
        <w:bidi w:val="0"/>
        <w:spacing w:lineRule="atLeast" w:line="240" w:before="0" w:after="0"/>
        <w:jc w:val="left"/>
        <w:rPr/>
      </w:pPr>
      <w:r>
        <w:rPr/>
        <w:t> </w:t>
      </w:r>
    </w:p>
    <w:p>
      <w:pPr>
        <w:pStyle w:val="TextBody"/>
        <w:bidi w:val="0"/>
        <w:spacing w:lineRule="atLeast" w:line="240" w:before="0" w:after="0"/>
        <w:jc w:val="left"/>
        <w:rPr>
          <w:b/>
          <w:sz w:val="20"/>
        </w:rPr>
      </w:pPr>
      <w:r>
        <w:rPr>
          <w:b/>
          <w:sz w:val="20"/>
        </w:rPr>
        <w:t>Other Balance Sheet Fluctuations</w:t>
      </w:r>
    </w:p>
    <w:p>
      <w:pPr>
        <w:pStyle w:val="TextBody"/>
        <w:shd w:fill="FFFFFF" w:val="clear"/>
        <w:bidi w:val="0"/>
        <w:spacing w:lineRule="atLeast" w:line="240" w:before="200" w:after="0"/>
        <w:jc w:val="left"/>
        <w:rPr>
          <w:i/>
          <w:sz w:val="20"/>
        </w:rPr>
      </w:pPr>
      <w:r>
        <w:rPr>
          <w:i/>
          <w:sz w:val="20"/>
        </w:rPr>
        <w:t>Goodwill</w:t>
      </w:r>
    </w:p>
    <w:p>
      <w:pPr>
        <w:pStyle w:val="TextBody"/>
        <w:shd w:fill="FFFFFF" w:val="clear"/>
        <w:bidi w:val="0"/>
        <w:spacing w:lineRule="atLeast" w:line="240" w:before="200" w:after="200"/>
        <w:ind w:left="0" w:right="0" w:firstLine="900"/>
        <w:jc w:val="left"/>
        <w:rPr/>
      </w:pPr>
      <w:r>
        <w:rPr>
          <w:sz w:val="20"/>
        </w:rPr>
        <w:t>Goodwill increased to $31.7</w:t>
      </w:r>
      <w:r>
        <w:rPr/>
        <w:t> </w:t>
      </w:r>
      <w:r>
        <w:rPr>
          <w:sz w:val="20"/>
        </w:rPr>
        <w:t xml:space="preserve">million at </w:t>
      </w:r>
      <w:r>
        <w:rPr>
          <w:rFonts w:ascii="Times New Roman" w:hAnsi="Times New Roman"/>
          <w:sz w:val="20"/>
        </w:rPr>
        <w:t>July 31, 2026</w:t>
      </w:r>
      <w:r>
        <w:rPr/>
        <w:t xml:space="preserve"> </w:t>
      </w:r>
      <w:r>
        <w:rPr>
          <w:sz w:val="20"/>
        </w:rPr>
        <w:t>as a result of the acquisition of</w:t>
      </w:r>
      <w:r>
        <w:rPr/>
        <w:t> </w:t>
      </w:r>
      <w:r>
        <w:rPr>
          <w:sz w:val="20"/>
        </w:rPr>
        <w:t>a controlling interest in KSA during the first quarter of fiscal 2026.</w:t>
      </w:r>
      <w:r>
        <w:rPr/>
        <w:t> </w:t>
      </w:r>
      <w:r>
        <w:rPr>
          <w:sz w:val="20"/>
        </w:rPr>
        <w:t xml:space="preserve">No goodwill was recorded at October 31, 2025. See Note 18 to the Condensed Consolidated Financial Statements included elsewhere in this Quarterly Report on Form 10-Q for further details on the KSA purchase price allocation. </w:t>
      </w:r>
    </w:p>
    <w:p>
      <w:pPr>
        <w:pStyle w:val="TextBody"/>
        <w:shd w:fill="FFFFFF" w:val="clear"/>
        <w:bidi w:val="0"/>
        <w:spacing w:lineRule="atLeast" w:line="240" w:before="200" w:after="0"/>
        <w:jc w:val="left"/>
        <w:rPr>
          <w:i/>
          <w:sz w:val="20"/>
        </w:rPr>
      </w:pPr>
      <w:r>
        <w:rPr>
          <w:i/>
          <w:sz w:val="20"/>
        </w:rPr>
        <w:t>Customer Deposits</w:t>
      </w:r>
    </w:p>
    <w:p>
      <w:pPr>
        <w:pStyle w:val="TextBody"/>
        <w:shd w:fill="FFFFFF" w:val="clear"/>
        <w:bidi w:val="0"/>
        <w:spacing w:lineRule="atLeast" w:line="240" w:before="0" w:after="0"/>
        <w:jc w:val="left"/>
        <w:rPr/>
      </w:pPr>
      <w:r>
        <w:rPr/>
        <w:t> </w:t>
      </w:r>
    </w:p>
    <w:p>
      <w:pPr>
        <w:pStyle w:val="TextBody"/>
        <w:bidi w:val="0"/>
        <w:spacing w:lineRule="atLeast" w:line="240" w:before="0" w:after="200"/>
        <w:ind w:left="0" w:right="0" w:firstLine="907"/>
        <w:jc w:val="left"/>
        <w:rPr/>
      </w:pPr>
      <w:r>
        <w:rPr>
          <w:sz w:val="20"/>
        </w:rPr>
        <w:t>Customer deposits increased by</w:t>
      </w:r>
      <w:r>
        <w:rPr/>
        <w:t> </w:t>
      </w:r>
      <w:r>
        <w:rPr>
          <w:sz w:val="20"/>
        </w:rPr>
        <w:t>$189.0</w:t>
      </w:r>
      <w:r>
        <w:rPr/>
        <w:t> </w:t>
      </w:r>
      <w:r>
        <w:rPr>
          <w:sz w:val="20"/>
        </w:rPr>
        <w:t>million to $235.4</w:t>
      </w:r>
      <w:r>
        <w:rPr/>
        <w:t> </w:t>
      </w:r>
      <w:r>
        <w:rPr>
          <w:sz w:val="20"/>
        </w:rPr>
        <w:t>million at</w:t>
      </w:r>
      <w:r>
        <w:rPr/>
        <w:t> </w:t>
      </w:r>
      <w:r>
        <w:rPr>
          <w:rFonts w:ascii="Times New Roman" w:hAnsi="Times New Roman"/>
          <w:sz w:val="20"/>
        </w:rPr>
        <w:t>July 31, 2026</w:t>
      </w:r>
      <w:r>
        <w:rPr/>
        <w:t> </w:t>
      </w:r>
      <w:r>
        <w:rPr>
          <w:sz w:val="20"/>
        </w:rPr>
        <w:t>compared with</w:t>
      </w:r>
      <w:r>
        <w:rPr/>
        <w:t> </w:t>
      </w:r>
      <w:r>
        <w:rPr>
          <w:rFonts w:ascii="Times New Roman" w:hAnsi="Times New Roman"/>
          <w:sz w:val="20"/>
        </w:rPr>
        <w:t>October 31, 2025</w:t>
      </w:r>
      <w:r>
        <w:rPr>
          <w:sz w:val="20"/>
        </w:rPr>
        <w:t>.</w:t>
      </w:r>
      <w:r>
        <w:rPr/>
        <w:t> </w:t>
      </w:r>
      <w:r>
        <w:rPr>
          <w:sz w:val="20"/>
        </w:rPr>
        <w:t>The increase was primarily due to KSA stage payments received as a home is constructed, which are recorded as deferred revenue.</w:t>
      </w:r>
    </w:p>
    <w:p>
      <w:pPr>
        <w:pStyle w:val="TextBody"/>
        <w:shd w:fill="FFFFFF" w:val="clear"/>
        <w:bidi w:val="0"/>
        <w:spacing w:lineRule="atLeast" w:line="240" w:before="200" w:after="0"/>
        <w:jc w:val="left"/>
        <w:rPr>
          <w:i/>
          <w:sz w:val="20"/>
        </w:rPr>
      </w:pPr>
      <w:r>
        <w:rPr>
          <w:i/>
          <w:sz w:val="20"/>
        </w:rPr>
        <w:t>Financial Services Assets and Liabilities</w:t>
      </w:r>
    </w:p>
    <w:p>
      <w:pPr>
        <w:pStyle w:val="TextBody"/>
        <w:shd w:fill="FFFFFF" w:val="clear"/>
        <w:bidi w:val="0"/>
        <w:spacing w:lineRule="atLeast" w:line="240" w:before="200" w:after="200"/>
        <w:ind w:left="0" w:right="0" w:firstLine="900"/>
        <w:jc w:val="left"/>
        <w:rPr/>
      </w:pPr>
      <w:r>
        <w:rPr>
          <w:sz w:val="20"/>
        </w:rPr>
        <w:t xml:space="preserve">Financial services assets </w:t>
      </w:r>
      <w:r>
        <w:rPr>
          <w:rFonts w:ascii="Times New Roman" w:hAnsi="Times New Roman"/>
          <w:sz w:val="20"/>
        </w:rPr>
        <w:t>increased</w:t>
      </w:r>
      <w:r>
        <w:rPr/>
        <w:t> </w:t>
      </w:r>
      <w:r>
        <w:rPr>
          <w:sz w:val="20"/>
        </w:rPr>
        <w:t>by $</w:t>
      </w:r>
      <w:r>
        <w:rPr>
          <w:rFonts w:ascii="Times New Roman" w:hAnsi="Times New Roman"/>
          <w:sz w:val="20"/>
        </w:rPr>
        <w:t>11.5</w:t>
      </w:r>
      <w:r>
        <w:rPr/>
        <w:t> </w:t>
      </w:r>
      <w:r>
        <w:rPr>
          <w:sz w:val="20"/>
        </w:rPr>
        <w:t>million to $</w:t>
      </w:r>
      <w:r>
        <w:rPr>
          <w:rFonts w:ascii="Times New Roman" w:hAnsi="Times New Roman"/>
          <w:sz w:val="20"/>
        </w:rPr>
        <w:t>162.7</w:t>
      </w:r>
      <w:r>
        <w:rPr/>
        <w:t> </w:t>
      </w:r>
      <w:r>
        <w:rPr>
          <w:sz w:val="20"/>
        </w:rPr>
        <w:t>million at</w:t>
      </w:r>
      <w:r>
        <w:rPr/>
        <w:t> </w:t>
      </w:r>
      <w:r>
        <w:rPr>
          <w:rFonts w:ascii="Times New Roman" w:hAnsi="Times New Roman"/>
          <w:sz w:val="20"/>
        </w:rPr>
        <w:t>July 31, 2026</w:t>
      </w:r>
      <w:r>
        <w:rPr>
          <w:sz w:val="20"/>
        </w:rPr>
        <w:t>, compared with</w:t>
      </w:r>
      <w:r>
        <w:rPr/>
        <w:t> </w:t>
      </w:r>
      <w:r>
        <w:rPr>
          <w:rFonts w:ascii="Times New Roman" w:hAnsi="Times New Roman"/>
          <w:sz w:val="20"/>
        </w:rPr>
        <w:t>October 31, 2025</w:t>
      </w:r>
      <w:r>
        <w:rPr>
          <w:sz w:val="20"/>
        </w:rPr>
        <w:t>. These assets consist primarily of residential mortgage receivables held for sale, of which $120.5</w:t>
      </w:r>
      <w:r>
        <w:rPr/>
        <w:t> </w:t>
      </w:r>
      <w:r>
        <w:rPr>
          <w:sz w:val="20"/>
        </w:rPr>
        <w:t>million and $109.8</w:t>
      </w:r>
      <w:r>
        <w:rPr/>
        <w:t> </w:t>
      </w:r>
      <w:r>
        <w:rPr>
          <w:sz w:val="20"/>
        </w:rPr>
        <w:t>million at</w:t>
      </w:r>
      <w:r>
        <w:rPr/>
        <w:t> </w:t>
      </w:r>
      <w:r>
        <w:rPr>
          <w:rFonts w:ascii="Times New Roman" w:hAnsi="Times New Roman"/>
          <w:sz w:val="20"/>
        </w:rPr>
        <w:t>July 31, 2026</w:t>
      </w:r>
      <w:r>
        <w:rPr/>
        <w:t> </w:t>
      </w:r>
      <w:r>
        <w:rPr>
          <w:sz w:val="20"/>
        </w:rPr>
        <w:t>and</w:t>
      </w:r>
      <w:r>
        <w:rPr/>
        <w:t> </w:t>
      </w:r>
      <w:r>
        <w:rPr>
          <w:rFonts w:ascii="Times New Roman" w:hAnsi="Times New Roman"/>
          <w:sz w:val="20"/>
        </w:rPr>
        <w:t>October 31, 2025</w:t>
      </w:r>
      <w:r>
        <w:rPr>
          <w:sz w:val="20"/>
        </w:rPr>
        <w:t>, respectively, were temporarily warehoused pending sale in the secondary mortgage market. The increase in mortgage loans held for sale was primarily due to higher loan origination volume in the third quarter of fiscal</w:t>
      </w:r>
      <w:r>
        <w:rPr/>
        <w:t> </w:t>
      </w:r>
      <w:r>
        <w:rPr>
          <w:sz w:val="20"/>
        </w:rPr>
        <w:t>2026</w:t>
      </w:r>
      <w:r>
        <w:rPr/>
        <w:t> </w:t>
      </w:r>
      <w:r>
        <w:rPr>
          <w:sz w:val="20"/>
        </w:rPr>
        <w:t>compared with the fourth quarter of fiscal</w:t>
      </w:r>
      <w:r>
        <w:rPr/>
        <w:t> </w:t>
      </w:r>
      <w:r>
        <w:rPr>
          <w:sz w:val="20"/>
        </w:rPr>
        <w:t>2025, as well as an increase in average loan value.</w:t>
      </w:r>
    </w:p>
    <w:p>
      <w:pPr>
        <w:pStyle w:val="TextBody"/>
        <w:shd w:fill="FFFFFF" w:val="clear"/>
        <w:bidi w:val="0"/>
        <w:spacing w:lineRule="atLeast" w:line="240" w:before="0" w:after="0"/>
        <w:ind w:left="0" w:right="0" w:firstLine="900"/>
        <w:jc w:val="left"/>
        <w:rPr/>
      </w:pPr>
      <w:r>
        <w:rPr>
          <w:sz w:val="20"/>
        </w:rPr>
        <w:t xml:space="preserve">Financial services liabilities </w:t>
      </w:r>
      <w:r>
        <w:rPr>
          <w:rFonts w:ascii="Times New Roman" w:hAnsi="Times New Roman"/>
          <w:sz w:val="20"/>
        </w:rPr>
        <w:t>increased</w:t>
      </w:r>
      <w:r>
        <w:rPr/>
        <w:t xml:space="preserve"> </w:t>
      </w:r>
      <w:r>
        <w:rPr>
          <w:sz w:val="20"/>
        </w:rPr>
        <w:t>by $</w:t>
      </w:r>
      <w:r>
        <w:rPr>
          <w:rFonts w:ascii="Times New Roman" w:hAnsi="Times New Roman"/>
          <w:sz w:val="20"/>
        </w:rPr>
        <w:t>10.8</w:t>
      </w:r>
      <w:r>
        <w:rPr/>
        <w:t> </w:t>
      </w:r>
      <w:r>
        <w:rPr>
          <w:sz w:val="20"/>
        </w:rPr>
        <w:t>million to $</w:t>
      </w:r>
      <w:r>
        <w:rPr>
          <w:rFonts w:ascii="Times New Roman" w:hAnsi="Times New Roman"/>
          <w:sz w:val="20"/>
        </w:rPr>
        <w:t>141.7</w:t>
      </w:r>
      <w:r>
        <w:rPr/>
        <w:t> </w:t>
      </w:r>
      <w:r>
        <w:rPr>
          <w:sz w:val="20"/>
        </w:rPr>
        <w:t>million at</w:t>
      </w:r>
      <w:r>
        <w:rPr/>
        <w:t> </w:t>
      </w:r>
      <w:r>
        <w:rPr>
          <w:rFonts w:ascii="Times New Roman" w:hAnsi="Times New Roman"/>
          <w:sz w:val="20"/>
        </w:rPr>
        <w:t>July 31, 2026</w:t>
      </w:r>
      <w:r>
        <w:rPr/>
        <w:t> </w:t>
      </w:r>
      <w:r>
        <w:rPr>
          <w:sz w:val="20"/>
        </w:rPr>
        <w:t>compared with</w:t>
      </w:r>
      <w:r>
        <w:rPr/>
        <w:t> </w:t>
      </w:r>
      <w:r>
        <w:rPr>
          <w:rFonts w:ascii="Times New Roman" w:hAnsi="Times New Roman"/>
          <w:sz w:val="20"/>
        </w:rPr>
        <w:t>October 31, 2025</w:t>
      </w:r>
      <w:r>
        <w:rPr>
          <w:sz w:val="20"/>
        </w:rPr>
        <w:t xml:space="preserve">. The increase was primarily due to higher amounts outstanding under our mortgage warehouse lines of credit, which corresponded with the increase in mortgage loans held for sale during the period. </w:t>
      </w:r>
    </w:p>
    <w:p>
      <w:pPr>
        <w:pStyle w:val="TextBody"/>
        <w:bidi w:val="0"/>
        <w:spacing w:lineRule="atLeast" w:line="240" w:before="200" w:after="0"/>
        <w:jc w:val="left"/>
        <w:rPr>
          <w:b/>
          <w:sz w:val="20"/>
        </w:rPr>
      </w:pPr>
      <w:r>
        <w:rPr>
          <w:b/>
          <w:sz w:val="20"/>
        </w:rPr>
        <w:t>Inflation</w:t>
      </w:r>
    </w:p>
    <w:p>
      <w:pPr>
        <w:pStyle w:val="TextBody"/>
        <w:bidi w:val="0"/>
        <w:spacing w:lineRule="atLeast" w:line="240" w:before="0" w:after="0"/>
        <w:jc w:val="left"/>
        <w:rPr/>
      </w:pPr>
      <w:r>
        <w:rPr/>
        <w:t> </w:t>
      </w:r>
    </w:p>
    <w:p>
      <w:pPr>
        <w:pStyle w:val="TextBody"/>
        <w:bidi w:val="0"/>
        <w:spacing w:lineRule="atLeast" w:line="240" w:before="0" w:after="0"/>
        <w:jc w:val="left"/>
        <w:rPr/>
      </w:pPr>
      <w:r>
        <w:rPr/>
        <w:t xml:space="preserve">                  </w:t>
      </w:r>
      <w:r>
        <w:rPr>
          <w:sz w:val="20"/>
        </w:rPr>
        <w:t>The annual rate of inflation in the United States was</w:t>
      </w:r>
      <w:r>
        <w:rPr/>
        <w:t> </w:t>
      </w:r>
      <w:r>
        <w:rPr>
          <w:sz w:val="20"/>
        </w:rPr>
        <w:t xml:space="preserve">3.4% in July 2026, as measured by the Consumer Price Index, which is a decrease from April 2026, and much improved from its peak of 9.1% in June 2022. Inflation has a long-term effect, because higher costs for land, materials and labor results in increasing sales prices of our homes. Historically, these price increases have been commensurate with the general rate of inflation in our housing markets and have not had a significant adverse effect on the sale of our homes. A significant risk faced by the housing industry generally is that rising house construction costs, including land and interest costs, could substantially outpace increases in the income of potential purchasers and therefore limit our ability to raise home sale prices, which may result in lower gross margins. </w:t>
      </w:r>
    </w:p>
    <w:p>
      <w:pPr>
        <w:pStyle w:val="TextBody"/>
        <w:bidi w:val="0"/>
        <w:spacing w:lineRule="atLeast" w:line="240" w:before="200" w:after="200"/>
        <w:ind w:left="0" w:right="0" w:firstLine="900"/>
        <w:jc w:val="left"/>
        <w:rPr/>
      </w:pPr>
      <w:r>
        <w:rPr>
          <w:sz w:val="20"/>
        </w:rPr>
        <w:t xml:space="preserve">Inflation has a lesser short-term effect, because we generally negotiate fixed-price contracts with many, but not all, of our subcontractors and material suppliers for the construction of our homes. These prices usually are applicable for a specified number of residential buildings or for a time period of between three to 12 months. Construction costs for residential buildings represented approximately 48.2% of our homebuilding cost of sales for the </w:t>
      </w:r>
      <w:r>
        <w:rPr>
          <w:rFonts w:ascii="Times New Roman" w:hAnsi="Times New Roman"/>
          <w:sz w:val="20"/>
        </w:rPr>
        <w:t>nine months ended July 31, 2026</w:t>
      </w:r>
      <w:r>
        <w:rPr>
          <w:sz w:val="20"/>
        </w:rPr>
        <w:t>.</w:t>
      </w:r>
    </w:p>
    <w:p>
      <w:pPr>
        <w:pStyle w:val="TextBody"/>
        <w:bidi w:val="0"/>
        <w:spacing w:lineRule="auto" w:line="276" w:before="0" w:after="0"/>
        <w:jc w:val="center"/>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p>
    <w:p>
      <w:pPr>
        <w:pStyle w:val="TextBody"/>
        <w:bidi w:val="0"/>
        <w:spacing w:lineRule="auto" w:line="276" w:before="0" w:after="200"/>
        <w:jc w:val="left"/>
        <w:rPr/>
      </w:pPr>
      <w:hyperlink w:anchor="TOC_TableofContent">
        <w:r>
          <w:rPr>
            <w:rStyle w:val="InternetLink"/>
            <w:strike w:val="false"/>
            <w:dstrike w:val="false"/>
            <w:color w:val="0000FF"/>
            <w:sz w:val="20"/>
            <w:u w:val="single"/>
            <w:effect w:val="none"/>
          </w:rPr>
          <w:t>Table of Contents</w:t>
        </w:r>
      </w:hyperlink>
    </w:p>
    <w:p>
      <w:pPr>
        <w:pStyle w:val="TextBody"/>
        <w:bidi w:val="0"/>
        <w:spacing w:lineRule="atLeast" w:line="240" w:before="0" w:after="0"/>
        <w:jc w:val="left"/>
        <w:rPr>
          <w:b/>
          <w:sz w:val="20"/>
        </w:rPr>
      </w:pPr>
      <w:r>
        <w:rPr>
          <w:b/>
          <w:sz w:val="20"/>
        </w:rPr>
        <w:t>Critical Accounting Policies</w:t>
      </w:r>
    </w:p>
    <w:p>
      <w:pPr>
        <w:pStyle w:val="TextBody"/>
        <w:bidi w:val="0"/>
        <w:spacing w:lineRule="atLeast" w:line="240" w:before="200" w:after="0"/>
        <w:ind w:left="0" w:right="0" w:firstLine="900"/>
        <w:jc w:val="left"/>
        <w:rPr/>
      </w:pPr>
      <w:r>
        <w:rPr>
          <w:sz w:val="20"/>
        </w:rPr>
        <w:t xml:space="preserve">As disclosed in our Annual Report on Form 10-K for the fiscal year ended </w:t>
      </w:r>
      <w:r>
        <w:rPr>
          <w:rFonts w:ascii="Times New Roman" w:hAnsi="Times New Roman"/>
          <w:sz w:val="20"/>
        </w:rPr>
        <w:t>October 31, 2025</w:t>
      </w:r>
      <w:r>
        <w:rPr>
          <w:sz w:val="20"/>
        </w:rPr>
        <w:t xml:space="preserve">, our most critical accounting policies relate to inventories, unconsolidated joint ventures, warranty and construction defect reserves and income taxes. Since </w:t>
      </w:r>
      <w:r>
        <w:rPr>
          <w:rFonts w:ascii="Times New Roman" w:hAnsi="Times New Roman"/>
          <w:sz w:val="20"/>
        </w:rPr>
        <w:t>October 31, 2025</w:t>
      </w:r>
      <w:r>
        <w:rPr>
          <w:sz w:val="20"/>
        </w:rPr>
        <w:t>, there have been no significant changes to those critical accounting policies.</w:t>
      </w:r>
    </w:p>
    <w:p>
      <w:pPr>
        <w:pStyle w:val="TextBody"/>
        <w:bidi w:val="0"/>
        <w:spacing w:lineRule="atLeast" w:line="240" w:before="200" w:after="0"/>
        <w:jc w:val="left"/>
        <w:rPr>
          <w:b/>
          <w:sz w:val="20"/>
        </w:rPr>
      </w:pPr>
      <w:r>
        <w:rPr>
          <w:b/>
          <w:sz w:val="20"/>
        </w:rPr>
        <w:t>Safe Harbor Statement</w:t>
      </w:r>
    </w:p>
    <w:p>
      <w:pPr>
        <w:pStyle w:val="TextBody"/>
        <w:bidi w:val="0"/>
        <w:spacing w:lineRule="atLeast" w:line="240" w:before="200" w:after="0"/>
        <w:ind w:left="0" w:right="0" w:firstLine="900"/>
        <w:jc w:val="left"/>
        <w:rPr>
          <w:sz w:val="20"/>
        </w:rPr>
      </w:pPr>
      <w:r>
        <w:rPr>
          <w:sz w:val="20"/>
        </w:rPr>
        <w:t>All statements in this Quarterly Report on Form 10-Q that are not historical facts should be considered as “Forward-Looking Statements” within the meaning of the “Safe Harbor” provisions of the Private Securities Litigation Reform Act of 1995. Such statements involve known and unknown risks, uncertainties and other factors that may cause actual results, performance or achievements of the Company to be materially different from any future results, performance or achievements expressed or implied by the forward-looking statements. Such forward-looking statements include but are not limited to statements related to the Company's goals and expectations with respect to its financial results for future financial periods. Although we believe that our plans, intentions and expectations reflected in, or suggested by, such forward-looking statements are reasonable, we can give no assurance that such plans, intentions or expectations will be achieved. By their nature, forward-looking statements: (i) speak only as of the date they are made, (ii) are not guarantees of future performance or results and (iii) are subject to risks, uncertainties and assumptions that are difficult to predict or quantify. Therefore, actual results could differ materially and adversely from those forward-looking statements as a result of a variety of factors. Such risks, uncertainties and other factors include, but are not limited to:</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9945"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xml:space="preserve">● </w:t>
            </w:r>
          </w:p>
        </w:tc>
        <w:tc>
          <w:tcPr>
            <w:tcW w:w="9945" w:type="dxa"/>
            <w:tcBorders/>
            <w:vAlign w:val="center"/>
          </w:tcPr>
          <w:p>
            <w:pPr>
              <w:pStyle w:val="TableContents"/>
              <w:bidi w:val="0"/>
              <w:spacing w:before="0" w:after="0"/>
              <w:jc w:val="left"/>
              <w:rPr>
                <w:sz w:val="20"/>
              </w:rPr>
            </w:pPr>
            <w:r>
              <w:rPr>
                <w:sz w:val="20"/>
              </w:rPr>
              <w:t xml:space="preserve">Changes in general and local economic, industry and business conditions and impacts of a significant homebuilding downturn; </w:t>
            </w:r>
          </w:p>
        </w:tc>
      </w:tr>
      <w:tr>
        <w:trPr/>
        <w:tc>
          <w:tcPr>
            <w:tcW w:w="7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xml:space="preserve">● </w:t>
            </w:r>
          </w:p>
        </w:tc>
        <w:tc>
          <w:tcPr>
            <w:tcW w:w="9945" w:type="dxa"/>
            <w:tcBorders/>
            <w:vAlign w:val="center"/>
          </w:tcPr>
          <w:p>
            <w:pPr>
              <w:pStyle w:val="TableContents"/>
              <w:bidi w:val="0"/>
              <w:spacing w:before="0" w:after="0"/>
              <w:jc w:val="left"/>
              <w:rPr>
                <w:sz w:val="20"/>
              </w:rPr>
            </w:pPr>
            <w:r>
              <w:rPr>
                <w:sz w:val="20"/>
              </w:rPr>
              <w:t xml:space="preserve">Shortages in, and price fluctuations of, raw materials and labor, including due to geopolitical events (such as the Iran war), changes in trade policies, including the imposition of tariffs and duties on homebuilding materials and products, and related trade disputes with, and retaliatory measures taken by other countries, and changes in immigration laws or the enforcement thereof and trends in labor migration; </w:t>
            </w:r>
          </w:p>
        </w:tc>
      </w:tr>
      <w:tr>
        <w:trPr/>
        <w:tc>
          <w:tcPr>
            <w:tcW w:w="7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xml:space="preserve">● </w:t>
            </w:r>
          </w:p>
        </w:tc>
        <w:tc>
          <w:tcPr>
            <w:tcW w:w="9945" w:type="dxa"/>
            <w:tcBorders/>
            <w:vAlign w:val="center"/>
          </w:tcPr>
          <w:p>
            <w:pPr>
              <w:pStyle w:val="TableContents"/>
              <w:bidi w:val="0"/>
              <w:spacing w:before="0" w:after="0"/>
              <w:jc w:val="left"/>
              <w:rPr>
                <w:sz w:val="20"/>
              </w:rPr>
            </w:pPr>
            <w:r>
              <w:rPr>
                <w:sz w:val="20"/>
              </w:rPr>
              <w:t xml:space="preserve">Fluctuations in interest rates and the availability of mortgage financing, including as a result of instability in the banking sector; </w:t>
            </w:r>
          </w:p>
        </w:tc>
      </w:tr>
      <w:tr>
        <w:trPr/>
        <w:tc>
          <w:tcPr>
            <w:tcW w:w="7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xml:space="preserve">● </w:t>
            </w:r>
          </w:p>
        </w:tc>
        <w:tc>
          <w:tcPr>
            <w:tcW w:w="9945" w:type="dxa"/>
            <w:tcBorders/>
            <w:vAlign w:val="center"/>
          </w:tcPr>
          <w:p>
            <w:pPr>
              <w:pStyle w:val="TableContents"/>
              <w:bidi w:val="0"/>
              <w:spacing w:before="0" w:after="0"/>
              <w:jc w:val="left"/>
              <w:rPr>
                <w:sz w:val="20"/>
              </w:rPr>
            </w:pPr>
            <w:r>
              <w:rPr>
                <w:sz w:val="20"/>
              </w:rPr>
              <w:t xml:space="preserve">Increases in inflation;                         </w:t>
            </w:r>
          </w:p>
        </w:tc>
      </w:tr>
      <w:tr>
        <w:trPr/>
        <w:tc>
          <w:tcPr>
            <w:tcW w:w="7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xml:space="preserve">● </w:t>
            </w:r>
          </w:p>
        </w:tc>
        <w:tc>
          <w:tcPr>
            <w:tcW w:w="9945" w:type="dxa"/>
            <w:tcBorders/>
            <w:vAlign w:val="center"/>
          </w:tcPr>
          <w:p>
            <w:pPr>
              <w:pStyle w:val="TableContents"/>
              <w:bidi w:val="0"/>
              <w:spacing w:before="0" w:after="0"/>
              <w:jc w:val="left"/>
              <w:rPr>
                <w:sz w:val="20"/>
              </w:rPr>
            </w:pPr>
            <w:r>
              <w:rPr>
                <w:sz w:val="20"/>
              </w:rPr>
              <w:t xml:space="preserve">Adverse weather and other environmental conditions and natural or man-made disasters; </w:t>
            </w:r>
          </w:p>
        </w:tc>
      </w:tr>
      <w:tr>
        <w:trPr/>
        <w:tc>
          <w:tcPr>
            <w:tcW w:w="7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xml:space="preserve">● </w:t>
            </w:r>
          </w:p>
        </w:tc>
        <w:tc>
          <w:tcPr>
            <w:tcW w:w="9945" w:type="dxa"/>
            <w:tcBorders/>
            <w:vAlign w:val="center"/>
          </w:tcPr>
          <w:p>
            <w:pPr>
              <w:pStyle w:val="TableContents"/>
              <w:bidi w:val="0"/>
              <w:spacing w:before="0" w:after="0"/>
              <w:jc w:val="left"/>
              <w:rPr>
                <w:sz w:val="20"/>
              </w:rPr>
            </w:pPr>
            <w:r>
              <w:rPr>
                <w:sz w:val="20"/>
              </w:rPr>
              <w:t xml:space="preserve">The seasonality of the Company’s business; </w:t>
            </w:r>
          </w:p>
        </w:tc>
      </w:tr>
      <w:tr>
        <w:trPr/>
        <w:tc>
          <w:tcPr>
            <w:tcW w:w="7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xml:space="preserve">● </w:t>
            </w:r>
          </w:p>
        </w:tc>
        <w:tc>
          <w:tcPr>
            <w:tcW w:w="9945" w:type="dxa"/>
            <w:tcBorders/>
            <w:vAlign w:val="center"/>
          </w:tcPr>
          <w:p>
            <w:pPr>
              <w:pStyle w:val="TableContents"/>
              <w:bidi w:val="0"/>
              <w:spacing w:before="0" w:after="0"/>
              <w:jc w:val="left"/>
              <w:rPr>
                <w:sz w:val="20"/>
              </w:rPr>
            </w:pPr>
            <w:r>
              <w:rPr>
                <w:sz w:val="20"/>
              </w:rPr>
              <w:t xml:space="preserve">The availability and cost of suitable land and improved lots and sufficient liquidity to invest in such land and lots; </w:t>
            </w:r>
          </w:p>
        </w:tc>
      </w:tr>
      <w:tr>
        <w:trPr/>
        <w:tc>
          <w:tcPr>
            <w:tcW w:w="7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xml:space="preserve">● </w:t>
            </w:r>
          </w:p>
        </w:tc>
        <w:tc>
          <w:tcPr>
            <w:tcW w:w="9945" w:type="dxa"/>
            <w:tcBorders/>
            <w:vAlign w:val="center"/>
          </w:tcPr>
          <w:p>
            <w:pPr>
              <w:pStyle w:val="TableContents"/>
              <w:bidi w:val="0"/>
              <w:spacing w:before="0" w:after="0"/>
              <w:jc w:val="left"/>
              <w:rPr>
                <w:sz w:val="20"/>
              </w:rPr>
            </w:pPr>
            <w:r>
              <w:rPr>
                <w:sz w:val="20"/>
              </w:rPr>
              <w:t xml:space="preserve">Reliance on, and the performance of, subcontractors; </w:t>
            </w:r>
          </w:p>
        </w:tc>
      </w:tr>
      <w:tr>
        <w:trPr/>
        <w:tc>
          <w:tcPr>
            <w:tcW w:w="7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xml:space="preserve">● </w:t>
            </w:r>
          </w:p>
        </w:tc>
        <w:tc>
          <w:tcPr>
            <w:tcW w:w="9945" w:type="dxa"/>
            <w:tcBorders/>
            <w:vAlign w:val="center"/>
          </w:tcPr>
          <w:p>
            <w:pPr>
              <w:pStyle w:val="TableContents"/>
              <w:bidi w:val="0"/>
              <w:spacing w:before="0" w:after="0"/>
              <w:jc w:val="left"/>
              <w:rPr>
                <w:sz w:val="20"/>
              </w:rPr>
            </w:pPr>
            <w:r>
              <w:rPr>
                <w:sz w:val="20"/>
              </w:rPr>
              <w:t xml:space="preserve">Regional and local economic factors, including dependency on certain sectors of the economy, and employment levels affecting home prices and sales activity in the markets where the Company builds homes; </w:t>
            </w:r>
          </w:p>
        </w:tc>
      </w:tr>
      <w:tr>
        <w:trPr/>
        <w:tc>
          <w:tcPr>
            <w:tcW w:w="7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xml:space="preserve">● </w:t>
            </w:r>
          </w:p>
        </w:tc>
        <w:tc>
          <w:tcPr>
            <w:tcW w:w="9945" w:type="dxa"/>
            <w:tcBorders/>
            <w:vAlign w:val="center"/>
          </w:tcPr>
          <w:p>
            <w:pPr>
              <w:pStyle w:val="TableContents"/>
              <w:bidi w:val="0"/>
              <w:spacing w:before="0" w:after="0"/>
              <w:jc w:val="left"/>
              <w:rPr>
                <w:sz w:val="20"/>
              </w:rPr>
            </w:pPr>
            <w:r>
              <w:rPr>
                <w:sz w:val="20"/>
              </w:rPr>
              <w:t xml:space="preserve">Increases in cancellations of agreements of sale; </w:t>
            </w:r>
          </w:p>
        </w:tc>
      </w:tr>
      <w:tr>
        <w:trPr/>
        <w:tc>
          <w:tcPr>
            <w:tcW w:w="7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xml:space="preserve">● </w:t>
            </w:r>
          </w:p>
        </w:tc>
        <w:tc>
          <w:tcPr>
            <w:tcW w:w="9945" w:type="dxa"/>
            <w:tcBorders/>
            <w:vAlign w:val="center"/>
          </w:tcPr>
          <w:p>
            <w:pPr>
              <w:pStyle w:val="TableContents"/>
              <w:bidi w:val="0"/>
              <w:spacing w:before="0" w:after="0"/>
              <w:jc w:val="left"/>
              <w:rPr>
                <w:sz w:val="20"/>
              </w:rPr>
            </w:pPr>
            <w:r>
              <w:rPr>
                <w:sz w:val="20"/>
              </w:rPr>
              <w:t xml:space="preserve">Changes in tax laws affecting the after-tax costs of owning a home; </w:t>
            </w:r>
          </w:p>
        </w:tc>
      </w:tr>
      <w:tr>
        <w:trPr/>
        <w:tc>
          <w:tcPr>
            <w:tcW w:w="7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xml:space="preserve">● </w:t>
            </w:r>
          </w:p>
        </w:tc>
        <w:tc>
          <w:tcPr>
            <w:tcW w:w="9945" w:type="dxa"/>
            <w:tcBorders/>
            <w:vAlign w:val="center"/>
          </w:tcPr>
          <w:p>
            <w:pPr>
              <w:pStyle w:val="TableContents"/>
              <w:bidi w:val="0"/>
              <w:spacing w:before="0" w:after="0"/>
              <w:jc w:val="left"/>
              <w:rPr>
                <w:sz w:val="20"/>
              </w:rPr>
            </w:pPr>
            <w:r>
              <w:rPr>
                <w:sz w:val="20"/>
              </w:rPr>
              <w:t xml:space="preserve">Legal claims brought against us and not resolved in our favor, such as product liability litigation, warranty claims and claims made by mortgage investors; </w:t>
            </w:r>
          </w:p>
        </w:tc>
      </w:tr>
      <w:tr>
        <w:trPr/>
        <w:tc>
          <w:tcPr>
            <w:tcW w:w="7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xml:space="preserve">● </w:t>
            </w:r>
          </w:p>
        </w:tc>
        <w:tc>
          <w:tcPr>
            <w:tcW w:w="9945" w:type="dxa"/>
            <w:tcBorders/>
            <w:vAlign w:val="center"/>
          </w:tcPr>
          <w:p>
            <w:pPr>
              <w:pStyle w:val="TableContents"/>
              <w:bidi w:val="0"/>
              <w:spacing w:before="0" w:after="0"/>
              <w:jc w:val="left"/>
              <w:rPr>
                <w:sz w:val="20"/>
              </w:rPr>
            </w:pPr>
            <w:r>
              <w:rPr>
                <w:sz w:val="20"/>
              </w:rPr>
              <w:t xml:space="preserve">Levels of competition; </w:t>
            </w:r>
          </w:p>
        </w:tc>
      </w:tr>
      <w:tr>
        <w:trPr/>
        <w:tc>
          <w:tcPr>
            <w:tcW w:w="7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w:t>
            </w:r>
          </w:p>
        </w:tc>
        <w:tc>
          <w:tcPr>
            <w:tcW w:w="9945" w:type="dxa"/>
            <w:tcBorders/>
            <w:vAlign w:val="center"/>
          </w:tcPr>
          <w:p>
            <w:pPr>
              <w:pStyle w:val="TableContents"/>
              <w:bidi w:val="0"/>
              <w:spacing w:before="0" w:after="0"/>
              <w:jc w:val="left"/>
              <w:rPr>
                <w:sz w:val="20"/>
              </w:rPr>
            </w:pPr>
            <w:r>
              <w:rPr>
                <w:sz w:val="20"/>
              </w:rPr>
              <w:t>Utility shortages and outages or rate fluctuations;</w:t>
            </w:r>
          </w:p>
        </w:tc>
      </w:tr>
      <w:tr>
        <w:trPr/>
        <w:tc>
          <w:tcPr>
            <w:tcW w:w="7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w:t>
            </w:r>
          </w:p>
        </w:tc>
        <w:tc>
          <w:tcPr>
            <w:tcW w:w="9945" w:type="dxa"/>
            <w:tcBorders/>
            <w:vAlign w:val="center"/>
          </w:tcPr>
          <w:p>
            <w:pPr>
              <w:pStyle w:val="TableContents"/>
              <w:bidi w:val="0"/>
              <w:spacing w:before="0" w:after="0"/>
              <w:jc w:val="left"/>
              <w:rPr>
                <w:sz w:val="20"/>
              </w:rPr>
            </w:pPr>
            <w:r>
              <w:rPr>
                <w:sz w:val="20"/>
              </w:rPr>
              <w:t xml:space="preserve">Information technology failures and data security breaches; </w:t>
            </w:r>
          </w:p>
        </w:tc>
      </w:tr>
      <w:tr>
        <w:trPr/>
        <w:tc>
          <w:tcPr>
            <w:tcW w:w="7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w:t>
            </w:r>
          </w:p>
        </w:tc>
        <w:tc>
          <w:tcPr>
            <w:tcW w:w="9945" w:type="dxa"/>
            <w:tcBorders/>
            <w:vAlign w:val="center"/>
          </w:tcPr>
          <w:p>
            <w:pPr>
              <w:pStyle w:val="TableContents"/>
              <w:bidi w:val="0"/>
              <w:spacing w:before="0" w:after="0"/>
              <w:jc w:val="left"/>
              <w:rPr>
                <w:sz w:val="20"/>
              </w:rPr>
            </w:pPr>
            <w:r>
              <w:rPr>
                <w:sz w:val="20"/>
              </w:rPr>
              <w:t xml:space="preserve">Negative publicity; </w:t>
            </w:r>
          </w:p>
        </w:tc>
      </w:tr>
      <w:tr>
        <w:trPr/>
        <w:tc>
          <w:tcPr>
            <w:tcW w:w="7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w:t>
            </w:r>
          </w:p>
        </w:tc>
        <w:tc>
          <w:tcPr>
            <w:tcW w:w="9945" w:type="dxa"/>
            <w:tcBorders/>
            <w:vAlign w:val="center"/>
          </w:tcPr>
          <w:p>
            <w:pPr>
              <w:pStyle w:val="TableContents"/>
              <w:bidi w:val="0"/>
              <w:spacing w:before="0" w:after="0"/>
              <w:jc w:val="left"/>
              <w:rPr>
                <w:sz w:val="20"/>
              </w:rPr>
            </w:pPr>
            <w:r>
              <w:rPr>
                <w:sz w:val="20"/>
              </w:rPr>
              <w:t>Global economic and political instability;         </w:t>
            </w:r>
          </w:p>
        </w:tc>
      </w:tr>
      <w:tr>
        <w:trPr/>
        <w:tc>
          <w:tcPr>
            <w:tcW w:w="7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w:t>
            </w:r>
          </w:p>
        </w:tc>
        <w:tc>
          <w:tcPr>
            <w:tcW w:w="9945" w:type="dxa"/>
            <w:tcBorders/>
            <w:vAlign w:val="center"/>
          </w:tcPr>
          <w:p>
            <w:pPr>
              <w:pStyle w:val="TableContents"/>
              <w:bidi w:val="0"/>
              <w:spacing w:before="0" w:after="0"/>
              <w:jc w:val="left"/>
              <w:rPr>
                <w:sz w:val="20"/>
              </w:rPr>
            </w:pPr>
            <w:r>
              <w:rPr>
                <w:sz w:val="20"/>
              </w:rPr>
              <w:t>High leverage and restrictions on the Company’s operations and activities imposed by the agreements governing the Company’s outstanding indebtedness;</w:t>
            </w:r>
          </w:p>
        </w:tc>
      </w:tr>
      <w:tr>
        <w:trPr/>
        <w:tc>
          <w:tcPr>
            <w:tcW w:w="7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w:t>
            </w:r>
          </w:p>
        </w:tc>
        <w:tc>
          <w:tcPr>
            <w:tcW w:w="9945" w:type="dxa"/>
            <w:tcBorders/>
            <w:vAlign w:val="center"/>
          </w:tcPr>
          <w:p>
            <w:pPr>
              <w:pStyle w:val="TableContents"/>
              <w:bidi w:val="0"/>
              <w:spacing w:before="0" w:after="0"/>
              <w:jc w:val="left"/>
              <w:rPr>
                <w:sz w:val="20"/>
              </w:rPr>
            </w:pPr>
            <w:r>
              <w:rPr>
                <w:sz w:val="20"/>
              </w:rPr>
              <w:t>Availability and terms of financing to the Company;</w:t>
            </w:r>
          </w:p>
        </w:tc>
      </w:tr>
      <w:tr>
        <w:trPr/>
        <w:tc>
          <w:tcPr>
            <w:tcW w:w="7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w:t>
            </w:r>
          </w:p>
        </w:tc>
        <w:tc>
          <w:tcPr>
            <w:tcW w:w="9945" w:type="dxa"/>
            <w:tcBorders/>
            <w:vAlign w:val="center"/>
          </w:tcPr>
          <w:p>
            <w:pPr>
              <w:pStyle w:val="TableContents"/>
              <w:bidi w:val="0"/>
              <w:spacing w:before="0" w:after="0"/>
              <w:jc w:val="left"/>
              <w:rPr>
                <w:sz w:val="20"/>
              </w:rPr>
            </w:pPr>
            <w:r>
              <w:rPr>
                <w:sz w:val="20"/>
              </w:rPr>
              <w:t>The Company’s sources of liquidity;</w:t>
            </w:r>
          </w:p>
        </w:tc>
      </w:tr>
      <w:tr>
        <w:trPr/>
        <w:tc>
          <w:tcPr>
            <w:tcW w:w="7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w:t>
            </w:r>
          </w:p>
        </w:tc>
        <w:tc>
          <w:tcPr>
            <w:tcW w:w="9945" w:type="dxa"/>
            <w:tcBorders/>
            <w:vAlign w:val="center"/>
          </w:tcPr>
          <w:p>
            <w:pPr>
              <w:pStyle w:val="TableContents"/>
              <w:bidi w:val="0"/>
              <w:spacing w:before="0" w:after="0"/>
              <w:jc w:val="left"/>
              <w:rPr>
                <w:sz w:val="20"/>
              </w:rPr>
            </w:pPr>
            <w:r>
              <w:rPr>
                <w:sz w:val="20"/>
              </w:rPr>
              <w:t>Changes in credit ratings;</w:t>
            </w:r>
          </w:p>
        </w:tc>
      </w:tr>
      <w:tr>
        <w:trPr/>
        <w:tc>
          <w:tcPr>
            <w:tcW w:w="7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w:t>
            </w:r>
          </w:p>
        </w:tc>
        <w:tc>
          <w:tcPr>
            <w:tcW w:w="9945" w:type="dxa"/>
            <w:tcBorders/>
            <w:vAlign w:val="center"/>
          </w:tcPr>
          <w:p>
            <w:pPr>
              <w:pStyle w:val="TableContents"/>
              <w:bidi w:val="0"/>
              <w:spacing w:before="0" w:after="0"/>
              <w:jc w:val="left"/>
              <w:rPr>
                <w:sz w:val="20"/>
              </w:rPr>
            </w:pPr>
            <w:r>
              <w:rPr>
                <w:sz w:val="20"/>
              </w:rPr>
              <w:t>Government regulation, including regulations concerning the development of land, the home building, sales and customer financing processes, tax laws and environmental, health and safety matters;</w:t>
            </w:r>
          </w:p>
        </w:tc>
      </w:tr>
      <w:tr>
        <w:trPr/>
        <w:tc>
          <w:tcPr>
            <w:tcW w:w="7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w:t>
            </w:r>
          </w:p>
        </w:tc>
        <w:tc>
          <w:tcPr>
            <w:tcW w:w="9945" w:type="dxa"/>
            <w:tcBorders/>
            <w:vAlign w:val="center"/>
          </w:tcPr>
          <w:p>
            <w:pPr>
              <w:pStyle w:val="TableContents"/>
              <w:bidi w:val="0"/>
              <w:spacing w:before="0" w:after="0"/>
              <w:jc w:val="left"/>
              <w:rPr>
                <w:sz w:val="20"/>
              </w:rPr>
            </w:pPr>
            <w:r>
              <w:rPr>
                <w:sz w:val="20"/>
              </w:rPr>
              <w:t>Potential liability as a result of the past or present use of hazardous materials;        </w:t>
            </w:r>
          </w:p>
        </w:tc>
      </w:tr>
      <w:tr>
        <w:trPr/>
        <w:tc>
          <w:tcPr>
            <w:tcW w:w="7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xml:space="preserve">● </w:t>
            </w:r>
          </w:p>
        </w:tc>
        <w:tc>
          <w:tcPr>
            <w:tcW w:w="9945" w:type="dxa"/>
            <w:tcBorders/>
            <w:vAlign w:val="center"/>
          </w:tcPr>
          <w:p>
            <w:pPr>
              <w:pStyle w:val="TableContents"/>
              <w:bidi w:val="0"/>
              <w:spacing w:before="0" w:after="0"/>
              <w:jc w:val="left"/>
              <w:rPr>
                <w:sz w:val="20"/>
              </w:rPr>
            </w:pPr>
            <w:r>
              <w:rPr>
                <w:sz w:val="20"/>
              </w:rPr>
              <w:t xml:space="preserve">Operations through unconsolidated joint ventures with third parties; </w:t>
            </w:r>
          </w:p>
        </w:tc>
      </w:tr>
      <w:tr>
        <w:trPr/>
        <w:tc>
          <w:tcPr>
            <w:tcW w:w="7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xml:space="preserve">● </w:t>
            </w:r>
          </w:p>
        </w:tc>
        <w:tc>
          <w:tcPr>
            <w:tcW w:w="9945" w:type="dxa"/>
            <w:tcBorders/>
            <w:vAlign w:val="center"/>
          </w:tcPr>
          <w:p>
            <w:pPr>
              <w:pStyle w:val="TableContents"/>
              <w:bidi w:val="0"/>
              <w:spacing w:before="0" w:after="0"/>
              <w:jc w:val="left"/>
              <w:rPr>
                <w:sz w:val="20"/>
              </w:rPr>
            </w:pPr>
            <w:r>
              <w:rPr>
                <w:sz w:val="20"/>
              </w:rPr>
              <w:t xml:space="preserve">Significant influence of the Company’s controlling stockholders; </w:t>
            </w:r>
          </w:p>
        </w:tc>
      </w:tr>
      <w:tr>
        <w:trPr/>
        <w:tc>
          <w:tcPr>
            <w:tcW w:w="7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w:t>
            </w:r>
          </w:p>
        </w:tc>
        <w:tc>
          <w:tcPr>
            <w:tcW w:w="9945" w:type="dxa"/>
            <w:tcBorders/>
            <w:vAlign w:val="center"/>
          </w:tcPr>
          <w:p>
            <w:pPr>
              <w:pStyle w:val="TableContents"/>
              <w:bidi w:val="0"/>
              <w:spacing w:before="0" w:after="0"/>
              <w:jc w:val="left"/>
              <w:rPr>
                <w:sz w:val="20"/>
              </w:rPr>
            </w:pPr>
            <w:r>
              <w:rPr>
                <w:sz w:val="20"/>
              </w:rPr>
              <w:t>Availability of net operating loss carryforwards; and</w:t>
            </w:r>
          </w:p>
        </w:tc>
      </w:tr>
      <w:tr>
        <w:trPr/>
        <w:tc>
          <w:tcPr>
            <w:tcW w:w="7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w:t>
            </w:r>
          </w:p>
        </w:tc>
        <w:tc>
          <w:tcPr>
            <w:tcW w:w="9945" w:type="dxa"/>
            <w:tcBorders/>
            <w:vAlign w:val="center"/>
          </w:tcPr>
          <w:p>
            <w:pPr>
              <w:pStyle w:val="TableContents"/>
              <w:bidi w:val="0"/>
              <w:spacing w:before="0" w:after="0"/>
              <w:jc w:val="left"/>
              <w:rPr>
                <w:sz w:val="20"/>
              </w:rPr>
            </w:pPr>
            <w:r>
              <w:rPr>
                <w:sz w:val="20"/>
              </w:rPr>
              <w:t>Loss of key management personnel or failure to attract qualified personnel.</w:t>
            </w:r>
          </w:p>
        </w:tc>
      </w:tr>
    </w:tbl>
    <w:p>
      <w:pPr>
        <w:pStyle w:val="TextBody"/>
        <w:bidi w:val="0"/>
        <w:spacing w:lineRule="atLeast" w:line="240" w:before="200" w:after="200"/>
        <w:ind w:left="0" w:right="0" w:firstLine="900"/>
        <w:jc w:val="left"/>
        <w:rPr/>
      </w:pPr>
      <w:r>
        <w:rPr>
          <w:sz w:val="20"/>
        </w:rPr>
        <w:t>Certain risks, uncertainties and other factors are described in detail in Part I, Item 1</w:t>
      </w:r>
      <w:r>
        <w:rPr/>
        <w:t> “</w:t>
      </w:r>
      <w:r>
        <w:rPr>
          <w:sz w:val="20"/>
        </w:rPr>
        <w:t xml:space="preserve">Business” and Part I, Item 1A “Risk Factors” in our Annual Report on Form 10-K for the fiscal year ended </w:t>
      </w:r>
      <w:r>
        <w:rPr>
          <w:rFonts w:ascii="Times New Roman" w:hAnsi="Times New Roman"/>
          <w:sz w:val="20"/>
        </w:rPr>
        <w:t>October 31, 2025</w:t>
      </w:r>
      <w:r>
        <w:rPr>
          <w:sz w:val="20"/>
        </w:rPr>
        <w:t>. Except as otherwise required by applicable securities laws, we undertake no obligation to publicly update or revise any forward-looking statements, whether as a result of new information, future events, changed circumstances or any other reason after the date of this Quarterly Report on Form 10-Q.</w:t>
      </w:r>
    </w:p>
    <w:p>
      <w:pPr>
        <w:pStyle w:val="TextBody"/>
        <w:bidi w:val="0"/>
        <w:spacing w:lineRule="auto" w:line="276" w:before="0" w:after="0"/>
        <w:jc w:val="center"/>
        <w:rPr>
          <w:rFonts w:ascii="Times New Roman" w:hAnsi="Times New Roman"/>
          <w:sz w:val="20"/>
        </w:rPr>
      </w:pPr>
      <w:r>
        <w:rPr>
          <w:rFonts w:ascii="Times New Roman" w:hAnsi="Times New Roman"/>
          <w:sz w:val="20"/>
        </w:rPr>
        <w:t>45</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pPr>
      <w:hyperlink w:anchor="TOC_TableofContent">
        <w:r>
          <w:rPr>
            <w:rStyle w:val="InternetLink"/>
            <w:strike w:val="false"/>
            <w:dstrike w:val="false"/>
            <w:color w:val="0000FF"/>
            <w:sz w:val="20"/>
            <w:u w:val="single"/>
            <w:effect w:val="none"/>
          </w:rPr>
          <w:t>Table of Contents</w:t>
        </w:r>
      </w:hyperlink>
    </w:p>
    <w:p>
      <w:pPr>
        <w:pStyle w:val="TextBody"/>
        <w:bidi w:val="0"/>
        <w:spacing w:lineRule="atLeast" w:line="240" w:before="0" w:after="0"/>
        <w:jc w:val="left"/>
        <w:rPr/>
      </w:pPr>
      <w:r>
        <w:rPr/>
        <w:t> </w:t>
      </w:r>
    </w:p>
    <w:p>
      <w:pPr>
        <w:pStyle w:val="TextBody"/>
        <w:bidi w:val="0"/>
        <w:spacing w:lineRule="atLeast" w:line="240" w:before="0" w:after="0"/>
        <w:jc w:val="left"/>
        <w:rPr/>
      </w:pPr>
      <w:hyperlink w:anchor="TOC">
        <w:bookmarkStart w:id="11" w:name="bm_db1481700c6b5e86"/>
        <w:bookmarkEnd w:id="11"/>
        <w:r>
          <w:rPr>
            <w:rStyle w:val="InternetLink"/>
            <w:b/>
            <w:strike w:val="false"/>
            <w:dstrike w:val="false"/>
            <w:color w:val="000000"/>
            <w:sz w:val="20"/>
            <w:u w:val="none"/>
            <w:effect w:val="none"/>
          </w:rPr>
          <w:t>Item 3. QUANTITATIVE AND QUALITATIVE DISCLOSURES ABOUT MARKET RISK</w:t>
        </w:r>
      </w:hyperlink>
      <w:r>
        <w:rPr/>
        <w:t xml:space="preserve"> </w:t>
      </w:r>
    </w:p>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sz w:val="20"/>
        </w:rPr>
        <w:t>Substantially all of our long-term debt requires fixed interest payments and we have limited exposure to variable rates. In connection with our mortgage operations, mortgage loans held for sale and the associated mortgage warehouse lines of credit under our</w:t>
      </w:r>
      <w:r>
        <w:rPr/>
        <w:t> </w:t>
      </w:r>
      <w:r>
        <w:rPr>
          <w:sz w:val="20"/>
        </w:rPr>
        <w:t xml:space="preserve">Master Repurchase Agreements are subject to interest rate risk; however, such obligations reprice frequently and are short-term in duration. In addition, we hedge the interest rate risk on mortgage loans by obtaining forward commitments from private investors. Accordingly, the interest rate risk from mortgage loans is not significant. We do not use financial instruments to hedge interest rate risk except with respect to mortgage loans. The following table sets forth as of </w:t>
      </w:r>
      <w:r>
        <w:rPr>
          <w:rFonts w:ascii="Times New Roman" w:hAnsi="Times New Roman"/>
          <w:sz w:val="20"/>
        </w:rPr>
        <w:t>July 31, 2026</w:t>
      </w:r>
      <w:r>
        <w:rPr>
          <w:sz w:val="20"/>
        </w:rPr>
        <w:t>, our long-term debt obligations, principal cash flows by scheduled maturity, weighted-average interest rates and estimated fair value (“FV”).</w:t>
      </w:r>
    </w:p>
    <w:p>
      <w:pPr>
        <w:pStyle w:val="TextBody"/>
        <w:bidi w:val="0"/>
        <w:spacing w:lineRule="atLeast" w:line="240" w:before="0" w:after="0"/>
        <w:jc w:val="left"/>
        <w:rPr/>
      </w:pPr>
      <w:r>
        <w:rPr/>
        <w:t>  </w:t>
      </w:r>
    </w:p>
    <w:tbl>
      <w:tblPr>
        <w:tblW w:w="9176" w:type="dxa"/>
        <w:jc w:val="left"/>
        <w:tblInd w:w="0" w:type="dxa"/>
        <w:tblLayout w:type="fixed"/>
        <w:tblCellMar>
          <w:top w:w="0" w:type="dxa"/>
          <w:left w:w="0" w:type="dxa"/>
          <w:bottom w:w="28" w:type="dxa"/>
          <w:right w:w="0" w:type="dxa"/>
        </w:tblCellMar>
      </w:tblPr>
      <w:tblGrid>
        <w:gridCol w:w="2495"/>
        <w:gridCol w:w="268"/>
        <w:gridCol w:w="172"/>
        <w:gridCol w:w="235"/>
        <w:gridCol w:w="268"/>
        <w:gridCol w:w="172"/>
        <w:gridCol w:w="235"/>
        <w:gridCol w:w="268"/>
        <w:gridCol w:w="172"/>
        <w:gridCol w:w="235"/>
        <w:gridCol w:w="268"/>
        <w:gridCol w:w="172"/>
        <w:gridCol w:w="235"/>
        <w:gridCol w:w="268"/>
        <w:gridCol w:w="172"/>
        <w:gridCol w:w="235"/>
        <w:gridCol w:w="159"/>
        <w:gridCol w:w="886"/>
        <w:gridCol w:w="76"/>
        <w:gridCol w:w="159"/>
        <w:gridCol w:w="886"/>
        <w:gridCol w:w="76"/>
        <w:gridCol w:w="159"/>
        <w:gridCol w:w="905"/>
      </w:tblGrid>
      <w:tr>
        <w:trPr/>
        <w:tc>
          <w:tcPr>
            <w:tcW w:w="2495" w:type="dxa"/>
            <w:tcBorders>
              <w:bottom w:val="single" w:sz="8" w:space="0" w:color="000000"/>
            </w:tcBorders>
            <w:vAlign w:val="center"/>
          </w:tcPr>
          <w:p>
            <w:pPr>
              <w:pStyle w:val="TableContents"/>
              <w:bidi w:val="0"/>
              <w:spacing w:before="0" w:after="0"/>
              <w:jc w:val="left"/>
              <w:rPr/>
            </w:pPr>
            <w:r>
              <w:rPr/>
              <w:t> </w:t>
            </w:r>
          </w:p>
        </w:tc>
        <w:tc>
          <w:tcPr>
            <w:tcW w:w="6681" w:type="dxa"/>
            <w:gridSpan w:val="23"/>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Long Term Debt as of July 31, 2026 by Fiscal Year of Maturity Date</w:t>
            </w:r>
          </w:p>
        </w:tc>
      </w:tr>
      <w:tr>
        <w:trPr/>
        <w:tc>
          <w:tcPr>
            <w:tcW w:w="249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268"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72"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23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268"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72"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23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268"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72"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23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268"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72"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23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268"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72"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235"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59"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886"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76"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59"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886"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76"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1064" w:type="dxa"/>
            <w:gridSpan w:val="2"/>
            <w:tcBorders>
              <w:top w:val="single" w:sz="8" w:space="0" w:color="000000"/>
            </w:tcBorders>
            <w:tcMar>
              <w:top w:w="28" w:type="dxa"/>
              <w:bottom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FV at</w:t>
            </w:r>
          </w:p>
        </w:tc>
      </w:tr>
      <w:tr>
        <w:trPr/>
        <w:tc>
          <w:tcPr>
            <w:tcW w:w="2495" w:type="dxa"/>
            <w:tcBorders>
              <w:bottom w:val="single" w:sz="8" w:space="0" w:color="000000"/>
            </w:tcBorders>
            <w:vAlign w:val="center"/>
          </w:tcPr>
          <w:p>
            <w:pPr>
              <w:pStyle w:val="TableContents"/>
              <w:bidi w:val="0"/>
              <w:spacing w:before="0" w:after="0"/>
              <w:jc w:val="left"/>
              <w:rPr>
                <w:rFonts w:ascii="Times New Roman" w:hAnsi="Times New Roman"/>
                <w:sz w:val="20"/>
              </w:rPr>
            </w:pPr>
            <w:r>
              <w:rPr>
                <w:rFonts w:ascii="Times New Roman" w:hAnsi="Times New Roman"/>
                <w:sz w:val="20"/>
              </w:rPr>
              <w:t>(Dollars in thousands)</w:t>
            </w:r>
          </w:p>
        </w:tc>
        <w:tc>
          <w:tcPr>
            <w:tcW w:w="440" w:type="dxa"/>
            <w:gridSpan w:val="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235" w:type="dxa"/>
            <w:tcBorders>
              <w:bottom w:val="single" w:sz="8" w:space="0" w:color="000000"/>
            </w:tcBorders>
            <w:vAlign w:val="center"/>
          </w:tcPr>
          <w:p>
            <w:pPr>
              <w:pStyle w:val="TableContents"/>
              <w:bidi w:val="0"/>
              <w:spacing w:before="0" w:after="0"/>
              <w:jc w:val="left"/>
              <w:rPr/>
            </w:pPr>
            <w:r>
              <w:rPr/>
              <w:t> </w:t>
            </w:r>
          </w:p>
        </w:tc>
        <w:tc>
          <w:tcPr>
            <w:tcW w:w="440" w:type="dxa"/>
            <w:gridSpan w:val="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2027</w:t>
            </w:r>
          </w:p>
        </w:tc>
        <w:tc>
          <w:tcPr>
            <w:tcW w:w="235" w:type="dxa"/>
            <w:tcBorders>
              <w:bottom w:val="single" w:sz="8" w:space="0" w:color="000000"/>
            </w:tcBorders>
            <w:vAlign w:val="center"/>
          </w:tcPr>
          <w:p>
            <w:pPr>
              <w:pStyle w:val="TableContents"/>
              <w:bidi w:val="0"/>
              <w:spacing w:before="0" w:after="0"/>
              <w:jc w:val="left"/>
              <w:rPr/>
            </w:pPr>
            <w:r>
              <w:rPr/>
              <w:t> </w:t>
            </w:r>
          </w:p>
        </w:tc>
        <w:tc>
          <w:tcPr>
            <w:tcW w:w="440" w:type="dxa"/>
            <w:gridSpan w:val="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2028</w:t>
            </w:r>
          </w:p>
        </w:tc>
        <w:tc>
          <w:tcPr>
            <w:tcW w:w="235" w:type="dxa"/>
            <w:tcBorders>
              <w:bottom w:val="single" w:sz="8" w:space="0" w:color="000000"/>
            </w:tcBorders>
            <w:vAlign w:val="center"/>
          </w:tcPr>
          <w:p>
            <w:pPr>
              <w:pStyle w:val="TableContents"/>
              <w:bidi w:val="0"/>
              <w:spacing w:before="0" w:after="0"/>
              <w:jc w:val="left"/>
              <w:rPr/>
            </w:pPr>
            <w:r>
              <w:rPr/>
              <w:t> </w:t>
            </w:r>
          </w:p>
        </w:tc>
        <w:tc>
          <w:tcPr>
            <w:tcW w:w="440" w:type="dxa"/>
            <w:gridSpan w:val="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2029</w:t>
            </w:r>
          </w:p>
        </w:tc>
        <w:tc>
          <w:tcPr>
            <w:tcW w:w="235" w:type="dxa"/>
            <w:tcBorders>
              <w:bottom w:val="single" w:sz="8" w:space="0" w:color="000000"/>
            </w:tcBorders>
            <w:vAlign w:val="center"/>
          </w:tcPr>
          <w:p>
            <w:pPr>
              <w:pStyle w:val="TableContents"/>
              <w:bidi w:val="0"/>
              <w:spacing w:before="0" w:after="0"/>
              <w:jc w:val="left"/>
              <w:rPr/>
            </w:pPr>
            <w:r>
              <w:rPr/>
              <w:t> </w:t>
            </w:r>
          </w:p>
        </w:tc>
        <w:tc>
          <w:tcPr>
            <w:tcW w:w="440" w:type="dxa"/>
            <w:gridSpan w:val="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2030</w:t>
            </w:r>
          </w:p>
        </w:tc>
        <w:tc>
          <w:tcPr>
            <w:tcW w:w="235" w:type="dxa"/>
            <w:tcBorders>
              <w:bottom w:val="single" w:sz="8" w:space="0" w:color="000000"/>
            </w:tcBorders>
            <w:vAlign w:val="center"/>
          </w:tcPr>
          <w:p>
            <w:pPr>
              <w:pStyle w:val="TableContents"/>
              <w:bidi w:val="0"/>
              <w:spacing w:before="0" w:after="0"/>
              <w:jc w:val="left"/>
              <w:rPr/>
            </w:pPr>
            <w:r>
              <w:rPr/>
              <w:t> </w:t>
            </w:r>
          </w:p>
        </w:tc>
        <w:tc>
          <w:tcPr>
            <w:tcW w:w="1045" w:type="dxa"/>
            <w:gridSpan w:val="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Thereafter</w:t>
            </w:r>
          </w:p>
        </w:tc>
        <w:tc>
          <w:tcPr>
            <w:tcW w:w="76" w:type="dxa"/>
            <w:tcBorders>
              <w:bottom w:val="single" w:sz="8" w:space="0" w:color="000000"/>
            </w:tcBorders>
            <w:vAlign w:val="center"/>
          </w:tcPr>
          <w:p>
            <w:pPr>
              <w:pStyle w:val="TableContents"/>
              <w:bidi w:val="0"/>
              <w:spacing w:before="0" w:after="0"/>
              <w:jc w:val="left"/>
              <w:rPr/>
            </w:pPr>
            <w:r>
              <w:rPr/>
              <w:t> </w:t>
            </w:r>
          </w:p>
        </w:tc>
        <w:tc>
          <w:tcPr>
            <w:tcW w:w="1045" w:type="dxa"/>
            <w:gridSpan w:val="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76" w:type="dxa"/>
            <w:tcBorders>
              <w:bottom w:val="single" w:sz="8" w:space="0" w:color="000000"/>
            </w:tcBorders>
            <w:vAlign w:val="center"/>
          </w:tcPr>
          <w:p>
            <w:pPr>
              <w:pStyle w:val="TableContents"/>
              <w:bidi w:val="0"/>
              <w:spacing w:before="0" w:after="0"/>
              <w:jc w:val="left"/>
              <w:rPr/>
            </w:pPr>
            <w:r>
              <w:rPr/>
              <w:t> </w:t>
            </w:r>
          </w:p>
        </w:tc>
        <w:tc>
          <w:tcPr>
            <w:tcW w:w="1064" w:type="dxa"/>
            <w:gridSpan w:val="2"/>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7/31/2026</w:t>
            </w:r>
          </w:p>
        </w:tc>
      </w:tr>
      <w:tr>
        <w:trPr/>
        <w:tc>
          <w:tcPr>
            <w:tcW w:w="249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Long term debt(1)(2):</w:t>
            </w:r>
          </w:p>
        </w:tc>
        <w:tc>
          <w:tcPr>
            <w:tcW w:w="268"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72"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23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268"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72"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23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268"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72"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23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268"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72"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23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268"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72"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23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59"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886"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76"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59"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886"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76"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59"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905"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r>
      <w:tr>
        <w:trPr/>
        <w:tc>
          <w:tcPr>
            <w:tcW w:w="249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Fixed rate</w:t>
            </w:r>
          </w:p>
        </w:tc>
        <w:tc>
          <w:tcPr>
            <w:tcW w:w="268"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2"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35" w:type="dxa"/>
            <w:tcBorders/>
            <w:shd w:fill="FFFFFF" w:val="clear"/>
            <w:tcMar>
              <w:bottom w:w="0" w:type="dxa"/>
            </w:tcMar>
            <w:vAlign w:val="center"/>
          </w:tcPr>
          <w:p>
            <w:pPr>
              <w:pStyle w:val="TableContents"/>
              <w:bidi w:val="0"/>
              <w:spacing w:before="0" w:after="0"/>
              <w:jc w:val="left"/>
              <w:rPr/>
            </w:pPr>
            <w:r>
              <w:rPr/>
              <w:t> </w:t>
            </w:r>
          </w:p>
        </w:tc>
        <w:tc>
          <w:tcPr>
            <w:tcW w:w="268"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2"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35" w:type="dxa"/>
            <w:tcBorders/>
            <w:shd w:fill="FFFFFF" w:val="clear"/>
            <w:tcMar>
              <w:bottom w:w="0" w:type="dxa"/>
            </w:tcMar>
            <w:vAlign w:val="center"/>
          </w:tcPr>
          <w:p>
            <w:pPr>
              <w:pStyle w:val="TableContents"/>
              <w:bidi w:val="0"/>
              <w:spacing w:before="0" w:after="0"/>
              <w:jc w:val="left"/>
              <w:rPr/>
            </w:pPr>
            <w:r>
              <w:rPr/>
              <w:t> </w:t>
            </w:r>
          </w:p>
        </w:tc>
        <w:tc>
          <w:tcPr>
            <w:tcW w:w="268"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2"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35" w:type="dxa"/>
            <w:tcBorders/>
            <w:shd w:fill="FFFFFF" w:val="clear"/>
            <w:tcMar>
              <w:bottom w:w="0" w:type="dxa"/>
            </w:tcMar>
            <w:vAlign w:val="center"/>
          </w:tcPr>
          <w:p>
            <w:pPr>
              <w:pStyle w:val="TableContents"/>
              <w:bidi w:val="0"/>
              <w:spacing w:before="0" w:after="0"/>
              <w:jc w:val="left"/>
              <w:rPr/>
            </w:pPr>
            <w:r>
              <w:rPr/>
              <w:t> </w:t>
            </w:r>
          </w:p>
        </w:tc>
        <w:tc>
          <w:tcPr>
            <w:tcW w:w="268"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2"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35" w:type="dxa"/>
            <w:tcBorders/>
            <w:shd w:fill="FFFFFF" w:val="clear"/>
            <w:tcMar>
              <w:bottom w:w="0" w:type="dxa"/>
            </w:tcMar>
            <w:vAlign w:val="center"/>
          </w:tcPr>
          <w:p>
            <w:pPr>
              <w:pStyle w:val="TableContents"/>
              <w:bidi w:val="0"/>
              <w:spacing w:before="0" w:after="0"/>
              <w:jc w:val="left"/>
              <w:rPr/>
            </w:pPr>
            <w:r>
              <w:rPr/>
              <w:t> </w:t>
            </w:r>
          </w:p>
        </w:tc>
        <w:tc>
          <w:tcPr>
            <w:tcW w:w="268"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2"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35" w:type="dxa"/>
            <w:tcBorders/>
            <w:shd w:fill="FFFFFF" w:val="clear"/>
            <w:tcMar>
              <w:bottom w:w="0" w:type="dxa"/>
            </w:tcMar>
            <w:vAlign w:val="center"/>
          </w:tcPr>
          <w:p>
            <w:pPr>
              <w:pStyle w:val="TableContents"/>
              <w:bidi w:val="0"/>
              <w:spacing w:before="0" w:after="0"/>
              <w:jc w:val="left"/>
              <w:rPr/>
            </w:pPr>
            <w:r>
              <w:rPr/>
              <w:t> </w:t>
            </w:r>
          </w:p>
        </w:tc>
        <w:tc>
          <w:tcPr>
            <w:tcW w:w="159"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6"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924,968</w:t>
            </w:r>
          </w:p>
        </w:tc>
        <w:tc>
          <w:tcPr>
            <w:tcW w:w="76" w:type="dxa"/>
            <w:tcBorders/>
            <w:shd w:fill="FFFFFF" w:val="clear"/>
            <w:tcMar>
              <w:bottom w:w="0" w:type="dxa"/>
            </w:tcMar>
            <w:vAlign w:val="center"/>
          </w:tcPr>
          <w:p>
            <w:pPr>
              <w:pStyle w:val="TableContents"/>
              <w:bidi w:val="0"/>
              <w:spacing w:before="0" w:after="0"/>
              <w:jc w:val="left"/>
              <w:rPr/>
            </w:pPr>
            <w:r>
              <w:rPr/>
              <w:t> </w:t>
            </w:r>
          </w:p>
        </w:tc>
        <w:tc>
          <w:tcPr>
            <w:tcW w:w="159"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6"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924,968</w:t>
            </w:r>
          </w:p>
        </w:tc>
        <w:tc>
          <w:tcPr>
            <w:tcW w:w="76" w:type="dxa"/>
            <w:tcBorders/>
            <w:shd w:fill="FFFFFF" w:val="clear"/>
            <w:tcMar>
              <w:bottom w:w="0" w:type="dxa"/>
            </w:tcMar>
            <w:vAlign w:val="center"/>
          </w:tcPr>
          <w:p>
            <w:pPr>
              <w:pStyle w:val="TableContents"/>
              <w:bidi w:val="0"/>
              <w:spacing w:before="0" w:after="0"/>
              <w:jc w:val="left"/>
              <w:rPr/>
            </w:pPr>
            <w:r>
              <w:rPr/>
              <w:t> </w:t>
            </w:r>
          </w:p>
        </w:tc>
        <w:tc>
          <w:tcPr>
            <w:tcW w:w="159"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934,820</w:t>
            </w:r>
          </w:p>
        </w:tc>
      </w:tr>
      <w:tr>
        <w:trPr/>
        <w:tc>
          <w:tcPr>
            <w:tcW w:w="249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interest rate</w:t>
            </w:r>
          </w:p>
        </w:tc>
        <w:tc>
          <w:tcPr>
            <w:tcW w:w="268" w:type="dxa"/>
            <w:tcBorders/>
            <w:shd w:fill="CCEEFF" w:val="clear"/>
            <w:tcMar>
              <w:bottom w:w="0" w:type="dxa"/>
            </w:tcMar>
            <w:vAlign w:val="center"/>
          </w:tcPr>
          <w:p>
            <w:pPr>
              <w:pStyle w:val="TableContents"/>
              <w:bidi w:val="0"/>
              <w:spacing w:before="0" w:after="0"/>
              <w:jc w:val="left"/>
              <w:rPr/>
            </w:pPr>
            <w:r>
              <w:rPr/>
              <w:t> </w:t>
            </w:r>
          </w:p>
        </w:tc>
        <w:tc>
          <w:tcPr>
            <w:tcW w:w="172"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3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68" w:type="dxa"/>
            <w:tcBorders/>
            <w:shd w:fill="CCEEFF" w:val="clear"/>
            <w:tcMar>
              <w:bottom w:w="0" w:type="dxa"/>
            </w:tcMar>
            <w:vAlign w:val="center"/>
          </w:tcPr>
          <w:p>
            <w:pPr>
              <w:pStyle w:val="TableContents"/>
              <w:bidi w:val="0"/>
              <w:spacing w:before="0" w:after="0"/>
              <w:jc w:val="left"/>
              <w:rPr/>
            </w:pPr>
            <w:r>
              <w:rPr/>
              <w:t> </w:t>
            </w:r>
          </w:p>
        </w:tc>
        <w:tc>
          <w:tcPr>
            <w:tcW w:w="172"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3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68" w:type="dxa"/>
            <w:tcBorders/>
            <w:shd w:fill="CCEEFF" w:val="clear"/>
            <w:tcMar>
              <w:bottom w:w="0" w:type="dxa"/>
            </w:tcMar>
            <w:vAlign w:val="center"/>
          </w:tcPr>
          <w:p>
            <w:pPr>
              <w:pStyle w:val="TableContents"/>
              <w:bidi w:val="0"/>
              <w:spacing w:before="0" w:after="0"/>
              <w:jc w:val="left"/>
              <w:rPr/>
            </w:pPr>
            <w:r>
              <w:rPr/>
              <w:t> </w:t>
            </w:r>
          </w:p>
        </w:tc>
        <w:tc>
          <w:tcPr>
            <w:tcW w:w="172"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3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68" w:type="dxa"/>
            <w:tcBorders/>
            <w:shd w:fill="CCEEFF" w:val="clear"/>
            <w:tcMar>
              <w:bottom w:w="0" w:type="dxa"/>
            </w:tcMar>
            <w:vAlign w:val="center"/>
          </w:tcPr>
          <w:p>
            <w:pPr>
              <w:pStyle w:val="TableContents"/>
              <w:bidi w:val="0"/>
              <w:spacing w:before="0" w:after="0"/>
              <w:jc w:val="left"/>
              <w:rPr/>
            </w:pPr>
            <w:r>
              <w:rPr/>
              <w:t> </w:t>
            </w:r>
          </w:p>
        </w:tc>
        <w:tc>
          <w:tcPr>
            <w:tcW w:w="172"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3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68" w:type="dxa"/>
            <w:tcBorders/>
            <w:shd w:fill="CCEEFF" w:val="clear"/>
            <w:tcMar>
              <w:bottom w:w="0" w:type="dxa"/>
            </w:tcMar>
            <w:vAlign w:val="center"/>
          </w:tcPr>
          <w:p>
            <w:pPr>
              <w:pStyle w:val="TableContents"/>
              <w:bidi w:val="0"/>
              <w:spacing w:before="0" w:after="0"/>
              <w:jc w:val="left"/>
              <w:rPr/>
            </w:pPr>
            <w:r>
              <w:rPr/>
              <w:t> </w:t>
            </w:r>
          </w:p>
        </w:tc>
        <w:tc>
          <w:tcPr>
            <w:tcW w:w="172"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3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9" w:type="dxa"/>
            <w:tcBorders/>
            <w:shd w:fill="CCEEFF" w:val="clear"/>
            <w:tcMar>
              <w:bottom w:w="0" w:type="dxa"/>
            </w:tcMar>
            <w:vAlign w:val="center"/>
          </w:tcPr>
          <w:p>
            <w:pPr>
              <w:pStyle w:val="TableContents"/>
              <w:bidi w:val="0"/>
              <w:spacing w:before="0" w:after="0"/>
              <w:jc w:val="left"/>
              <w:rPr/>
            </w:pPr>
            <w:r>
              <w:rPr/>
              <w:t> </w:t>
            </w:r>
          </w:p>
        </w:tc>
        <w:tc>
          <w:tcPr>
            <w:tcW w:w="886"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8.10%</w:t>
            </w:r>
          </w:p>
        </w:tc>
        <w:tc>
          <w:tcPr>
            <w:tcW w:w="76" w:type="dxa"/>
            <w:tcBorders/>
            <w:shd w:fill="CCEEFF" w:val="clear"/>
            <w:tcMar>
              <w:bottom w:w="0" w:type="dxa"/>
            </w:tcMar>
            <w:vAlign w:val="center"/>
          </w:tcPr>
          <w:p>
            <w:pPr>
              <w:pStyle w:val="TableContents"/>
              <w:bidi w:val="0"/>
              <w:spacing w:before="0" w:after="0"/>
              <w:jc w:val="left"/>
              <w:rPr/>
            </w:pPr>
            <w:r>
              <w:rPr/>
              <w:t> </w:t>
            </w:r>
          </w:p>
        </w:tc>
        <w:tc>
          <w:tcPr>
            <w:tcW w:w="159" w:type="dxa"/>
            <w:tcBorders/>
            <w:shd w:fill="CCEEFF" w:val="clear"/>
            <w:tcMar>
              <w:bottom w:w="0" w:type="dxa"/>
            </w:tcMar>
            <w:vAlign w:val="center"/>
          </w:tcPr>
          <w:p>
            <w:pPr>
              <w:pStyle w:val="TableContents"/>
              <w:bidi w:val="0"/>
              <w:spacing w:before="0" w:after="0"/>
              <w:jc w:val="left"/>
              <w:rPr/>
            </w:pPr>
            <w:r>
              <w:rPr/>
              <w:t> </w:t>
            </w:r>
          </w:p>
        </w:tc>
        <w:tc>
          <w:tcPr>
            <w:tcW w:w="886"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8.10%</w:t>
            </w:r>
          </w:p>
        </w:tc>
        <w:tc>
          <w:tcPr>
            <w:tcW w:w="76" w:type="dxa"/>
            <w:tcBorders/>
            <w:shd w:fill="CCEEFF" w:val="clear"/>
            <w:tcMar>
              <w:bottom w:w="0" w:type="dxa"/>
            </w:tcMar>
            <w:vAlign w:val="center"/>
          </w:tcPr>
          <w:p>
            <w:pPr>
              <w:pStyle w:val="TableContents"/>
              <w:bidi w:val="0"/>
              <w:spacing w:before="0" w:after="0"/>
              <w:jc w:val="left"/>
              <w:rPr/>
            </w:pPr>
            <w:r>
              <w:rPr/>
              <w:t> </w:t>
            </w:r>
          </w:p>
        </w:tc>
        <w:tc>
          <w:tcPr>
            <w:tcW w:w="159" w:type="dxa"/>
            <w:tcBorders/>
            <w:shd w:fill="CCEEFF" w:val="clear"/>
            <w:tcMar>
              <w:bottom w:w="0" w:type="dxa"/>
            </w:tcMar>
            <w:vAlign w:val="center"/>
          </w:tcPr>
          <w:p>
            <w:pPr>
              <w:pStyle w:val="TableContents"/>
              <w:bidi w:val="0"/>
              <w:spacing w:before="0" w:after="0"/>
              <w:jc w:val="left"/>
              <w:rPr/>
            </w:pPr>
            <w:r>
              <w:rPr/>
              <w:t> </w:t>
            </w:r>
          </w:p>
        </w:tc>
        <w:tc>
          <w:tcPr>
            <w:tcW w:w="905" w:type="dxa"/>
            <w:tcBorders/>
            <w:shd w:fill="CCEEFF" w:val="clear"/>
            <w:tcMar>
              <w:bottom w:w="0" w:type="dxa"/>
            </w:tcMar>
            <w:vAlign w:val="center"/>
          </w:tcPr>
          <w:p>
            <w:pPr>
              <w:pStyle w:val="TableContents"/>
              <w:bidi w:val="0"/>
              <w:spacing w:before="0" w:after="0"/>
              <w:jc w:val="right"/>
              <w:rPr/>
            </w:pPr>
            <w:r>
              <w:rPr/>
              <w:t> </w:t>
            </w:r>
          </w:p>
        </w:tc>
      </w:tr>
    </w:tbl>
    <w:p>
      <w:pPr>
        <w:pStyle w:val="TextBody"/>
        <w:bidi w:val="0"/>
        <w:spacing w:lineRule="atLeast" w:line="24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i/>
                <w:sz w:val="20"/>
              </w:rPr>
            </w:pPr>
            <w:r>
              <w:rPr>
                <w:i/>
                <w:sz w:val="20"/>
              </w:rPr>
              <w:t>(1)</w:t>
            </w:r>
          </w:p>
        </w:tc>
        <w:tc>
          <w:tcPr>
            <w:tcW w:w="9998" w:type="dxa"/>
            <w:tcBorders/>
            <w:vAlign w:val="center"/>
          </w:tcPr>
          <w:p>
            <w:pPr>
              <w:pStyle w:val="TableContents"/>
              <w:bidi w:val="0"/>
              <w:spacing w:before="0" w:after="0"/>
              <w:jc w:val="left"/>
              <w:rPr>
                <w:sz w:val="20"/>
              </w:rPr>
            </w:pPr>
            <w:r>
              <w:rPr>
                <w:i/>
                <w:sz w:val="20"/>
              </w:rPr>
              <w:t>Does not include</w:t>
            </w:r>
            <w:r>
              <w:rPr>
                <w:sz w:val="20"/>
              </w:rPr>
              <w:t> </w:t>
            </w:r>
            <w:r>
              <w:rPr>
                <w:i/>
                <w:sz w:val="20"/>
                <w:shd w:fill="FFFFFF" w:val="clear"/>
              </w:rPr>
              <w:t>mortgage warehouse lines of credit made under our</w:t>
            </w:r>
            <w:r>
              <w:rPr>
                <w:sz w:val="20"/>
              </w:rPr>
              <w:t> </w:t>
            </w:r>
            <w:r>
              <w:rPr>
                <w:i/>
                <w:sz w:val="20"/>
                <w:shd w:fill="FFFFFF" w:val="clear"/>
              </w:rPr>
              <w:t>Master Repurchase Agreements.</w:t>
            </w:r>
          </w:p>
        </w:tc>
      </w:tr>
      <w:tr>
        <w:trPr/>
        <w:tc>
          <w:tcPr>
            <w:tcW w:w="207" w:type="dxa"/>
            <w:tcBorders/>
            <w:vAlign w:val="center"/>
          </w:tcPr>
          <w:p>
            <w:pPr>
              <w:pStyle w:val="TableContents"/>
              <w:bidi w:val="0"/>
              <w:spacing w:before="0" w:after="0"/>
              <w:jc w:val="left"/>
              <w:rPr>
                <w:i/>
                <w:sz w:val="20"/>
              </w:rPr>
            </w:pPr>
            <w:r>
              <w:rPr>
                <w:i/>
                <w:sz w:val="20"/>
              </w:rPr>
              <w:t>(2)</w:t>
            </w:r>
          </w:p>
        </w:tc>
        <w:tc>
          <w:tcPr>
            <w:tcW w:w="9998" w:type="dxa"/>
            <w:tcBorders/>
            <w:vAlign w:val="center"/>
          </w:tcPr>
          <w:p>
            <w:pPr>
              <w:pStyle w:val="TableContents"/>
              <w:bidi w:val="0"/>
              <w:spacing w:before="0" w:after="0"/>
              <w:jc w:val="left"/>
              <w:rPr>
                <w:sz w:val="20"/>
              </w:rPr>
            </w:pPr>
            <w:r>
              <w:rPr>
                <w:i/>
                <w:sz w:val="20"/>
              </w:rPr>
              <w:t>Does not include $</w:t>
            </w:r>
            <w:r>
              <w:rPr>
                <w:rFonts w:ascii="Times New Roman" w:hAnsi="Times New Roman"/>
                <w:i/>
                <w:sz w:val="20"/>
              </w:rPr>
              <w:t>32.4</w:t>
            </w:r>
            <w:r>
              <w:rPr>
                <w:sz w:val="20"/>
              </w:rPr>
              <w:t xml:space="preserve"> </w:t>
            </w:r>
            <w:r>
              <w:rPr>
                <w:i/>
                <w:sz w:val="20"/>
              </w:rPr>
              <w:t>million of nonrecourse mortgages secured by inventory. These mortgages have various maturities spread over the</w:t>
            </w:r>
            <w:r>
              <w:rPr>
                <w:sz w:val="20"/>
              </w:rPr>
              <w:t> </w:t>
            </w:r>
            <w:r>
              <w:rPr>
                <w:i/>
                <w:sz w:val="20"/>
              </w:rPr>
              <w:t>next two to three years and are paid off as homes are delivered. In addition, it does not include our $125.0 million Secured Credit Facility</w:t>
            </w:r>
            <w:r>
              <w:rPr>
                <w:sz w:val="20"/>
              </w:rPr>
              <w:t> </w:t>
            </w:r>
            <w:r>
              <w:rPr>
                <w:i/>
                <w:sz w:val="20"/>
              </w:rPr>
              <w:t xml:space="preserve">under which there were no borrowings outstanding as of </w:t>
            </w:r>
            <w:r>
              <w:rPr>
                <w:rFonts w:ascii="Times New Roman" w:hAnsi="Times New Roman"/>
                <w:i/>
                <w:sz w:val="20"/>
              </w:rPr>
              <w:t>July 31, 2026</w:t>
            </w:r>
            <w:r>
              <w:rPr>
                <w:i/>
                <w:sz w:val="20"/>
              </w:rPr>
              <w:t>. The revolving loans under the Secured Credit Facility have a</w:t>
            </w:r>
            <w:r>
              <w:rPr>
                <w:sz w:val="20"/>
              </w:rPr>
              <w:t> </w:t>
            </w:r>
            <w:r>
              <w:rPr>
                <w:i/>
                <w:sz w:val="20"/>
              </w:rPr>
              <w:t>maturity of June 30, 2028 and borrowings bear interest, at K. Hovnanian’s option, at either (i) a term SOFR (subject to a floor of 3.00%)</w:t>
            </w:r>
            <w:r>
              <w:rPr>
                <w:sz w:val="20"/>
              </w:rPr>
              <w:t> </w:t>
            </w:r>
            <w:r>
              <w:rPr>
                <w:i/>
                <w:sz w:val="20"/>
              </w:rPr>
              <w:t>plus an applicable margin of 4.50% or (ii) an alternate base rate (subject to a floor of 3.00%) plus an applicable margin of 3.50%. In</w:t>
            </w:r>
            <w:r>
              <w:rPr>
                <w:sz w:val="20"/>
              </w:rPr>
              <w:t> </w:t>
            </w:r>
            <w:r>
              <w:rPr>
                <w:i/>
                <w:sz w:val="20"/>
              </w:rPr>
              <w:t>addition, K. Hovnanian pays an unused commitment fee on the undrawn revolving commitments at a rate of 1.00% per annum.</w:t>
            </w:r>
          </w:p>
        </w:tc>
      </w:tr>
    </w:tbl>
    <w:p>
      <w:pPr>
        <w:pStyle w:val="TextBody"/>
        <w:bidi w:val="0"/>
        <w:spacing w:lineRule="atLeast" w:line="240" w:before="0" w:after="0"/>
        <w:jc w:val="left"/>
        <w:rPr/>
      </w:pPr>
      <w:r>
        <w:rPr/>
        <w:t> </w:t>
      </w:r>
    </w:p>
    <w:p>
      <w:pPr>
        <w:pStyle w:val="TextBody"/>
        <w:bidi w:val="0"/>
        <w:spacing w:lineRule="atLeast" w:line="240" w:before="0" w:after="0"/>
        <w:jc w:val="left"/>
        <w:rPr/>
      </w:pPr>
      <w:hyperlink w:anchor="TOC">
        <w:bookmarkStart w:id="12" w:name="bm_880ae1b1478b1627"/>
        <w:bookmarkEnd w:id="12"/>
        <w:r>
          <w:rPr>
            <w:rStyle w:val="InternetLink"/>
            <w:b/>
            <w:strike w:val="false"/>
            <w:dstrike w:val="false"/>
            <w:color w:val="000000"/>
            <w:sz w:val="20"/>
            <w:u w:val="none"/>
            <w:effect w:val="none"/>
          </w:rPr>
          <w:t>Item 4. CONTROLS AND PROCEDURES</w:t>
        </w:r>
      </w:hyperlink>
    </w:p>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sz w:val="20"/>
        </w:rPr>
        <w:t>The Company maintains disclosure controls and procedures that are designed to ensure that information required to be disclosed in the Company’s reports under the Securities Exchange Act of 1934, as amended,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w:t>
      </w:r>
      <w:r>
        <w:rPr/>
        <w:t> </w:t>
      </w:r>
      <w:r>
        <w:rPr>
          <w:sz w:val="20"/>
        </w:rPr>
        <w:t>Any controls and procedures, no matter how well designed and operated, can provide only reasonable assurance of achieving the desired control objectives.</w:t>
      </w:r>
      <w:r>
        <w:rPr/>
        <w:t> </w:t>
      </w:r>
      <w:r>
        <w:rPr>
          <w:sz w:val="20"/>
        </w:rPr>
        <w:t xml:space="preserve">The Company’s management, with the participation of the Company’s Chief Executive Officer and Chief Financial Officer, has evaluated the effectiveness of the design and operation of the Company’s disclosure controls and procedures as of </w:t>
      </w:r>
      <w:r>
        <w:rPr>
          <w:rFonts w:ascii="Times New Roman" w:hAnsi="Times New Roman"/>
          <w:sz w:val="20"/>
        </w:rPr>
        <w:t>July 31, 2026</w:t>
      </w:r>
      <w:r>
        <w:rPr>
          <w:sz w:val="20"/>
        </w:rPr>
        <w:t>.</w:t>
      </w:r>
      <w:r>
        <w:rPr/>
        <w:t> </w:t>
      </w:r>
      <w:r>
        <w:rPr>
          <w:sz w:val="20"/>
        </w:rPr>
        <w:t>Based upon that evaluation and subject to the foregoing, the Company’s Chief Executive Officer and Chief Financial Officer concluded that the design and operation of the Company’s disclosure controls and procedures are effective to accomplish their objectives.</w:t>
      </w:r>
    </w:p>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sz w:val="20"/>
        </w:rPr>
        <w:t xml:space="preserve">There was no change in the Company’s internal control over financial reporting that occurred during the quarter ended </w:t>
      </w:r>
      <w:r>
        <w:rPr>
          <w:rFonts w:ascii="Times New Roman" w:hAnsi="Times New Roman"/>
          <w:sz w:val="20"/>
        </w:rPr>
        <w:t>July 31, 2026</w:t>
      </w:r>
      <w:r>
        <w:rPr>
          <w:sz w:val="20"/>
        </w:rPr>
        <w:t>, that has materially affected, or is reasonably likely to materially affect, the Company’s internal control over financial reporting.</w:t>
      </w:r>
    </w:p>
    <w:p>
      <w:pPr>
        <w:pStyle w:val="TextBody"/>
        <w:bidi w:val="0"/>
        <w:spacing w:lineRule="atLeast" w:line="240" w:before="0" w:after="0"/>
        <w:ind w:left="0" w:right="0" w:firstLine="90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46</w:t>
      </w:r>
    </w:p>
    <w:p>
      <w:pPr>
        <w:pStyle w:val="HorizontalLine"/>
        <w:pBdr>
          <w:bottom w:val="double" w:sz="2" w:space="0" w:color="808080"/>
        </w:pBdr>
        <w:bidi w:val="0"/>
        <w:spacing w:before="0" w:after="283"/>
        <w:jc w:val="left"/>
        <w:rPr/>
      </w:pPr>
      <w:r>
        <w:rPr/>
      </w:r>
      <w:r>
        <w:br w:type="page"/>
      </w:r>
    </w:p>
    <w:p>
      <w:pPr>
        <w:pStyle w:val="TextBody"/>
        <w:bidi w:val="0"/>
        <w:spacing w:lineRule="atLeast" w:line="240" w:before="0" w:after="0"/>
        <w:jc w:val="left"/>
        <w:rPr/>
      </w:pPr>
      <w:hyperlink w:anchor="TOC">
        <w:r>
          <w:rPr>
            <w:rStyle w:val="InternetLink"/>
            <w:strike w:val="false"/>
            <w:dstrike w:val="false"/>
            <w:sz w:val="20"/>
            <w:u w:val="single"/>
            <w:effect w:val="none"/>
          </w:rPr>
          <w:t>Table of Contents</w:t>
        </w:r>
      </w:hyperlink>
    </w:p>
    <w:p>
      <w:pPr>
        <w:pStyle w:val="TextBody"/>
        <w:bidi w:val="0"/>
        <w:spacing w:lineRule="atLeast" w:line="240" w:before="200" w:after="0"/>
        <w:jc w:val="left"/>
        <w:rPr/>
      </w:pPr>
      <w:hyperlink w:anchor="TOC">
        <w:bookmarkStart w:id="13" w:name="bm_2c6b32f537caba89"/>
        <w:bookmarkEnd w:id="13"/>
        <w:r>
          <w:rPr>
            <w:rStyle w:val="InternetLink"/>
            <w:b/>
            <w:strike w:val="false"/>
            <w:dstrike w:val="false"/>
            <w:color w:val="000000"/>
            <w:sz w:val="20"/>
            <w:u w:val="none"/>
            <w:effect w:val="none"/>
          </w:rPr>
          <w:t>PART II.</w:t>
        </w:r>
      </w:hyperlink>
      <w:hyperlink w:anchor="TOC">
        <w:r>
          <w:rPr>
            <w:rStyle w:val="InternetLink"/>
            <w:strike w:val="false"/>
            <w:dstrike w:val="false"/>
            <w:color w:val="000000"/>
            <w:u w:val="none"/>
            <w:effect w:val="none"/>
          </w:rPr>
          <w:t>  </w:t>
        </w:r>
      </w:hyperlink>
      <w:hyperlink w:anchor="TOC">
        <w:r>
          <w:rPr>
            <w:rStyle w:val="InternetLink"/>
            <w:b/>
            <w:strike w:val="false"/>
            <w:dstrike w:val="false"/>
            <w:color w:val="000000"/>
            <w:sz w:val="20"/>
            <w:u w:val="none"/>
            <w:effect w:val="none"/>
          </w:rPr>
          <w:t>OTHER INFORMATION</w:t>
        </w:r>
      </w:hyperlink>
    </w:p>
    <w:p>
      <w:pPr>
        <w:pStyle w:val="TextBody"/>
        <w:bidi w:val="0"/>
        <w:spacing w:lineRule="atLeast" w:line="240" w:before="0" w:after="0"/>
        <w:jc w:val="left"/>
        <w:rPr/>
      </w:pPr>
      <w:r>
        <w:rPr/>
        <w:t> </w:t>
      </w:r>
    </w:p>
    <w:p>
      <w:pPr>
        <w:pStyle w:val="TextBody"/>
        <w:bidi w:val="0"/>
        <w:spacing w:lineRule="atLeast" w:line="240" w:before="0" w:after="0"/>
        <w:jc w:val="left"/>
        <w:rPr/>
      </w:pPr>
      <w:hyperlink w:anchor="TOC">
        <w:bookmarkStart w:id="14" w:name="bm_4fa3cbcf1dfb8705"/>
        <w:bookmarkEnd w:id="14"/>
        <w:r>
          <w:rPr>
            <w:rStyle w:val="InternetLink"/>
            <w:b/>
            <w:strike w:val="false"/>
            <w:dstrike w:val="false"/>
            <w:color w:val="000000"/>
            <w:sz w:val="20"/>
            <w:u w:val="none"/>
            <w:effect w:val="none"/>
          </w:rPr>
          <w:t>Item 1. LEGAL PROCEEDINGS</w:t>
        </w:r>
      </w:hyperlink>
    </w:p>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sz w:val="20"/>
        </w:rPr>
      </w:pPr>
      <w:r>
        <w:rPr>
          <w:sz w:val="20"/>
        </w:rPr>
        <w:t>For information with respect to our legal proceedings, see Note 7 to the Condensed Consolidated Financial Statements in Part I, Item 1 of this Quarterly Report on Form 10-Q.</w:t>
      </w:r>
    </w:p>
    <w:p>
      <w:pPr>
        <w:pStyle w:val="TextBody"/>
        <w:bidi w:val="0"/>
        <w:spacing w:lineRule="atLeast" w:line="240" w:before="0" w:after="0"/>
        <w:jc w:val="left"/>
        <w:rPr/>
      </w:pPr>
      <w:r>
        <w:rPr/>
        <w:t>  </w:t>
      </w:r>
    </w:p>
    <w:p>
      <w:pPr>
        <w:pStyle w:val="TextBody"/>
        <w:bidi w:val="0"/>
        <w:spacing w:lineRule="atLeast" w:line="240" w:before="0" w:after="0"/>
        <w:jc w:val="left"/>
        <w:rPr/>
      </w:pPr>
      <w:hyperlink w:anchor="TOC">
        <w:bookmarkStart w:id="15" w:name="bm_cd4f179e289480b4"/>
        <w:bookmarkEnd w:id="15"/>
        <w:r>
          <w:rPr>
            <w:rStyle w:val="InternetLink"/>
            <w:b/>
            <w:strike w:val="false"/>
            <w:dstrike w:val="false"/>
            <w:color w:val="000000"/>
            <w:sz w:val="20"/>
            <w:u w:val="none"/>
            <w:effect w:val="none"/>
          </w:rPr>
          <w:t>Item 2. UNREGISTERED SALES OF EQUITY SECURITIES AND USE OF PROCEEDS.</w:t>
        </w:r>
      </w:hyperlink>
    </w:p>
    <w:p>
      <w:pPr>
        <w:pStyle w:val="TextBody"/>
        <w:bidi w:val="0"/>
        <w:spacing w:lineRule="atLeast" w:line="240" w:before="0" w:after="0"/>
        <w:jc w:val="left"/>
        <w:rPr/>
      </w:pPr>
      <w:r>
        <w:rPr/>
        <w:t> </w:t>
      </w:r>
    </w:p>
    <w:p>
      <w:pPr>
        <w:pStyle w:val="TextBody"/>
        <w:bidi w:val="0"/>
        <w:spacing w:lineRule="atLeast" w:line="240" w:before="0" w:after="0"/>
        <w:jc w:val="left"/>
        <w:rPr>
          <w:b/>
          <w:sz w:val="20"/>
        </w:rPr>
      </w:pPr>
      <w:r>
        <w:rPr>
          <w:b/>
          <w:sz w:val="20"/>
        </w:rPr>
        <w:t>Recent Sales of Unregistered Equity Securities</w:t>
      </w:r>
    </w:p>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sz w:val="20"/>
        </w:rPr>
      </w:pPr>
      <w:r>
        <w:rPr>
          <w:sz w:val="20"/>
        </w:rPr>
        <w:t>None.</w:t>
      </w:r>
    </w:p>
    <w:p>
      <w:pPr>
        <w:pStyle w:val="TextBody"/>
        <w:bidi w:val="0"/>
        <w:spacing w:lineRule="atLeast" w:line="240" w:before="0" w:after="0"/>
        <w:jc w:val="left"/>
        <w:rPr/>
      </w:pPr>
      <w:r>
        <w:rPr/>
        <w:t> </w:t>
      </w:r>
    </w:p>
    <w:p>
      <w:pPr>
        <w:pStyle w:val="TextBody"/>
        <w:bidi w:val="0"/>
        <w:spacing w:lineRule="atLeast" w:line="240" w:before="0" w:after="0"/>
        <w:jc w:val="left"/>
        <w:rPr>
          <w:b/>
          <w:sz w:val="20"/>
        </w:rPr>
      </w:pPr>
      <w:r>
        <w:rPr>
          <w:b/>
          <w:sz w:val="20"/>
        </w:rPr>
        <w:t xml:space="preserve">Issuer Purchases of Equity Securities </w:t>
      </w:r>
    </w:p>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sz w:val="20"/>
        </w:rPr>
        <w:t>On December 18, 2024, the Board authorized an incremental increase to our repurchase program and on April 11, 2025, the Board authorized another increase to our repurchase program,</w:t>
      </w:r>
      <w:r>
        <w:rPr/>
        <w:t> </w:t>
      </w:r>
      <w:r>
        <w:rPr>
          <w:sz w:val="20"/>
        </w:rPr>
        <w:t>such that, inclusive of any amounts remaining under the existing repurchase authorization, as of April 11, 2025, we were authorized to repurchase up to $30.6 million of our Class A common stock. On February 27, 2026,</w:t>
      </w:r>
      <w:r>
        <w:rPr/>
        <w:t> </w:t>
      </w:r>
      <w:r>
        <w:rPr>
          <w:sz w:val="20"/>
        </w:rPr>
        <w:t>our Board further authorized an incremental increase of $50.0 million to our repurchase program,</w:t>
      </w:r>
      <w:r>
        <w:rPr/>
        <w:t> </w:t>
      </w:r>
      <w:r>
        <w:rPr>
          <w:sz w:val="20"/>
        </w:rPr>
        <w:t>such that, inclusive of any amounts remaining under the existing repurchase authorization, as of February 27, 2026, we were authorized to repurchase up to $67.4 million of our Class A common stock.</w:t>
      </w:r>
      <w:r>
        <w:rPr/>
        <w:t> </w:t>
      </w:r>
      <w:r>
        <w:rPr>
          <w:sz w:val="20"/>
        </w:rPr>
        <w:t>Under the program, repurchases may be made from time to time in open market transactions, in privately negotiated transactions or otherwise. The timing and the actual dollar amount repurchased will depend on a variety of factors,</w:t>
      </w:r>
      <w:r>
        <w:rPr/>
        <w:t> </w:t>
      </w:r>
      <w:r>
        <w:rPr>
          <w:sz w:val="20"/>
        </w:rPr>
        <w:t>including legal requirements, price, future tax implications and economic and market conditions. The repurchase program may be changed, suspended or discontinued at any time and does not have a specified expiration date.</w:t>
      </w:r>
      <w:r>
        <w:rPr/>
        <w:t> </w:t>
      </w:r>
      <w:r>
        <w:rPr>
          <w:sz w:val="20"/>
        </w:rPr>
        <w:t xml:space="preserve">As of </w:t>
      </w:r>
      <w:r>
        <w:rPr>
          <w:rFonts w:ascii="Times New Roman" w:hAnsi="Times New Roman"/>
          <w:sz w:val="20"/>
        </w:rPr>
        <w:t>July 31, 2026</w:t>
      </w:r>
      <w:r>
        <w:rPr>
          <w:sz w:val="20"/>
        </w:rPr>
        <w:t>, $</w:t>
      </w:r>
      <w:r>
        <w:rPr>
          <w:rFonts w:ascii="Times New Roman" w:hAnsi="Times New Roman"/>
          <w:sz w:val="20"/>
        </w:rPr>
        <w:t>57.9</w:t>
      </w:r>
      <w:r>
        <w:rPr/>
        <w:t> </w:t>
      </w:r>
      <w:r>
        <w:rPr>
          <w:sz w:val="20"/>
        </w:rPr>
        <w:t>million of our Class A common stock was available to be purchased under the stock repurchase program.</w:t>
      </w:r>
    </w:p>
    <w:p>
      <w:pPr>
        <w:pStyle w:val="TextBody"/>
        <w:bidi w:val="0"/>
        <w:spacing w:lineRule="atLeast" w:line="240" w:before="0" w:after="0"/>
        <w:ind w:left="0" w:right="0" w:firstLine="900"/>
        <w:jc w:val="left"/>
        <w:rPr/>
      </w:pPr>
      <w:r>
        <w:rPr/>
        <w:t> </w:t>
      </w:r>
    </w:p>
    <w:p>
      <w:pPr>
        <w:pStyle w:val="TextBody"/>
        <w:bidi w:val="0"/>
        <w:spacing w:lineRule="atLeast" w:line="240" w:before="0" w:after="0"/>
        <w:ind w:left="0" w:right="0" w:firstLine="900"/>
        <w:jc w:val="left"/>
        <w:rPr/>
      </w:pPr>
      <w:r>
        <w:rPr>
          <w:sz w:val="20"/>
        </w:rPr>
        <w:t xml:space="preserve">The following table provides information relating to the Company’s repurchase of common stock for the third quarter of fiscal </w:t>
      </w:r>
      <w:r>
        <w:rPr>
          <w:rFonts w:ascii="Times New Roman" w:hAnsi="Times New Roman"/>
          <w:sz w:val="20"/>
        </w:rPr>
        <w:t>2026</w:t>
      </w:r>
      <w:r>
        <w:rPr>
          <w:sz w:val="20"/>
        </w:rPr>
        <w:t>.</w:t>
      </w:r>
    </w:p>
    <w:p>
      <w:pPr>
        <w:pStyle w:val="TextBody"/>
        <w:bidi w:val="0"/>
        <w:spacing w:lineRule="atLeast" w:line="240" w:before="0" w:after="0"/>
        <w:ind w:left="0" w:right="0" w:firstLine="900"/>
        <w:jc w:val="left"/>
        <w:rPr/>
      </w:pPr>
      <w:r>
        <w:rPr/>
        <w:t> </w:t>
      </w:r>
    </w:p>
    <w:tbl>
      <w:tblPr>
        <w:tblW w:w="10205" w:type="dxa"/>
        <w:jc w:val="left"/>
        <w:tblInd w:w="0" w:type="dxa"/>
        <w:tblLayout w:type="fixed"/>
        <w:tblCellMar>
          <w:top w:w="0" w:type="dxa"/>
          <w:left w:w="0" w:type="dxa"/>
          <w:bottom w:w="28" w:type="dxa"/>
          <w:right w:w="0" w:type="dxa"/>
        </w:tblCellMar>
      </w:tblPr>
      <w:tblGrid>
        <w:gridCol w:w="1962"/>
        <w:gridCol w:w="60"/>
        <w:gridCol w:w="2571"/>
        <w:gridCol w:w="60"/>
        <w:gridCol w:w="60"/>
        <w:gridCol w:w="1767"/>
        <w:gridCol w:w="60"/>
        <w:gridCol w:w="60"/>
        <w:gridCol w:w="1678"/>
        <w:gridCol w:w="60"/>
        <w:gridCol w:w="60"/>
        <w:gridCol w:w="1807"/>
      </w:tblGrid>
      <w:tr>
        <w:trPr/>
        <w:tc>
          <w:tcPr>
            <w:tcW w:w="1962" w:type="dxa"/>
            <w:tcBorders>
              <w:bottom w:val="single" w:sz="8" w:space="0" w:color="000000"/>
            </w:tcBorders>
            <w:vAlign w:val="center"/>
          </w:tcPr>
          <w:p>
            <w:pPr>
              <w:pStyle w:val="TableContents"/>
              <w:bidi w:val="0"/>
              <w:spacing w:before="0" w:after="0"/>
              <w:jc w:val="left"/>
              <w:rPr/>
            </w:pPr>
            <w:r>
              <w:rPr/>
              <w:t> </w:t>
            </w:r>
          </w:p>
        </w:tc>
        <w:tc>
          <w:tcPr>
            <w:tcW w:w="60" w:type="dxa"/>
            <w:tcBorders>
              <w:bottom w:val="single" w:sz="8" w:space="0" w:color="000000"/>
            </w:tcBorders>
            <w:vAlign w:val="center"/>
          </w:tcPr>
          <w:p>
            <w:pPr>
              <w:pStyle w:val="TableContents"/>
              <w:bidi w:val="0"/>
              <w:spacing w:before="0" w:after="0"/>
              <w:jc w:val="left"/>
              <w:rPr/>
            </w:pPr>
            <w:r>
              <w:rPr/>
              <w:t> </w:t>
            </w:r>
          </w:p>
        </w:tc>
        <w:tc>
          <w:tcPr>
            <w:tcW w:w="2571" w:type="dxa"/>
            <w:tcBorders>
              <w:bottom w:val="single" w:sz="8" w:space="0" w:color="000000"/>
            </w:tcBorders>
            <w:vAlign w:val="center"/>
          </w:tcPr>
          <w:p>
            <w:pPr>
              <w:pStyle w:val="TableContents"/>
              <w:bidi w:val="0"/>
              <w:spacing w:before="0" w:after="0"/>
              <w:jc w:val="center"/>
              <w:rPr>
                <w:sz w:val="20"/>
              </w:rPr>
            </w:pPr>
            <w:r>
              <w:rPr>
                <w:rFonts w:ascii="Times New Roman" w:hAnsi="Times New Roman"/>
                <w:b/>
                <w:sz w:val="20"/>
              </w:rPr>
              <w:t>Total</w:t>
            </w:r>
            <w:r>
              <w:rPr>
                <w:sz w:val="20"/>
              </w:rPr>
              <w:t> </w:t>
            </w:r>
            <w:r>
              <w:rPr>
                <w:rFonts w:ascii="Times New Roman" w:hAnsi="Times New Roman"/>
                <w:b/>
                <w:sz w:val="20"/>
              </w:rPr>
              <w:t>Number</w:t>
            </w:r>
            <w:r>
              <w:rPr>
                <w:sz w:val="20"/>
              </w:rPr>
              <w:t> </w:t>
            </w:r>
            <w:r>
              <w:rPr>
                <w:rFonts w:ascii="Times New Roman" w:hAnsi="Times New Roman"/>
                <w:b/>
                <w:sz w:val="20"/>
              </w:rPr>
              <w:t>of</w:t>
            </w:r>
            <w:r>
              <w:rPr>
                <w:sz w:val="20"/>
              </w:rPr>
              <w:t> </w:t>
            </w:r>
            <w:r>
              <w:rPr>
                <w:rFonts w:ascii="Times New Roman" w:hAnsi="Times New Roman"/>
                <w:b/>
                <w:sz w:val="20"/>
              </w:rPr>
              <w:t>Shares Purchased</w:t>
            </w:r>
          </w:p>
        </w:tc>
        <w:tc>
          <w:tcPr>
            <w:tcW w:w="60" w:type="dxa"/>
            <w:tcBorders>
              <w:bottom w:val="single" w:sz="8" w:space="0" w:color="000000"/>
            </w:tcBorders>
            <w:vAlign w:val="center"/>
          </w:tcPr>
          <w:p>
            <w:pPr>
              <w:pStyle w:val="TableContents"/>
              <w:bidi w:val="0"/>
              <w:spacing w:before="0" w:after="0"/>
              <w:jc w:val="left"/>
              <w:rPr/>
            </w:pPr>
            <w:r>
              <w:rPr/>
              <w:t> </w:t>
            </w:r>
          </w:p>
        </w:tc>
        <w:tc>
          <w:tcPr>
            <w:tcW w:w="60" w:type="dxa"/>
            <w:tcBorders>
              <w:bottom w:val="single" w:sz="8" w:space="0" w:color="000000"/>
            </w:tcBorders>
            <w:vAlign w:val="center"/>
          </w:tcPr>
          <w:p>
            <w:pPr>
              <w:pStyle w:val="TableContents"/>
              <w:bidi w:val="0"/>
              <w:spacing w:before="0" w:after="0"/>
              <w:jc w:val="left"/>
              <w:rPr/>
            </w:pPr>
            <w:r>
              <w:rPr/>
              <w:t> </w:t>
            </w:r>
          </w:p>
        </w:tc>
        <w:tc>
          <w:tcPr>
            <w:tcW w:w="1767" w:type="dxa"/>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Average Price Paid Per Share</w:t>
            </w:r>
          </w:p>
        </w:tc>
        <w:tc>
          <w:tcPr>
            <w:tcW w:w="60" w:type="dxa"/>
            <w:tcBorders>
              <w:bottom w:val="single" w:sz="8" w:space="0" w:color="000000"/>
            </w:tcBorders>
            <w:vAlign w:val="center"/>
          </w:tcPr>
          <w:p>
            <w:pPr>
              <w:pStyle w:val="TableContents"/>
              <w:bidi w:val="0"/>
              <w:spacing w:before="0" w:after="0"/>
              <w:jc w:val="left"/>
              <w:rPr/>
            </w:pPr>
            <w:r>
              <w:rPr/>
              <w:t> </w:t>
            </w:r>
          </w:p>
        </w:tc>
        <w:tc>
          <w:tcPr>
            <w:tcW w:w="60" w:type="dxa"/>
            <w:tcBorders>
              <w:bottom w:val="single" w:sz="8" w:space="0" w:color="000000"/>
            </w:tcBorders>
            <w:vAlign w:val="center"/>
          </w:tcPr>
          <w:p>
            <w:pPr>
              <w:pStyle w:val="TableContents"/>
              <w:bidi w:val="0"/>
              <w:spacing w:before="0" w:after="0"/>
              <w:jc w:val="left"/>
              <w:rPr/>
            </w:pPr>
            <w:r>
              <w:rPr/>
              <w:t> </w:t>
            </w:r>
          </w:p>
        </w:tc>
        <w:tc>
          <w:tcPr>
            <w:tcW w:w="1678" w:type="dxa"/>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 xml:space="preserve">Total Number of Shares </w:t>
            </w:r>
          </w:p>
          <w:p>
            <w:pPr>
              <w:pStyle w:val="TableContents"/>
              <w:bidi w:val="0"/>
              <w:spacing w:before="0" w:after="0"/>
              <w:jc w:val="center"/>
              <w:rPr>
                <w:rFonts w:ascii="Times New Roman" w:hAnsi="Times New Roman"/>
                <w:b/>
                <w:sz w:val="20"/>
              </w:rPr>
            </w:pPr>
            <w:r>
              <w:rPr>
                <w:rFonts w:ascii="Times New Roman" w:hAnsi="Times New Roman"/>
                <w:b/>
                <w:sz w:val="20"/>
              </w:rPr>
              <w:t>Purchased as Part of</w:t>
            </w:r>
          </w:p>
          <w:p>
            <w:pPr>
              <w:pStyle w:val="TableContents"/>
              <w:bidi w:val="0"/>
              <w:spacing w:before="0" w:after="0"/>
              <w:jc w:val="center"/>
              <w:rPr>
                <w:rFonts w:ascii="Times New Roman" w:hAnsi="Times New Roman"/>
                <w:b/>
                <w:sz w:val="20"/>
              </w:rPr>
            </w:pPr>
            <w:r>
              <w:rPr>
                <w:rFonts w:ascii="Times New Roman" w:hAnsi="Times New Roman"/>
                <w:b/>
                <w:sz w:val="20"/>
              </w:rPr>
              <w:t>Publicly Announced Plans</w:t>
            </w:r>
          </w:p>
          <w:p>
            <w:pPr>
              <w:pStyle w:val="TableContents"/>
              <w:bidi w:val="0"/>
              <w:spacing w:before="0" w:after="0"/>
              <w:jc w:val="center"/>
              <w:rPr>
                <w:rFonts w:ascii="Times New Roman" w:hAnsi="Times New Roman"/>
                <w:b/>
                <w:sz w:val="20"/>
              </w:rPr>
            </w:pPr>
            <w:r>
              <w:rPr>
                <w:rFonts w:ascii="Times New Roman" w:hAnsi="Times New Roman"/>
                <w:b/>
                <w:sz w:val="20"/>
              </w:rPr>
              <w:t>or Programs</w:t>
            </w:r>
          </w:p>
        </w:tc>
        <w:tc>
          <w:tcPr>
            <w:tcW w:w="60" w:type="dxa"/>
            <w:tcBorders>
              <w:bottom w:val="single" w:sz="8" w:space="0" w:color="000000"/>
            </w:tcBorders>
            <w:vAlign w:val="center"/>
          </w:tcPr>
          <w:p>
            <w:pPr>
              <w:pStyle w:val="TableContents"/>
              <w:bidi w:val="0"/>
              <w:spacing w:before="0" w:after="0"/>
              <w:jc w:val="left"/>
              <w:rPr/>
            </w:pPr>
            <w:r>
              <w:rPr/>
              <w:t> </w:t>
            </w:r>
          </w:p>
        </w:tc>
        <w:tc>
          <w:tcPr>
            <w:tcW w:w="60" w:type="dxa"/>
            <w:tcBorders>
              <w:bottom w:val="single" w:sz="8" w:space="0" w:color="000000"/>
            </w:tcBorders>
            <w:vAlign w:val="center"/>
          </w:tcPr>
          <w:p>
            <w:pPr>
              <w:pStyle w:val="TableContents"/>
              <w:bidi w:val="0"/>
              <w:spacing w:before="0" w:after="0"/>
              <w:jc w:val="left"/>
              <w:rPr/>
            </w:pPr>
            <w:r>
              <w:rPr/>
              <w:t> </w:t>
            </w:r>
          </w:p>
        </w:tc>
        <w:tc>
          <w:tcPr>
            <w:tcW w:w="1807" w:type="dxa"/>
            <w:tcBorders>
              <w:bottom w:val="single" w:sz="8"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Approximate Dollar Value</w:t>
            </w:r>
          </w:p>
          <w:p>
            <w:pPr>
              <w:pStyle w:val="TableContents"/>
              <w:bidi w:val="0"/>
              <w:spacing w:before="0" w:after="0"/>
              <w:jc w:val="center"/>
              <w:rPr>
                <w:rFonts w:ascii="Times New Roman" w:hAnsi="Times New Roman"/>
                <w:b/>
                <w:sz w:val="20"/>
              </w:rPr>
            </w:pPr>
            <w:r>
              <w:rPr>
                <w:rFonts w:ascii="Times New Roman" w:hAnsi="Times New Roman"/>
                <w:b/>
                <w:sz w:val="20"/>
              </w:rPr>
              <w:t xml:space="preserve">of Shares that May Yet Be </w:t>
            </w:r>
          </w:p>
          <w:p>
            <w:pPr>
              <w:pStyle w:val="TableContents"/>
              <w:bidi w:val="0"/>
              <w:spacing w:before="0" w:after="0"/>
              <w:jc w:val="center"/>
              <w:rPr>
                <w:rFonts w:ascii="Times New Roman" w:hAnsi="Times New Roman"/>
                <w:b/>
                <w:sz w:val="20"/>
              </w:rPr>
            </w:pPr>
            <w:r>
              <w:rPr>
                <w:rFonts w:ascii="Times New Roman" w:hAnsi="Times New Roman"/>
                <w:b/>
                <w:sz w:val="20"/>
              </w:rPr>
              <w:t>Purchased Under the</w:t>
            </w:r>
          </w:p>
          <w:p>
            <w:pPr>
              <w:pStyle w:val="TableContents"/>
              <w:bidi w:val="0"/>
              <w:spacing w:before="0" w:after="0"/>
              <w:jc w:val="center"/>
              <w:rPr>
                <w:rFonts w:ascii="Times New Roman" w:hAnsi="Times New Roman"/>
                <w:b/>
                <w:sz w:val="20"/>
              </w:rPr>
            </w:pPr>
            <w:r>
              <w:rPr>
                <w:rFonts w:ascii="Times New Roman" w:hAnsi="Times New Roman"/>
                <w:b/>
                <w:sz w:val="20"/>
              </w:rPr>
              <w:t>Plans or Programs</w:t>
            </w:r>
          </w:p>
        </w:tc>
      </w:tr>
      <w:tr>
        <w:trPr/>
        <w:tc>
          <w:tcPr>
            <w:tcW w:w="1962"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May 1, 2026 through May 31, 2026</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2571"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767"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678"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807"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57,935,884</w:t>
            </w:r>
          </w:p>
        </w:tc>
      </w:tr>
      <w:tr>
        <w:trPr/>
        <w:tc>
          <w:tcPr>
            <w:tcW w:w="1962"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June 1, 2026 through June 30, 2026</w:t>
            </w:r>
          </w:p>
        </w:tc>
        <w:tc>
          <w:tcPr>
            <w:tcW w:w="60" w:type="dxa"/>
            <w:tcBorders/>
            <w:shd w:fill="FFFFFF" w:val="clear"/>
            <w:tcMar>
              <w:bottom w:w="0" w:type="dxa"/>
            </w:tcMar>
            <w:vAlign w:val="center"/>
          </w:tcPr>
          <w:p>
            <w:pPr>
              <w:pStyle w:val="TableContents"/>
              <w:bidi w:val="0"/>
              <w:spacing w:before="0" w:after="0"/>
              <w:jc w:val="left"/>
              <w:rPr/>
            </w:pPr>
            <w:r>
              <w:rPr/>
              <w:t> </w:t>
            </w:r>
          </w:p>
        </w:tc>
        <w:tc>
          <w:tcPr>
            <w:tcW w:w="2571"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767"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678"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807"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57,935,884</w:t>
            </w:r>
          </w:p>
        </w:tc>
      </w:tr>
      <w:tr>
        <w:trPr/>
        <w:tc>
          <w:tcPr>
            <w:tcW w:w="1962"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July 1, 2026 through July 31, 2026</w:t>
            </w:r>
          </w:p>
        </w:tc>
        <w:tc>
          <w:tcPr>
            <w:tcW w:w="60" w:type="dxa"/>
            <w:tcBorders/>
            <w:shd w:fill="CCEEFF" w:val="clear"/>
            <w:tcMar>
              <w:bottom w:w="0" w:type="dxa"/>
            </w:tcMar>
            <w:vAlign w:val="center"/>
          </w:tcPr>
          <w:p>
            <w:pPr>
              <w:pStyle w:val="TableContents"/>
              <w:bidi w:val="0"/>
              <w:spacing w:before="0" w:after="0"/>
              <w:jc w:val="left"/>
              <w:rPr/>
            </w:pPr>
            <w:r>
              <w:rPr/>
              <w:t> </w:t>
            </w:r>
          </w:p>
        </w:tc>
        <w:tc>
          <w:tcPr>
            <w:tcW w:w="2571"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767"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678"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807"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57,935,884</w:t>
            </w:r>
          </w:p>
        </w:tc>
      </w:tr>
    </w:tbl>
    <w:p>
      <w:pPr>
        <w:pStyle w:val="TextBody"/>
        <w:bidi w:val="0"/>
        <w:spacing w:lineRule="atLeast" w:line="240" w:before="0" w:after="0"/>
        <w:ind w:left="0" w:right="0" w:firstLine="900"/>
        <w:jc w:val="left"/>
        <w:rPr/>
      </w:pPr>
      <w:r>
        <w:rPr/>
        <w:t> </w:t>
      </w:r>
    </w:p>
    <w:p>
      <w:pPr>
        <w:pStyle w:val="TextBody"/>
        <w:bidi w:val="0"/>
        <w:spacing w:lineRule="atLeast" w:line="240" w:before="0" w:after="0"/>
        <w:jc w:val="left"/>
        <w:rPr/>
      </w:pPr>
      <w:hyperlink w:anchor="TOC">
        <w:bookmarkStart w:id="16" w:name="bm_6eb662781bf16e9d"/>
        <w:bookmarkEnd w:id="16"/>
        <w:r>
          <w:rPr>
            <w:rStyle w:val="InternetLink"/>
            <w:b/>
            <w:strike w:val="false"/>
            <w:dstrike w:val="false"/>
            <w:color w:val="000000"/>
            <w:sz w:val="20"/>
            <w:u w:val="none"/>
            <w:effect w:val="none"/>
          </w:rPr>
          <w:t>Item 5.</w:t>
        </w:r>
      </w:hyperlink>
      <w:hyperlink w:anchor="TOC">
        <w:r>
          <w:rPr>
            <w:rStyle w:val="InternetLink"/>
            <w:strike w:val="false"/>
            <w:dstrike w:val="false"/>
            <w:color w:val="000000"/>
            <w:u w:val="none"/>
            <w:effect w:val="none"/>
          </w:rPr>
          <w:t> </w:t>
        </w:r>
      </w:hyperlink>
      <w:hyperlink w:anchor="TOC">
        <w:r>
          <w:rPr>
            <w:rStyle w:val="InternetLink"/>
            <w:b/>
            <w:strike w:val="false"/>
            <w:dstrike w:val="false"/>
            <w:color w:val="000000"/>
            <w:sz w:val="20"/>
            <w:u w:val="none"/>
            <w:effect w:val="none"/>
          </w:rPr>
          <w:t>OTHER INFORMATION</w:t>
        </w:r>
      </w:hyperlink>
    </w:p>
    <w:p>
      <w:pPr>
        <w:pStyle w:val="TextBody"/>
        <w:bidi w:val="0"/>
        <w:spacing w:lineRule="atLeast" w:line="240" w:before="0" w:after="0"/>
        <w:jc w:val="left"/>
        <w:rPr/>
      </w:pPr>
      <w:r>
        <w:rPr/>
        <w:t> </w:t>
      </w:r>
    </w:p>
    <w:p>
      <w:pPr>
        <w:pStyle w:val="TextBody"/>
        <w:bidi w:val="0"/>
        <w:spacing w:lineRule="atLeast" w:line="240" w:before="0" w:after="0"/>
        <w:ind w:left="0" w:right="0" w:firstLine="900"/>
        <w:jc w:val="left"/>
        <w:rPr/>
      </w:pPr>
      <w:r>
        <w:rPr>
          <w:sz w:val="20"/>
        </w:rPr>
        <w:t xml:space="preserve">During the </w:t>
      </w:r>
      <w:r>
        <w:rPr>
          <w:rFonts w:ascii="Times New Roman" w:hAnsi="Times New Roman"/>
          <w:sz w:val="20"/>
        </w:rPr>
        <w:t>three months ended July 31, 2026</w:t>
      </w:r>
      <w:r>
        <w:rPr>
          <w:sz w:val="20"/>
        </w:rPr>
        <w:t xml:space="preserve">, no director or officer (as defined in Rule 16a-1(f) of the Exchange Act) of the Company </w:t>
      </w:r>
      <w:r>
        <w:rPr>
          <w:rFonts w:ascii="Times New Roman" w:hAnsi="Times New Roman"/>
          <w:sz w:val="20"/>
        </w:rPr>
        <w:t>adopted</w:t>
      </w:r>
      <w:r>
        <w:rPr/>
        <w:t xml:space="preserve"> </w:t>
      </w:r>
      <w:r>
        <w:rPr>
          <w:sz w:val="20"/>
        </w:rPr>
        <w:t xml:space="preserve">or </w:t>
      </w:r>
      <w:r>
        <w:rPr>
          <w:rFonts w:ascii="Times New Roman" w:hAnsi="Times New Roman"/>
          <w:sz w:val="20"/>
        </w:rPr>
        <w:t>terminated</w:t>
      </w:r>
      <w:r>
        <w:rPr/>
        <w:t xml:space="preserve"> </w:t>
      </w:r>
      <w:r>
        <w:rPr>
          <w:sz w:val="20"/>
        </w:rPr>
        <w:t>a "</w:t>
      </w:r>
      <w:r>
        <w:rPr>
          <w:rFonts w:ascii="Times New Roman" w:hAnsi="Times New Roman"/>
          <w:sz w:val="20"/>
        </w:rPr>
        <w:t>Rule 10b5-1</w:t>
      </w:r>
      <w:r>
        <w:rPr/>
        <w:t> </w:t>
      </w:r>
      <w:r>
        <w:rPr>
          <w:sz w:val="20"/>
        </w:rPr>
        <w:t>trading arrangement" or "</w:t>
      </w:r>
      <w:r>
        <w:rPr>
          <w:rFonts w:ascii="Times New Roman" w:hAnsi="Times New Roman"/>
          <w:sz w:val="20"/>
        </w:rPr>
        <w:t>non-Rule 10b5-1</w:t>
      </w:r>
      <w:r>
        <w:rPr/>
        <w:t xml:space="preserve"> </w:t>
      </w:r>
      <w:r>
        <w:rPr>
          <w:sz w:val="20"/>
        </w:rPr>
        <w:t>trading arrangement," as each term is defined in Item 408(a) of Regulation S-K.</w:t>
      </w:r>
    </w:p>
    <w:p>
      <w:pPr>
        <w:pStyle w:val="TextBody"/>
        <w:bidi w:val="0"/>
        <w:spacing w:lineRule="atLeast" w:line="240" w:before="0" w:after="0"/>
        <w:ind w:left="0" w:right="0" w:firstLine="90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47</w:t>
      </w:r>
    </w:p>
    <w:p>
      <w:pPr>
        <w:pStyle w:val="HorizontalLine"/>
        <w:pBdr>
          <w:bottom w:val="double" w:sz="2" w:space="0" w:color="808080"/>
        </w:pBdr>
        <w:bidi w:val="0"/>
        <w:spacing w:before="0" w:after="283"/>
        <w:jc w:val="left"/>
        <w:rPr/>
      </w:pPr>
      <w:r>
        <w:rPr/>
      </w:r>
      <w:r>
        <w:br w:type="page"/>
      </w:r>
    </w:p>
    <w:p>
      <w:pPr>
        <w:pStyle w:val="TextBody"/>
        <w:bidi w:val="0"/>
        <w:spacing w:lineRule="atLeast" w:line="240" w:before="0" w:after="0"/>
        <w:jc w:val="left"/>
        <w:rPr/>
      </w:pPr>
      <w:hyperlink w:anchor="TOC">
        <w:r>
          <w:rPr>
            <w:rStyle w:val="InternetLink"/>
            <w:strike w:val="false"/>
            <w:dstrike w:val="false"/>
            <w:color w:val="0000FF"/>
            <w:sz w:val="20"/>
            <w:u w:val="single"/>
            <w:effect w:val="none"/>
          </w:rPr>
          <w:t>Table of Contents</w:t>
        </w:r>
      </w:hyperlink>
    </w:p>
    <w:p>
      <w:pPr>
        <w:pStyle w:val="TextBody"/>
        <w:bidi w:val="0"/>
        <w:spacing w:lineRule="atLeast" w:line="24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67"/>
        <w:gridCol w:w="9738"/>
      </w:tblGrid>
      <w:tr>
        <w:trPr/>
        <w:tc>
          <w:tcPr>
            <w:tcW w:w="467" w:type="dxa"/>
            <w:tcBorders/>
            <w:vAlign w:val="center"/>
          </w:tcPr>
          <w:p>
            <w:pPr>
              <w:pStyle w:val="TableContents"/>
              <w:bidi w:val="0"/>
              <w:spacing w:before="0" w:after="0"/>
              <w:jc w:val="left"/>
              <w:rPr/>
            </w:pPr>
            <w:hyperlink w:anchor="TOC">
              <w:r>
                <w:rPr>
                  <w:rStyle w:val="InternetLink"/>
                  <w:b/>
                  <w:strike w:val="false"/>
                  <w:dstrike w:val="false"/>
                  <w:color w:val="000000"/>
                  <w:sz w:val="20"/>
                  <w:u w:val="none"/>
                  <w:effect w:val="none"/>
                </w:rPr>
                <w:t>Item 6.</w:t>
              </w:r>
            </w:hyperlink>
          </w:p>
        </w:tc>
        <w:tc>
          <w:tcPr>
            <w:tcW w:w="9738" w:type="dxa"/>
            <w:tcBorders/>
            <w:vAlign w:val="center"/>
          </w:tcPr>
          <w:p>
            <w:pPr>
              <w:pStyle w:val="TableContents"/>
              <w:bidi w:val="0"/>
              <w:spacing w:before="0" w:after="0"/>
              <w:jc w:val="left"/>
              <w:rPr>
                <w:b/>
                <w:sz w:val="20"/>
              </w:rPr>
            </w:pPr>
            <w:bookmarkStart w:id="17" w:name="bm_28c67dc09bb72632"/>
            <w:bookmarkEnd w:id="17"/>
            <w:r>
              <w:rPr>
                <w:b/>
                <w:sz w:val="20"/>
              </w:rPr>
              <w:t>EXHIBITS</w:t>
            </w:r>
          </w:p>
        </w:tc>
      </w:tr>
      <w:tr>
        <w:trPr/>
        <w:tc>
          <w:tcPr>
            <w:tcW w:w="467" w:type="dxa"/>
            <w:tcBorders/>
            <w:vAlign w:val="center"/>
          </w:tcPr>
          <w:p>
            <w:pPr>
              <w:pStyle w:val="TableContents"/>
              <w:bidi w:val="0"/>
              <w:spacing w:before="0" w:after="0"/>
              <w:jc w:val="left"/>
              <w:rPr/>
            </w:pPr>
            <w:r>
              <w:rPr/>
              <w:t> </w:t>
            </w:r>
          </w:p>
        </w:tc>
        <w:tc>
          <w:tcPr>
            <w:tcW w:w="9738" w:type="dxa"/>
            <w:tcBorders/>
            <w:vAlign w:val="center"/>
          </w:tcPr>
          <w:p>
            <w:pPr>
              <w:pStyle w:val="TableContents"/>
              <w:bidi w:val="0"/>
              <w:spacing w:before="0" w:after="0"/>
              <w:jc w:val="left"/>
              <w:rPr/>
            </w:pPr>
            <w:r>
              <w:rPr/>
              <w:t> </w:t>
            </w:r>
          </w:p>
        </w:tc>
      </w:tr>
      <w:tr>
        <w:trPr/>
        <w:tc>
          <w:tcPr>
            <w:tcW w:w="467" w:type="dxa"/>
            <w:tcBorders/>
            <w:vAlign w:val="center"/>
          </w:tcPr>
          <w:p>
            <w:pPr>
              <w:pStyle w:val="TableContents"/>
              <w:bidi w:val="0"/>
              <w:spacing w:before="0" w:after="0"/>
              <w:jc w:val="left"/>
              <w:rPr>
                <w:sz w:val="20"/>
              </w:rPr>
            </w:pPr>
            <w:r>
              <w:rPr>
                <w:sz w:val="20"/>
              </w:rPr>
              <w:t>3(a)</w:t>
            </w:r>
          </w:p>
        </w:tc>
        <w:tc>
          <w:tcPr>
            <w:tcW w:w="9738" w:type="dxa"/>
            <w:tcBorders/>
            <w:vAlign w:val="center"/>
          </w:tcPr>
          <w:p>
            <w:pPr>
              <w:pStyle w:val="TableContents"/>
              <w:bidi w:val="0"/>
              <w:spacing w:before="0" w:after="0"/>
              <w:jc w:val="left"/>
              <w:rPr/>
            </w:pPr>
            <w:hyperlink r:id="rId2">
              <w:r>
                <w:rPr>
                  <w:rStyle w:val="InternetLink"/>
                  <w:color w:val="0000FF"/>
                  <w:sz w:val="20"/>
                  <w:u w:val="single"/>
                </w:rPr>
                <w:t>Restated Certificate of Incorporation of the Registrant</w:t>
              </w:r>
            </w:hyperlink>
            <w:hyperlink r:id="rId3">
              <w:r>
                <w:rPr>
                  <w:rStyle w:val="InternetLink"/>
                  <w:color w:val="0000FF"/>
                  <w:u w:val="single"/>
                </w:rPr>
                <w:t> </w:t>
              </w:r>
            </w:hyperlink>
            <w:hyperlink r:id="rId4">
              <w:r>
                <w:rPr>
                  <w:rStyle w:val="InternetLink"/>
                  <w:color w:val="0000FF"/>
                  <w:sz w:val="20"/>
                  <w:u w:val="single"/>
                </w:rPr>
                <w:t>(Incorporated by reference to Exhibits to Current Report on Form 8-K of the Registrant filed on March 29, 2019).</w:t>
              </w:r>
            </w:hyperlink>
          </w:p>
        </w:tc>
      </w:tr>
      <w:tr>
        <w:trPr/>
        <w:tc>
          <w:tcPr>
            <w:tcW w:w="467" w:type="dxa"/>
            <w:tcBorders/>
            <w:vAlign w:val="center"/>
          </w:tcPr>
          <w:p>
            <w:pPr>
              <w:pStyle w:val="TableContents"/>
              <w:bidi w:val="0"/>
              <w:spacing w:before="0" w:after="0"/>
              <w:jc w:val="left"/>
              <w:rPr/>
            </w:pPr>
            <w:r>
              <w:rPr/>
              <w:t> </w:t>
            </w:r>
          </w:p>
        </w:tc>
        <w:tc>
          <w:tcPr>
            <w:tcW w:w="9738" w:type="dxa"/>
            <w:tcBorders/>
            <w:vAlign w:val="center"/>
          </w:tcPr>
          <w:p>
            <w:pPr>
              <w:pStyle w:val="TableContents"/>
              <w:bidi w:val="0"/>
              <w:spacing w:before="0" w:after="0"/>
              <w:jc w:val="left"/>
              <w:rPr/>
            </w:pPr>
            <w:r>
              <w:rPr/>
              <w:t> </w:t>
            </w:r>
          </w:p>
        </w:tc>
      </w:tr>
      <w:tr>
        <w:trPr/>
        <w:tc>
          <w:tcPr>
            <w:tcW w:w="467" w:type="dxa"/>
            <w:tcBorders/>
            <w:vAlign w:val="center"/>
          </w:tcPr>
          <w:p>
            <w:pPr>
              <w:pStyle w:val="TableContents"/>
              <w:bidi w:val="0"/>
              <w:spacing w:before="0" w:after="0"/>
              <w:jc w:val="left"/>
              <w:rPr>
                <w:sz w:val="20"/>
              </w:rPr>
            </w:pPr>
            <w:r>
              <w:rPr>
                <w:sz w:val="20"/>
              </w:rPr>
              <w:t>3(b)</w:t>
            </w:r>
          </w:p>
        </w:tc>
        <w:tc>
          <w:tcPr>
            <w:tcW w:w="9738" w:type="dxa"/>
            <w:tcBorders/>
            <w:vAlign w:val="center"/>
          </w:tcPr>
          <w:p>
            <w:pPr>
              <w:pStyle w:val="TableContents"/>
              <w:bidi w:val="0"/>
              <w:spacing w:before="0" w:after="0"/>
              <w:jc w:val="left"/>
              <w:rPr/>
            </w:pPr>
            <w:hyperlink r:id="rId5">
              <w:r>
                <w:rPr>
                  <w:rStyle w:val="InternetLink"/>
                  <w:color w:val="0000FF"/>
                  <w:sz w:val="20"/>
                  <w:u w:val="single"/>
                </w:rPr>
                <w:t>Second Amended and Restated Bylaws of the Registrant (Incorporated by reference to Exhibits to Current Report on Form 8-K of the Registrant filed on March 28, 2023).</w:t>
              </w:r>
            </w:hyperlink>
          </w:p>
        </w:tc>
      </w:tr>
      <w:tr>
        <w:trPr/>
        <w:tc>
          <w:tcPr>
            <w:tcW w:w="467" w:type="dxa"/>
            <w:tcBorders/>
            <w:vAlign w:val="center"/>
          </w:tcPr>
          <w:p>
            <w:pPr>
              <w:pStyle w:val="TableContents"/>
              <w:bidi w:val="0"/>
              <w:spacing w:before="0" w:after="0"/>
              <w:jc w:val="left"/>
              <w:rPr/>
            </w:pPr>
            <w:r>
              <w:rPr/>
              <w:t> </w:t>
            </w:r>
          </w:p>
        </w:tc>
        <w:tc>
          <w:tcPr>
            <w:tcW w:w="9738" w:type="dxa"/>
            <w:tcBorders/>
            <w:vAlign w:val="center"/>
          </w:tcPr>
          <w:p>
            <w:pPr>
              <w:pStyle w:val="TableContents"/>
              <w:bidi w:val="0"/>
              <w:spacing w:before="0" w:after="0"/>
              <w:jc w:val="left"/>
              <w:rPr/>
            </w:pPr>
            <w:r>
              <w:rPr/>
              <w:t> </w:t>
            </w:r>
          </w:p>
        </w:tc>
      </w:tr>
      <w:tr>
        <w:trPr/>
        <w:tc>
          <w:tcPr>
            <w:tcW w:w="467" w:type="dxa"/>
            <w:tcBorders/>
            <w:vAlign w:val="center"/>
          </w:tcPr>
          <w:p>
            <w:pPr>
              <w:pStyle w:val="TableContents"/>
              <w:bidi w:val="0"/>
              <w:spacing w:before="0" w:after="0"/>
              <w:jc w:val="left"/>
              <w:rPr>
                <w:sz w:val="20"/>
              </w:rPr>
            </w:pPr>
            <w:r>
              <w:rPr>
                <w:sz w:val="20"/>
              </w:rPr>
              <w:t>4(a)</w:t>
            </w:r>
          </w:p>
        </w:tc>
        <w:tc>
          <w:tcPr>
            <w:tcW w:w="9738" w:type="dxa"/>
            <w:tcBorders/>
            <w:vAlign w:val="center"/>
          </w:tcPr>
          <w:p>
            <w:pPr>
              <w:pStyle w:val="TableContents"/>
              <w:bidi w:val="0"/>
              <w:spacing w:before="0" w:after="0"/>
              <w:jc w:val="left"/>
              <w:rPr/>
            </w:pPr>
            <w:hyperlink r:id="rId6">
              <w:r>
                <w:rPr>
                  <w:rStyle w:val="InternetLink"/>
                  <w:color w:val="0000FF"/>
                  <w:sz w:val="20"/>
                  <w:u w:val="single"/>
                </w:rPr>
                <w:t>Specimen Class</w:t>
              </w:r>
            </w:hyperlink>
            <w:hyperlink r:id="rId7">
              <w:r>
                <w:rPr>
                  <w:rStyle w:val="InternetLink"/>
                  <w:color w:val="0000FF"/>
                  <w:u w:val="single"/>
                </w:rPr>
                <w:t> </w:t>
              </w:r>
            </w:hyperlink>
            <w:hyperlink r:id="rId8">
              <w:r>
                <w:rPr>
                  <w:rStyle w:val="InternetLink"/>
                  <w:color w:val="0000FF"/>
                  <w:sz w:val="20"/>
                  <w:u w:val="single"/>
                </w:rPr>
                <w:t>A Common Stock Certificate (Incorporated by reference to Exhibits to Current Report on Form 8-K of the Registrant filed on March 29, 2019).</w:t>
              </w:r>
            </w:hyperlink>
          </w:p>
        </w:tc>
      </w:tr>
      <w:tr>
        <w:trPr/>
        <w:tc>
          <w:tcPr>
            <w:tcW w:w="467" w:type="dxa"/>
            <w:tcBorders/>
            <w:vAlign w:val="center"/>
          </w:tcPr>
          <w:p>
            <w:pPr>
              <w:pStyle w:val="TableContents"/>
              <w:bidi w:val="0"/>
              <w:spacing w:before="0" w:after="0"/>
              <w:jc w:val="left"/>
              <w:rPr/>
            </w:pPr>
            <w:r>
              <w:rPr/>
              <w:t> </w:t>
            </w:r>
          </w:p>
        </w:tc>
        <w:tc>
          <w:tcPr>
            <w:tcW w:w="9738" w:type="dxa"/>
            <w:tcBorders/>
            <w:vAlign w:val="center"/>
          </w:tcPr>
          <w:p>
            <w:pPr>
              <w:pStyle w:val="TableContents"/>
              <w:bidi w:val="0"/>
              <w:spacing w:before="0" w:after="0"/>
              <w:jc w:val="left"/>
              <w:rPr/>
            </w:pPr>
            <w:r>
              <w:rPr/>
              <w:t> </w:t>
            </w:r>
          </w:p>
        </w:tc>
      </w:tr>
      <w:tr>
        <w:trPr/>
        <w:tc>
          <w:tcPr>
            <w:tcW w:w="467" w:type="dxa"/>
            <w:tcBorders/>
            <w:vAlign w:val="center"/>
          </w:tcPr>
          <w:p>
            <w:pPr>
              <w:pStyle w:val="TableContents"/>
              <w:bidi w:val="0"/>
              <w:spacing w:before="0" w:after="0"/>
              <w:jc w:val="left"/>
              <w:rPr>
                <w:sz w:val="20"/>
              </w:rPr>
            </w:pPr>
            <w:r>
              <w:rPr>
                <w:sz w:val="20"/>
              </w:rPr>
              <w:t>4(b)</w:t>
            </w:r>
          </w:p>
        </w:tc>
        <w:tc>
          <w:tcPr>
            <w:tcW w:w="9738" w:type="dxa"/>
            <w:tcBorders/>
            <w:vAlign w:val="center"/>
          </w:tcPr>
          <w:p>
            <w:pPr>
              <w:pStyle w:val="TableContents"/>
              <w:bidi w:val="0"/>
              <w:spacing w:before="0" w:after="0"/>
              <w:jc w:val="left"/>
              <w:rPr/>
            </w:pPr>
            <w:hyperlink r:id="rId9">
              <w:r>
                <w:rPr>
                  <w:rStyle w:val="InternetLink"/>
                  <w:color w:val="0000FF"/>
                  <w:sz w:val="20"/>
                  <w:u w:val="single"/>
                </w:rPr>
                <w:t>Specimen Class</w:t>
              </w:r>
            </w:hyperlink>
            <w:hyperlink r:id="rId10">
              <w:r>
                <w:rPr>
                  <w:rStyle w:val="InternetLink"/>
                  <w:color w:val="0000FF"/>
                  <w:u w:val="single"/>
                </w:rPr>
                <w:t> </w:t>
              </w:r>
            </w:hyperlink>
            <w:hyperlink r:id="rId11">
              <w:r>
                <w:rPr>
                  <w:rStyle w:val="InternetLink"/>
                  <w:color w:val="0000FF"/>
                  <w:sz w:val="20"/>
                  <w:u w:val="single"/>
                </w:rPr>
                <w:t>B Common Stock Certificate (Incorporated by reference to Exhibits to Current Report on Form 8-K of the Registrant filed on March 29, 2019).</w:t>
              </w:r>
            </w:hyperlink>
          </w:p>
        </w:tc>
      </w:tr>
      <w:tr>
        <w:trPr/>
        <w:tc>
          <w:tcPr>
            <w:tcW w:w="467" w:type="dxa"/>
            <w:tcBorders/>
            <w:vAlign w:val="center"/>
          </w:tcPr>
          <w:p>
            <w:pPr>
              <w:pStyle w:val="TableContents"/>
              <w:bidi w:val="0"/>
              <w:spacing w:before="0" w:after="0"/>
              <w:jc w:val="left"/>
              <w:rPr/>
            </w:pPr>
            <w:r>
              <w:rPr/>
              <w:t> </w:t>
            </w:r>
          </w:p>
        </w:tc>
        <w:tc>
          <w:tcPr>
            <w:tcW w:w="9738" w:type="dxa"/>
            <w:tcBorders/>
            <w:vAlign w:val="center"/>
          </w:tcPr>
          <w:p>
            <w:pPr>
              <w:pStyle w:val="TableContents"/>
              <w:bidi w:val="0"/>
              <w:spacing w:before="0" w:after="0"/>
              <w:jc w:val="left"/>
              <w:rPr/>
            </w:pPr>
            <w:r>
              <w:rPr/>
              <w:t> </w:t>
            </w:r>
          </w:p>
        </w:tc>
      </w:tr>
      <w:tr>
        <w:trPr/>
        <w:tc>
          <w:tcPr>
            <w:tcW w:w="467" w:type="dxa"/>
            <w:tcBorders/>
            <w:vAlign w:val="center"/>
          </w:tcPr>
          <w:p>
            <w:pPr>
              <w:pStyle w:val="TableContents"/>
              <w:bidi w:val="0"/>
              <w:spacing w:before="0" w:after="0"/>
              <w:jc w:val="left"/>
              <w:rPr>
                <w:sz w:val="20"/>
              </w:rPr>
            </w:pPr>
            <w:r>
              <w:rPr>
                <w:sz w:val="20"/>
              </w:rPr>
              <w:t>4(c)</w:t>
            </w:r>
          </w:p>
        </w:tc>
        <w:tc>
          <w:tcPr>
            <w:tcW w:w="9738" w:type="dxa"/>
            <w:tcBorders/>
            <w:vAlign w:val="center"/>
          </w:tcPr>
          <w:p>
            <w:pPr>
              <w:pStyle w:val="TableContents"/>
              <w:bidi w:val="0"/>
              <w:spacing w:before="0" w:after="0"/>
              <w:jc w:val="left"/>
              <w:rPr/>
            </w:pPr>
            <w:hyperlink r:id="rId12">
              <w:r>
                <w:rPr>
                  <w:rStyle w:val="InternetLink"/>
                  <w:color w:val="0000FF"/>
                  <w:sz w:val="20"/>
                  <w:u w:val="single"/>
                </w:rPr>
                <w:t>Certificate of Designations, Powers, Preferences and Rights of the 7.625% Series</w:t>
              </w:r>
            </w:hyperlink>
            <w:hyperlink r:id="rId13">
              <w:r>
                <w:rPr>
                  <w:rStyle w:val="InternetLink"/>
                  <w:color w:val="0000FF"/>
                  <w:u w:val="single"/>
                </w:rPr>
                <w:t> </w:t>
              </w:r>
            </w:hyperlink>
            <w:hyperlink r:id="rId14">
              <w:r>
                <w:rPr>
                  <w:rStyle w:val="InternetLink"/>
                  <w:color w:val="0000FF"/>
                  <w:sz w:val="20"/>
                  <w:u w:val="single"/>
                </w:rPr>
                <w:t>A Preferred Stock of Hovnanian Enterprises,</w:t>
              </w:r>
            </w:hyperlink>
            <w:hyperlink r:id="rId15">
              <w:r>
                <w:rPr>
                  <w:rStyle w:val="InternetLink"/>
                  <w:color w:val="0000FF"/>
                  <w:u w:val="single"/>
                </w:rPr>
                <w:t> </w:t>
              </w:r>
            </w:hyperlink>
            <w:hyperlink r:id="rId16">
              <w:r>
                <w:rPr>
                  <w:rStyle w:val="InternetLink"/>
                  <w:color w:val="0000FF"/>
                  <w:sz w:val="20"/>
                  <w:u w:val="single"/>
                </w:rPr>
                <w:t>Inc., dated July 12, 2005 (Incorporated by reference to Exhibits to Current Report on Form 8-K of the Registrant filed on July 13, 2005).</w:t>
              </w:r>
            </w:hyperlink>
          </w:p>
        </w:tc>
      </w:tr>
      <w:tr>
        <w:trPr/>
        <w:tc>
          <w:tcPr>
            <w:tcW w:w="467" w:type="dxa"/>
            <w:tcBorders/>
            <w:vAlign w:val="center"/>
          </w:tcPr>
          <w:p>
            <w:pPr>
              <w:pStyle w:val="TableContents"/>
              <w:bidi w:val="0"/>
              <w:spacing w:before="0" w:after="0"/>
              <w:jc w:val="left"/>
              <w:rPr/>
            </w:pPr>
            <w:r>
              <w:rPr/>
              <w:t> </w:t>
            </w:r>
          </w:p>
        </w:tc>
        <w:tc>
          <w:tcPr>
            <w:tcW w:w="9738" w:type="dxa"/>
            <w:tcBorders/>
            <w:vAlign w:val="center"/>
          </w:tcPr>
          <w:p>
            <w:pPr>
              <w:pStyle w:val="TableContents"/>
              <w:bidi w:val="0"/>
              <w:spacing w:before="0" w:after="0"/>
              <w:jc w:val="left"/>
              <w:rPr>
                <w:color w:val="0000FF"/>
              </w:rPr>
            </w:pPr>
            <w:r>
              <w:rPr>
                <w:color w:val="0000FF"/>
              </w:rPr>
              <w:t> </w:t>
            </w:r>
          </w:p>
        </w:tc>
      </w:tr>
      <w:tr>
        <w:trPr/>
        <w:tc>
          <w:tcPr>
            <w:tcW w:w="467" w:type="dxa"/>
            <w:tcBorders/>
            <w:vAlign w:val="center"/>
          </w:tcPr>
          <w:p>
            <w:pPr>
              <w:pStyle w:val="TableContents"/>
              <w:bidi w:val="0"/>
              <w:spacing w:before="0" w:after="0"/>
              <w:jc w:val="left"/>
              <w:rPr>
                <w:sz w:val="20"/>
              </w:rPr>
            </w:pPr>
            <w:r>
              <w:rPr>
                <w:sz w:val="20"/>
              </w:rPr>
              <w:t>4(d)</w:t>
            </w:r>
          </w:p>
        </w:tc>
        <w:tc>
          <w:tcPr>
            <w:tcW w:w="9738" w:type="dxa"/>
            <w:tcBorders/>
            <w:vAlign w:val="center"/>
          </w:tcPr>
          <w:p>
            <w:pPr>
              <w:pStyle w:val="TableContents"/>
              <w:bidi w:val="0"/>
              <w:spacing w:before="0" w:after="0"/>
              <w:jc w:val="left"/>
              <w:rPr/>
            </w:pPr>
            <w:hyperlink r:id="rId17">
              <w:r>
                <w:rPr>
                  <w:rStyle w:val="InternetLink"/>
                  <w:color w:val="0000FF"/>
                  <w:sz w:val="20"/>
                  <w:u w:val="single"/>
                </w:rPr>
                <w:t>Certificate of Designations of the Series</w:t>
              </w:r>
            </w:hyperlink>
            <w:hyperlink r:id="rId18">
              <w:r>
                <w:rPr>
                  <w:rStyle w:val="InternetLink"/>
                  <w:color w:val="0000FF"/>
                  <w:u w:val="single"/>
                </w:rPr>
                <w:t> </w:t>
              </w:r>
            </w:hyperlink>
            <w:hyperlink r:id="rId19">
              <w:r>
                <w:rPr>
                  <w:rStyle w:val="InternetLink"/>
                  <w:color w:val="0000FF"/>
                  <w:sz w:val="20"/>
                  <w:u w:val="single"/>
                </w:rPr>
                <w:t>B Junior Preferred Stock of Hovnanian Enterprises,</w:t>
              </w:r>
            </w:hyperlink>
            <w:hyperlink r:id="rId20">
              <w:r>
                <w:rPr>
                  <w:rStyle w:val="InternetLink"/>
                  <w:color w:val="0000FF"/>
                  <w:u w:val="single"/>
                </w:rPr>
                <w:t> </w:t>
              </w:r>
            </w:hyperlink>
            <w:hyperlink r:id="rId21">
              <w:r>
                <w:rPr>
                  <w:rStyle w:val="InternetLink"/>
                  <w:color w:val="0000FF"/>
                  <w:sz w:val="20"/>
                  <w:u w:val="single"/>
                </w:rPr>
                <w:t>Inc., dated August</w:t>
              </w:r>
            </w:hyperlink>
            <w:hyperlink r:id="rId22">
              <w:r>
                <w:rPr>
                  <w:rStyle w:val="InternetLink"/>
                  <w:color w:val="0000FF"/>
                  <w:u w:val="single"/>
                </w:rPr>
                <w:t> </w:t>
              </w:r>
            </w:hyperlink>
            <w:hyperlink r:id="rId23">
              <w:r>
                <w:rPr>
                  <w:rStyle w:val="InternetLink"/>
                  <w:color w:val="0000FF"/>
                  <w:sz w:val="20"/>
                  <w:u w:val="single"/>
                </w:rPr>
                <w:t>14, 2008 (Incorporated by reference to Exhibits to Quarterly Report on Form 10-Q of the Registrant for the quarter ended July 31, 2008).</w:t>
              </w:r>
            </w:hyperlink>
          </w:p>
        </w:tc>
      </w:tr>
      <w:tr>
        <w:trPr/>
        <w:tc>
          <w:tcPr>
            <w:tcW w:w="467" w:type="dxa"/>
            <w:tcBorders/>
            <w:vAlign w:val="center"/>
          </w:tcPr>
          <w:p>
            <w:pPr>
              <w:pStyle w:val="TableContents"/>
              <w:bidi w:val="0"/>
              <w:spacing w:before="0" w:after="0"/>
              <w:jc w:val="left"/>
              <w:rPr/>
            </w:pPr>
            <w:r>
              <w:rPr/>
              <w:t> </w:t>
            </w:r>
          </w:p>
        </w:tc>
        <w:tc>
          <w:tcPr>
            <w:tcW w:w="9738" w:type="dxa"/>
            <w:tcBorders/>
            <w:vAlign w:val="center"/>
          </w:tcPr>
          <w:p>
            <w:pPr>
              <w:pStyle w:val="TableContents"/>
              <w:bidi w:val="0"/>
              <w:spacing w:before="0" w:after="0"/>
              <w:jc w:val="left"/>
              <w:rPr>
                <w:color w:val="0000FF"/>
              </w:rPr>
            </w:pPr>
            <w:r>
              <w:rPr>
                <w:color w:val="0000FF"/>
              </w:rPr>
              <w:t> </w:t>
            </w:r>
          </w:p>
        </w:tc>
      </w:tr>
      <w:tr>
        <w:trPr/>
        <w:tc>
          <w:tcPr>
            <w:tcW w:w="467" w:type="dxa"/>
            <w:tcBorders/>
            <w:vAlign w:val="center"/>
          </w:tcPr>
          <w:p>
            <w:pPr>
              <w:pStyle w:val="TableContents"/>
              <w:bidi w:val="0"/>
              <w:spacing w:before="0" w:after="0"/>
              <w:jc w:val="left"/>
              <w:rPr>
                <w:sz w:val="20"/>
              </w:rPr>
            </w:pPr>
            <w:r>
              <w:rPr>
                <w:sz w:val="20"/>
              </w:rPr>
              <w:t>4(e)</w:t>
            </w:r>
          </w:p>
        </w:tc>
        <w:tc>
          <w:tcPr>
            <w:tcW w:w="9738" w:type="dxa"/>
            <w:tcBorders/>
            <w:vAlign w:val="center"/>
          </w:tcPr>
          <w:p>
            <w:pPr>
              <w:pStyle w:val="TableContents"/>
              <w:bidi w:val="0"/>
              <w:spacing w:before="0" w:after="0"/>
              <w:jc w:val="left"/>
              <w:rPr/>
            </w:pPr>
            <w:hyperlink r:id="rId24">
              <w:r>
                <w:rPr>
                  <w:rStyle w:val="InternetLink"/>
                  <w:color w:val="0000FF"/>
                  <w:sz w:val="20"/>
                  <w:u w:val="single"/>
                </w:rPr>
                <w:t>Rights Agreement, dated as of August</w:t>
              </w:r>
            </w:hyperlink>
            <w:hyperlink r:id="rId25">
              <w:r>
                <w:rPr>
                  <w:rStyle w:val="InternetLink"/>
                  <w:color w:val="0000FF"/>
                  <w:u w:val="single"/>
                </w:rPr>
                <w:t> </w:t>
              </w:r>
            </w:hyperlink>
            <w:hyperlink r:id="rId26">
              <w:r>
                <w:rPr>
                  <w:rStyle w:val="InternetLink"/>
                  <w:color w:val="0000FF"/>
                  <w:sz w:val="20"/>
                  <w:u w:val="single"/>
                </w:rPr>
                <w:t>14, 2008, between Hovnanian Enterprises,</w:t>
              </w:r>
            </w:hyperlink>
            <w:hyperlink r:id="rId27">
              <w:r>
                <w:rPr>
                  <w:rStyle w:val="InternetLink"/>
                  <w:color w:val="0000FF"/>
                  <w:u w:val="single"/>
                </w:rPr>
                <w:t> </w:t>
              </w:r>
            </w:hyperlink>
            <w:hyperlink r:id="rId28">
              <w:r>
                <w:rPr>
                  <w:rStyle w:val="InternetLink"/>
                  <w:color w:val="0000FF"/>
                  <w:sz w:val="20"/>
                  <w:u w:val="single"/>
                </w:rPr>
                <w:t>Inc. and National City Bank, as Rights Agent, which includes the Form of Certificate of Designation as Exhibit</w:t>
              </w:r>
            </w:hyperlink>
            <w:hyperlink r:id="rId29">
              <w:r>
                <w:rPr>
                  <w:rStyle w:val="InternetLink"/>
                  <w:color w:val="0000FF"/>
                  <w:u w:val="single"/>
                </w:rPr>
                <w:t> </w:t>
              </w:r>
            </w:hyperlink>
            <w:hyperlink r:id="rId30">
              <w:r>
                <w:rPr>
                  <w:rStyle w:val="InternetLink"/>
                  <w:color w:val="0000FF"/>
                  <w:sz w:val="20"/>
                  <w:u w:val="single"/>
                </w:rPr>
                <w:t>A, Form of Right Certificate as Exhibit</w:t>
              </w:r>
            </w:hyperlink>
            <w:hyperlink r:id="rId31">
              <w:r>
                <w:rPr>
                  <w:rStyle w:val="InternetLink"/>
                  <w:color w:val="0000FF"/>
                  <w:u w:val="single"/>
                </w:rPr>
                <w:t> </w:t>
              </w:r>
            </w:hyperlink>
            <w:hyperlink r:id="rId32">
              <w:r>
                <w:rPr>
                  <w:rStyle w:val="InternetLink"/>
                  <w:color w:val="0000FF"/>
                  <w:sz w:val="20"/>
                  <w:u w:val="single"/>
                </w:rPr>
                <w:t>B and the Summary of Rights as Exhibit</w:t>
              </w:r>
            </w:hyperlink>
            <w:hyperlink r:id="rId33">
              <w:r>
                <w:rPr>
                  <w:rStyle w:val="InternetLink"/>
                  <w:color w:val="0000FF"/>
                  <w:u w:val="single"/>
                </w:rPr>
                <w:t> </w:t>
              </w:r>
            </w:hyperlink>
            <w:hyperlink r:id="rId34">
              <w:r>
                <w:rPr>
                  <w:rStyle w:val="InternetLink"/>
                  <w:color w:val="0000FF"/>
                  <w:sz w:val="20"/>
                  <w:u w:val="single"/>
                </w:rPr>
                <w:t>C (Incorporated by reference to Exhibits to the Registration Statement on Form 8-A of the Registrant filed on August 14, 2008).</w:t>
              </w:r>
            </w:hyperlink>
          </w:p>
        </w:tc>
      </w:tr>
      <w:tr>
        <w:trPr/>
        <w:tc>
          <w:tcPr>
            <w:tcW w:w="467" w:type="dxa"/>
            <w:tcBorders/>
            <w:vAlign w:val="center"/>
          </w:tcPr>
          <w:p>
            <w:pPr>
              <w:pStyle w:val="TableContents"/>
              <w:bidi w:val="0"/>
              <w:spacing w:before="0" w:after="0"/>
              <w:jc w:val="left"/>
              <w:rPr/>
            </w:pPr>
            <w:r>
              <w:rPr/>
              <w:t> </w:t>
            </w:r>
          </w:p>
        </w:tc>
        <w:tc>
          <w:tcPr>
            <w:tcW w:w="9738" w:type="dxa"/>
            <w:tcBorders/>
            <w:vAlign w:val="center"/>
          </w:tcPr>
          <w:p>
            <w:pPr>
              <w:pStyle w:val="TableContents"/>
              <w:bidi w:val="0"/>
              <w:spacing w:before="0" w:after="0"/>
              <w:jc w:val="left"/>
              <w:rPr>
                <w:color w:val="0000FF"/>
              </w:rPr>
            </w:pPr>
            <w:r>
              <w:rPr>
                <w:color w:val="0000FF"/>
              </w:rPr>
              <w:t> </w:t>
            </w:r>
          </w:p>
        </w:tc>
      </w:tr>
      <w:tr>
        <w:trPr/>
        <w:tc>
          <w:tcPr>
            <w:tcW w:w="467" w:type="dxa"/>
            <w:tcBorders/>
            <w:vAlign w:val="center"/>
          </w:tcPr>
          <w:p>
            <w:pPr>
              <w:pStyle w:val="TableContents"/>
              <w:bidi w:val="0"/>
              <w:spacing w:before="0" w:after="0"/>
              <w:jc w:val="left"/>
              <w:rPr>
                <w:sz w:val="20"/>
              </w:rPr>
            </w:pPr>
            <w:r>
              <w:rPr>
                <w:sz w:val="20"/>
              </w:rPr>
              <w:t>4(f)</w:t>
            </w:r>
          </w:p>
        </w:tc>
        <w:tc>
          <w:tcPr>
            <w:tcW w:w="9738" w:type="dxa"/>
            <w:tcBorders/>
            <w:vAlign w:val="center"/>
          </w:tcPr>
          <w:p>
            <w:pPr>
              <w:pStyle w:val="TableContents"/>
              <w:bidi w:val="0"/>
              <w:spacing w:before="0" w:after="0"/>
              <w:jc w:val="left"/>
              <w:rPr/>
            </w:pPr>
            <w:hyperlink r:id="rId35">
              <w:r>
                <w:rPr>
                  <w:rStyle w:val="InternetLink"/>
                  <w:color w:val="0000FF"/>
                  <w:sz w:val="20"/>
                  <w:u w:val="single"/>
                </w:rPr>
                <w:t>Amendment No. 1 to Rights Agreement, dated as of January 11, 2018, between Hovnanian Enterprises, Inc. and Computershare Trust Company, N.A. (as successor to National City Bank), as Rights Agent, which includes the amended and restated Form of Rights Certificate as Exhibit 1 and the amended and restated Summary of Rights as Exhibit 2 (Incorporated by reference to Exhibits to Current Report on Form 8-K of the Registrant filed on January 11, 2018).</w:t>
              </w:r>
            </w:hyperlink>
          </w:p>
        </w:tc>
      </w:tr>
      <w:tr>
        <w:trPr/>
        <w:tc>
          <w:tcPr>
            <w:tcW w:w="467" w:type="dxa"/>
            <w:tcBorders/>
            <w:vAlign w:val="center"/>
          </w:tcPr>
          <w:p>
            <w:pPr>
              <w:pStyle w:val="TableContents"/>
              <w:bidi w:val="0"/>
              <w:spacing w:before="0" w:after="0"/>
              <w:jc w:val="left"/>
              <w:rPr/>
            </w:pPr>
            <w:r>
              <w:rPr/>
              <w:t> </w:t>
            </w:r>
          </w:p>
        </w:tc>
        <w:tc>
          <w:tcPr>
            <w:tcW w:w="9738" w:type="dxa"/>
            <w:tcBorders/>
            <w:vAlign w:val="center"/>
          </w:tcPr>
          <w:p>
            <w:pPr>
              <w:pStyle w:val="TableContents"/>
              <w:bidi w:val="0"/>
              <w:spacing w:before="0" w:after="0"/>
              <w:jc w:val="left"/>
              <w:rPr>
                <w:color w:val="0000FF"/>
              </w:rPr>
            </w:pPr>
            <w:r>
              <w:rPr>
                <w:color w:val="0000FF"/>
              </w:rPr>
              <w:t> </w:t>
            </w:r>
          </w:p>
        </w:tc>
      </w:tr>
      <w:tr>
        <w:trPr/>
        <w:tc>
          <w:tcPr>
            <w:tcW w:w="467" w:type="dxa"/>
            <w:tcBorders/>
            <w:vAlign w:val="center"/>
          </w:tcPr>
          <w:p>
            <w:pPr>
              <w:pStyle w:val="TableContents"/>
              <w:bidi w:val="0"/>
              <w:spacing w:before="0" w:after="0"/>
              <w:jc w:val="left"/>
              <w:rPr>
                <w:sz w:val="20"/>
              </w:rPr>
            </w:pPr>
            <w:r>
              <w:rPr>
                <w:sz w:val="20"/>
              </w:rPr>
              <w:t>4(g)</w:t>
            </w:r>
          </w:p>
        </w:tc>
        <w:tc>
          <w:tcPr>
            <w:tcW w:w="9738" w:type="dxa"/>
            <w:tcBorders/>
            <w:vAlign w:val="center"/>
          </w:tcPr>
          <w:p>
            <w:pPr>
              <w:pStyle w:val="TableContents"/>
              <w:bidi w:val="0"/>
              <w:spacing w:before="0" w:after="0"/>
              <w:jc w:val="left"/>
              <w:rPr/>
            </w:pPr>
            <w:hyperlink r:id="rId36">
              <w:r>
                <w:rPr>
                  <w:rStyle w:val="InternetLink"/>
                  <w:color w:val="0000FF"/>
                  <w:sz w:val="20"/>
                  <w:u w:val="single"/>
                </w:rPr>
                <w:t>Amendment No. 2 to Rights Agreement, dated as of January 18, 2021, between the Company and Computershare Trust Company, N.A. (as successor to National City Bank), as Rights Agent, which includes the amended and restated Form of Rights Certificate as Exhibit 1 and the amended and restated Summary of Rights as Exhibit 2 (Incorporated by reference to Exhibits to Current Report on Form 8-K of the Registrant filed January 19, 2021).</w:t>
              </w:r>
            </w:hyperlink>
          </w:p>
        </w:tc>
      </w:tr>
      <w:tr>
        <w:trPr/>
        <w:tc>
          <w:tcPr>
            <w:tcW w:w="467" w:type="dxa"/>
            <w:tcBorders/>
            <w:vAlign w:val="center"/>
          </w:tcPr>
          <w:p>
            <w:pPr>
              <w:pStyle w:val="TableContents"/>
              <w:bidi w:val="0"/>
              <w:spacing w:before="0" w:after="0"/>
              <w:jc w:val="left"/>
              <w:rPr/>
            </w:pPr>
            <w:r>
              <w:rPr/>
              <w:t> </w:t>
            </w:r>
          </w:p>
        </w:tc>
        <w:tc>
          <w:tcPr>
            <w:tcW w:w="9738" w:type="dxa"/>
            <w:tcBorders/>
            <w:vAlign w:val="center"/>
          </w:tcPr>
          <w:p>
            <w:pPr>
              <w:pStyle w:val="TableContents"/>
              <w:bidi w:val="0"/>
              <w:spacing w:before="0" w:after="0"/>
              <w:jc w:val="left"/>
              <w:rPr>
                <w:color w:val="0000FF"/>
              </w:rPr>
            </w:pPr>
            <w:r>
              <w:rPr>
                <w:color w:val="0000FF"/>
              </w:rPr>
              <w:t> </w:t>
            </w:r>
          </w:p>
        </w:tc>
      </w:tr>
      <w:tr>
        <w:trPr/>
        <w:tc>
          <w:tcPr>
            <w:tcW w:w="467" w:type="dxa"/>
            <w:tcBorders/>
            <w:vAlign w:val="center"/>
          </w:tcPr>
          <w:p>
            <w:pPr>
              <w:pStyle w:val="TableContents"/>
              <w:bidi w:val="0"/>
              <w:spacing w:before="0" w:after="0"/>
              <w:jc w:val="left"/>
              <w:rPr>
                <w:sz w:val="20"/>
              </w:rPr>
            </w:pPr>
            <w:r>
              <w:rPr>
                <w:sz w:val="20"/>
              </w:rPr>
              <w:t>4(h)</w:t>
            </w:r>
          </w:p>
        </w:tc>
        <w:tc>
          <w:tcPr>
            <w:tcW w:w="9738" w:type="dxa"/>
            <w:tcBorders/>
            <w:vAlign w:val="center"/>
          </w:tcPr>
          <w:p>
            <w:pPr>
              <w:pStyle w:val="TableContents"/>
              <w:bidi w:val="0"/>
              <w:spacing w:before="0" w:after="0"/>
              <w:jc w:val="left"/>
              <w:rPr/>
            </w:pPr>
            <w:hyperlink r:id="rId37">
              <w:r>
                <w:rPr>
                  <w:rStyle w:val="InternetLink"/>
                  <w:color w:val="0000FF"/>
                  <w:sz w:val="20"/>
                  <w:u w:val="single"/>
                </w:rPr>
                <w:t>Amendment No. 3 to Rights Agreement, dated as of January 11, 2024, between the Company and Computershare Trust Company, N.A. (as successor to National City Bank), as Rights Agent, which includes the amended and restated Form of Rights Certificate as Exhibit 1 and the amended and restated Summary of Rights as Exhibit 2 (Incorporated by reference to Exhibits to Current Report on Form 8-K of the Registrant filed January 11, 2024).</w:t>
              </w:r>
            </w:hyperlink>
          </w:p>
        </w:tc>
      </w:tr>
      <w:tr>
        <w:trPr/>
        <w:tc>
          <w:tcPr>
            <w:tcW w:w="467" w:type="dxa"/>
            <w:tcBorders/>
            <w:vAlign w:val="center"/>
          </w:tcPr>
          <w:p>
            <w:pPr>
              <w:pStyle w:val="TableContents"/>
              <w:bidi w:val="0"/>
              <w:spacing w:before="0" w:after="0"/>
              <w:jc w:val="left"/>
              <w:rPr/>
            </w:pPr>
            <w:r>
              <w:rPr/>
              <w:t> </w:t>
            </w:r>
          </w:p>
        </w:tc>
        <w:tc>
          <w:tcPr>
            <w:tcW w:w="9738" w:type="dxa"/>
            <w:tcBorders/>
            <w:vAlign w:val="center"/>
          </w:tcPr>
          <w:p>
            <w:pPr>
              <w:pStyle w:val="TableContents"/>
              <w:bidi w:val="0"/>
              <w:spacing w:before="0" w:after="0"/>
              <w:jc w:val="left"/>
              <w:rPr/>
            </w:pPr>
            <w:r>
              <w:rPr/>
              <w:t> </w:t>
            </w:r>
          </w:p>
        </w:tc>
      </w:tr>
      <w:tr>
        <w:trPr/>
        <w:tc>
          <w:tcPr>
            <w:tcW w:w="467" w:type="dxa"/>
            <w:tcBorders/>
            <w:vAlign w:val="center"/>
          </w:tcPr>
          <w:p>
            <w:pPr>
              <w:pStyle w:val="TableContents"/>
              <w:bidi w:val="0"/>
              <w:spacing w:before="0" w:after="0"/>
              <w:jc w:val="left"/>
              <w:rPr>
                <w:sz w:val="20"/>
              </w:rPr>
            </w:pPr>
            <w:r>
              <w:rPr>
                <w:sz w:val="20"/>
              </w:rPr>
              <w:t>10(a)*</w:t>
            </w:r>
          </w:p>
        </w:tc>
        <w:tc>
          <w:tcPr>
            <w:tcW w:w="9738" w:type="dxa"/>
            <w:tcBorders/>
            <w:vAlign w:val="center"/>
          </w:tcPr>
          <w:p>
            <w:pPr>
              <w:pStyle w:val="TableContents"/>
              <w:bidi w:val="0"/>
              <w:spacing w:before="0" w:after="0"/>
              <w:jc w:val="left"/>
              <w:rPr/>
            </w:pPr>
            <w:hyperlink w:anchor="ex10A_1.htm">
              <w:r>
                <w:rPr>
                  <w:rStyle w:val="InternetLink"/>
                  <w:color w:val="0000FF"/>
                  <w:sz w:val="20"/>
                  <w:u w:val="single"/>
                </w:rPr>
                <w:t>Form of 2026 Associate Performance Share Unit Agreement EBIT Class A.</w:t>
              </w:r>
            </w:hyperlink>
          </w:p>
        </w:tc>
      </w:tr>
      <w:tr>
        <w:trPr/>
        <w:tc>
          <w:tcPr>
            <w:tcW w:w="467" w:type="dxa"/>
            <w:tcBorders/>
            <w:vAlign w:val="center"/>
          </w:tcPr>
          <w:p>
            <w:pPr>
              <w:pStyle w:val="TableContents"/>
              <w:bidi w:val="0"/>
              <w:spacing w:before="0" w:after="0"/>
              <w:jc w:val="left"/>
              <w:rPr/>
            </w:pPr>
            <w:r>
              <w:rPr/>
              <w:t> </w:t>
            </w:r>
          </w:p>
        </w:tc>
        <w:tc>
          <w:tcPr>
            <w:tcW w:w="9738" w:type="dxa"/>
            <w:tcBorders/>
            <w:vAlign w:val="center"/>
          </w:tcPr>
          <w:p>
            <w:pPr>
              <w:pStyle w:val="TableContents"/>
              <w:bidi w:val="0"/>
              <w:spacing w:before="0" w:after="0"/>
              <w:jc w:val="left"/>
              <w:rPr/>
            </w:pPr>
            <w:r>
              <w:rPr/>
              <w:t> </w:t>
            </w:r>
          </w:p>
        </w:tc>
      </w:tr>
      <w:tr>
        <w:trPr/>
        <w:tc>
          <w:tcPr>
            <w:tcW w:w="467" w:type="dxa"/>
            <w:tcBorders/>
            <w:vAlign w:val="center"/>
          </w:tcPr>
          <w:p>
            <w:pPr>
              <w:pStyle w:val="TableContents"/>
              <w:bidi w:val="0"/>
              <w:spacing w:before="0" w:after="0"/>
              <w:jc w:val="left"/>
              <w:rPr>
                <w:sz w:val="20"/>
              </w:rPr>
            </w:pPr>
            <w:r>
              <w:rPr>
                <w:sz w:val="20"/>
              </w:rPr>
              <w:t>10(b)*</w:t>
            </w:r>
          </w:p>
        </w:tc>
        <w:tc>
          <w:tcPr>
            <w:tcW w:w="9738" w:type="dxa"/>
            <w:tcBorders/>
            <w:vAlign w:val="center"/>
          </w:tcPr>
          <w:p>
            <w:pPr>
              <w:pStyle w:val="TableContents"/>
              <w:bidi w:val="0"/>
              <w:spacing w:before="0" w:after="0"/>
              <w:jc w:val="left"/>
              <w:rPr/>
            </w:pPr>
            <w:hyperlink w:anchor="ex10B_2.htm">
              <w:r>
                <w:rPr>
                  <w:rStyle w:val="InternetLink"/>
                  <w:color w:val="0000FF"/>
                  <w:sz w:val="20"/>
                  <w:u w:val="single"/>
                </w:rPr>
                <w:t>Form of 2026 Associate Performance Share Unit Agreement EBIT Class B.</w:t>
              </w:r>
            </w:hyperlink>
          </w:p>
        </w:tc>
      </w:tr>
      <w:tr>
        <w:trPr/>
        <w:tc>
          <w:tcPr>
            <w:tcW w:w="467" w:type="dxa"/>
            <w:tcBorders/>
            <w:vAlign w:val="center"/>
          </w:tcPr>
          <w:p>
            <w:pPr>
              <w:pStyle w:val="TableContents"/>
              <w:bidi w:val="0"/>
              <w:spacing w:before="0" w:after="0"/>
              <w:jc w:val="left"/>
              <w:rPr/>
            </w:pPr>
            <w:r>
              <w:rPr/>
              <w:t> </w:t>
            </w:r>
          </w:p>
        </w:tc>
        <w:tc>
          <w:tcPr>
            <w:tcW w:w="9738" w:type="dxa"/>
            <w:tcBorders/>
            <w:vAlign w:val="center"/>
          </w:tcPr>
          <w:p>
            <w:pPr>
              <w:pStyle w:val="TableContents"/>
              <w:bidi w:val="0"/>
              <w:spacing w:before="0" w:after="0"/>
              <w:jc w:val="left"/>
              <w:rPr/>
            </w:pPr>
            <w:r>
              <w:rPr/>
              <w:t> </w:t>
            </w:r>
          </w:p>
        </w:tc>
      </w:tr>
      <w:tr>
        <w:trPr/>
        <w:tc>
          <w:tcPr>
            <w:tcW w:w="467" w:type="dxa"/>
            <w:tcBorders/>
            <w:vAlign w:val="center"/>
          </w:tcPr>
          <w:p>
            <w:pPr>
              <w:pStyle w:val="TableContents"/>
              <w:bidi w:val="0"/>
              <w:spacing w:before="0" w:after="0"/>
              <w:jc w:val="left"/>
              <w:rPr>
                <w:sz w:val="20"/>
              </w:rPr>
            </w:pPr>
            <w:r>
              <w:rPr>
                <w:sz w:val="20"/>
              </w:rPr>
              <w:t>10(c)*</w:t>
            </w:r>
          </w:p>
        </w:tc>
        <w:tc>
          <w:tcPr>
            <w:tcW w:w="9738" w:type="dxa"/>
            <w:tcBorders/>
            <w:vAlign w:val="center"/>
          </w:tcPr>
          <w:p>
            <w:pPr>
              <w:pStyle w:val="TableContents"/>
              <w:bidi w:val="0"/>
              <w:spacing w:before="0" w:after="0"/>
              <w:jc w:val="left"/>
              <w:rPr/>
            </w:pPr>
            <w:hyperlink w:anchor="ex10C_3.htm">
              <w:r>
                <w:rPr>
                  <w:rStyle w:val="InternetLink"/>
                  <w:color w:val="0000FF"/>
                  <w:sz w:val="20"/>
                  <w:u w:val="single"/>
                </w:rPr>
                <w:t>Form of 2026 Associate Performance Share Unit Agreement EBIT ROI Class A.</w:t>
              </w:r>
            </w:hyperlink>
          </w:p>
        </w:tc>
      </w:tr>
      <w:tr>
        <w:trPr/>
        <w:tc>
          <w:tcPr>
            <w:tcW w:w="467" w:type="dxa"/>
            <w:tcBorders/>
            <w:vAlign w:val="center"/>
          </w:tcPr>
          <w:p>
            <w:pPr>
              <w:pStyle w:val="TableContents"/>
              <w:bidi w:val="0"/>
              <w:spacing w:before="0" w:after="0"/>
              <w:jc w:val="left"/>
              <w:rPr/>
            </w:pPr>
            <w:r>
              <w:rPr/>
              <w:t> </w:t>
            </w:r>
          </w:p>
        </w:tc>
        <w:tc>
          <w:tcPr>
            <w:tcW w:w="9738" w:type="dxa"/>
            <w:tcBorders/>
            <w:vAlign w:val="center"/>
          </w:tcPr>
          <w:p>
            <w:pPr>
              <w:pStyle w:val="TableContents"/>
              <w:bidi w:val="0"/>
              <w:spacing w:before="0" w:after="0"/>
              <w:jc w:val="left"/>
              <w:rPr/>
            </w:pPr>
            <w:r>
              <w:rPr/>
              <w:t> </w:t>
            </w:r>
          </w:p>
        </w:tc>
      </w:tr>
      <w:tr>
        <w:trPr/>
        <w:tc>
          <w:tcPr>
            <w:tcW w:w="467" w:type="dxa"/>
            <w:tcBorders/>
            <w:vAlign w:val="center"/>
          </w:tcPr>
          <w:p>
            <w:pPr>
              <w:pStyle w:val="TableContents"/>
              <w:bidi w:val="0"/>
              <w:spacing w:before="0" w:after="0"/>
              <w:jc w:val="left"/>
              <w:rPr>
                <w:sz w:val="20"/>
              </w:rPr>
            </w:pPr>
            <w:r>
              <w:rPr>
                <w:sz w:val="20"/>
              </w:rPr>
              <w:t>10(d)*</w:t>
            </w:r>
          </w:p>
        </w:tc>
        <w:tc>
          <w:tcPr>
            <w:tcW w:w="9738" w:type="dxa"/>
            <w:tcBorders/>
            <w:vAlign w:val="center"/>
          </w:tcPr>
          <w:p>
            <w:pPr>
              <w:pStyle w:val="TableContents"/>
              <w:bidi w:val="0"/>
              <w:spacing w:before="0" w:after="0"/>
              <w:jc w:val="left"/>
              <w:rPr/>
            </w:pPr>
            <w:hyperlink w:anchor="ex10D_4.htm">
              <w:r>
                <w:rPr>
                  <w:rStyle w:val="InternetLink"/>
                  <w:color w:val="0000FF"/>
                  <w:sz w:val="20"/>
                  <w:u w:val="single"/>
                </w:rPr>
                <w:t>Form of 2026 Associate Performance Share Unit Agreement EBIT ROI Class B.</w:t>
              </w:r>
            </w:hyperlink>
          </w:p>
        </w:tc>
      </w:tr>
      <w:tr>
        <w:trPr/>
        <w:tc>
          <w:tcPr>
            <w:tcW w:w="467" w:type="dxa"/>
            <w:tcBorders/>
            <w:vAlign w:val="center"/>
          </w:tcPr>
          <w:p>
            <w:pPr>
              <w:pStyle w:val="TableContents"/>
              <w:bidi w:val="0"/>
              <w:spacing w:before="0" w:after="0"/>
              <w:jc w:val="left"/>
              <w:rPr/>
            </w:pPr>
            <w:r>
              <w:rPr/>
              <w:t> </w:t>
            </w:r>
          </w:p>
        </w:tc>
        <w:tc>
          <w:tcPr>
            <w:tcW w:w="9738" w:type="dxa"/>
            <w:tcBorders/>
            <w:vAlign w:val="center"/>
          </w:tcPr>
          <w:p>
            <w:pPr>
              <w:pStyle w:val="TableContents"/>
              <w:bidi w:val="0"/>
              <w:spacing w:before="0" w:after="0"/>
              <w:jc w:val="left"/>
              <w:rPr/>
            </w:pPr>
            <w:r>
              <w:rPr/>
              <w:t> </w:t>
            </w:r>
          </w:p>
        </w:tc>
      </w:tr>
      <w:tr>
        <w:trPr/>
        <w:tc>
          <w:tcPr>
            <w:tcW w:w="467" w:type="dxa"/>
            <w:tcBorders/>
            <w:vAlign w:val="center"/>
          </w:tcPr>
          <w:p>
            <w:pPr>
              <w:pStyle w:val="TableContents"/>
              <w:bidi w:val="0"/>
              <w:spacing w:before="0" w:after="0"/>
              <w:jc w:val="left"/>
              <w:rPr>
                <w:sz w:val="20"/>
              </w:rPr>
            </w:pPr>
            <w:r>
              <w:rPr>
                <w:sz w:val="20"/>
              </w:rPr>
              <w:t>10(e)*</w:t>
            </w:r>
          </w:p>
        </w:tc>
        <w:tc>
          <w:tcPr>
            <w:tcW w:w="9738" w:type="dxa"/>
            <w:tcBorders/>
            <w:vAlign w:val="center"/>
          </w:tcPr>
          <w:p>
            <w:pPr>
              <w:pStyle w:val="TableContents"/>
              <w:bidi w:val="0"/>
              <w:spacing w:before="0" w:after="0"/>
              <w:jc w:val="left"/>
              <w:rPr/>
            </w:pPr>
            <w:hyperlink w:anchor="ex10E_5.htm">
              <w:r>
                <w:rPr>
                  <w:rStyle w:val="InternetLink"/>
                  <w:color w:val="0000FF"/>
                  <w:sz w:val="20"/>
                  <w:u w:val="single"/>
                </w:rPr>
                <w:t>Form of 2026 Associate Phantom Performance Share Unit Agreement EBIT.</w:t>
              </w:r>
            </w:hyperlink>
          </w:p>
        </w:tc>
      </w:tr>
      <w:tr>
        <w:trPr/>
        <w:tc>
          <w:tcPr>
            <w:tcW w:w="467" w:type="dxa"/>
            <w:tcBorders/>
            <w:vAlign w:val="center"/>
          </w:tcPr>
          <w:p>
            <w:pPr>
              <w:pStyle w:val="TableContents"/>
              <w:bidi w:val="0"/>
              <w:spacing w:before="0" w:after="0"/>
              <w:jc w:val="left"/>
              <w:rPr/>
            </w:pPr>
            <w:r>
              <w:rPr/>
              <w:t> </w:t>
            </w:r>
          </w:p>
        </w:tc>
        <w:tc>
          <w:tcPr>
            <w:tcW w:w="9738" w:type="dxa"/>
            <w:tcBorders/>
            <w:vAlign w:val="center"/>
          </w:tcPr>
          <w:p>
            <w:pPr>
              <w:pStyle w:val="TableContents"/>
              <w:bidi w:val="0"/>
              <w:spacing w:before="0" w:after="0"/>
              <w:jc w:val="left"/>
              <w:rPr/>
            </w:pPr>
            <w:r>
              <w:rPr/>
              <w:t> </w:t>
            </w:r>
          </w:p>
        </w:tc>
      </w:tr>
      <w:tr>
        <w:trPr/>
        <w:tc>
          <w:tcPr>
            <w:tcW w:w="467" w:type="dxa"/>
            <w:tcBorders/>
            <w:vAlign w:val="center"/>
          </w:tcPr>
          <w:p>
            <w:pPr>
              <w:pStyle w:val="TableContents"/>
              <w:bidi w:val="0"/>
              <w:spacing w:before="0" w:after="0"/>
              <w:jc w:val="left"/>
              <w:rPr>
                <w:sz w:val="20"/>
              </w:rPr>
            </w:pPr>
            <w:r>
              <w:rPr>
                <w:sz w:val="20"/>
              </w:rPr>
              <w:t>10(f)*</w:t>
            </w:r>
          </w:p>
        </w:tc>
        <w:tc>
          <w:tcPr>
            <w:tcW w:w="9738" w:type="dxa"/>
            <w:tcBorders/>
            <w:vAlign w:val="center"/>
          </w:tcPr>
          <w:p>
            <w:pPr>
              <w:pStyle w:val="TableContents"/>
              <w:bidi w:val="0"/>
              <w:spacing w:before="0" w:after="0"/>
              <w:jc w:val="left"/>
              <w:rPr/>
            </w:pPr>
            <w:hyperlink w:anchor="ex10F_6.htm">
              <w:r>
                <w:rPr>
                  <w:rStyle w:val="InternetLink"/>
                  <w:color w:val="0000FF"/>
                  <w:sz w:val="20"/>
                  <w:u w:val="single"/>
                </w:rPr>
                <w:t>Form of 2026 Associate Phantom Performance Share Unit Agreement EBIT ROI.</w:t>
              </w:r>
            </w:hyperlink>
          </w:p>
        </w:tc>
      </w:tr>
      <w:tr>
        <w:trPr/>
        <w:tc>
          <w:tcPr>
            <w:tcW w:w="467" w:type="dxa"/>
            <w:tcBorders/>
            <w:vAlign w:val="center"/>
          </w:tcPr>
          <w:p>
            <w:pPr>
              <w:pStyle w:val="TableContents"/>
              <w:bidi w:val="0"/>
              <w:spacing w:before="0" w:after="0"/>
              <w:jc w:val="left"/>
              <w:rPr/>
            </w:pPr>
            <w:r>
              <w:rPr/>
              <w:t> </w:t>
            </w:r>
          </w:p>
        </w:tc>
        <w:tc>
          <w:tcPr>
            <w:tcW w:w="9738" w:type="dxa"/>
            <w:tcBorders/>
            <w:vAlign w:val="center"/>
          </w:tcPr>
          <w:p>
            <w:pPr>
              <w:pStyle w:val="TableContents"/>
              <w:bidi w:val="0"/>
              <w:spacing w:before="0" w:after="0"/>
              <w:jc w:val="left"/>
              <w:rPr/>
            </w:pPr>
            <w:r>
              <w:rPr/>
              <w:t> </w:t>
            </w:r>
          </w:p>
        </w:tc>
      </w:tr>
      <w:tr>
        <w:trPr/>
        <w:tc>
          <w:tcPr>
            <w:tcW w:w="467" w:type="dxa"/>
            <w:tcBorders/>
            <w:vAlign w:val="center"/>
          </w:tcPr>
          <w:p>
            <w:pPr>
              <w:pStyle w:val="TableContents"/>
              <w:bidi w:val="0"/>
              <w:spacing w:before="0" w:after="0"/>
              <w:jc w:val="left"/>
              <w:rPr>
                <w:sz w:val="20"/>
              </w:rPr>
            </w:pPr>
            <w:r>
              <w:rPr>
                <w:sz w:val="20"/>
              </w:rPr>
              <w:t>10(g)*</w:t>
            </w:r>
          </w:p>
        </w:tc>
        <w:tc>
          <w:tcPr>
            <w:tcW w:w="9738" w:type="dxa"/>
            <w:tcBorders/>
            <w:vAlign w:val="center"/>
          </w:tcPr>
          <w:p>
            <w:pPr>
              <w:pStyle w:val="TableContents"/>
              <w:bidi w:val="0"/>
              <w:spacing w:before="0" w:after="0"/>
              <w:jc w:val="left"/>
              <w:rPr/>
            </w:pPr>
            <w:hyperlink w:anchor="ex10G_7.htm">
              <w:r>
                <w:rPr>
                  <w:rStyle w:val="InternetLink"/>
                  <w:color w:val="0000FF"/>
                  <w:sz w:val="20"/>
                  <w:u w:val="single"/>
                </w:rPr>
                <w:t>Form of 2026 Associate Restricted Share Unit Agreement Class A.</w:t>
              </w:r>
            </w:hyperlink>
          </w:p>
        </w:tc>
      </w:tr>
      <w:tr>
        <w:trPr/>
        <w:tc>
          <w:tcPr>
            <w:tcW w:w="467" w:type="dxa"/>
            <w:tcBorders/>
            <w:vAlign w:val="center"/>
          </w:tcPr>
          <w:p>
            <w:pPr>
              <w:pStyle w:val="TableContents"/>
              <w:bidi w:val="0"/>
              <w:spacing w:before="0" w:after="0"/>
              <w:jc w:val="left"/>
              <w:rPr/>
            </w:pPr>
            <w:r>
              <w:rPr/>
              <w:t> </w:t>
            </w:r>
          </w:p>
        </w:tc>
        <w:tc>
          <w:tcPr>
            <w:tcW w:w="9738" w:type="dxa"/>
            <w:tcBorders/>
            <w:vAlign w:val="center"/>
          </w:tcPr>
          <w:p>
            <w:pPr>
              <w:pStyle w:val="TableContents"/>
              <w:bidi w:val="0"/>
              <w:spacing w:before="0" w:after="0"/>
              <w:jc w:val="left"/>
              <w:rPr/>
            </w:pPr>
            <w:r>
              <w:rPr/>
              <w:t> </w:t>
            </w:r>
          </w:p>
        </w:tc>
      </w:tr>
      <w:tr>
        <w:trPr/>
        <w:tc>
          <w:tcPr>
            <w:tcW w:w="467" w:type="dxa"/>
            <w:tcBorders/>
            <w:vAlign w:val="center"/>
          </w:tcPr>
          <w:p>
            <w:pPr>
              <w:pStyle w:val="TableContents"/>
              <w:bidi w:val="0"/>
              <w:spacing w:before="0" w:after="0"/>
              <w:jc w:val="left"/>
              <w:rPr>
                <w:sz w:val="20"/>
              </w:rPr>
            </w:pPr>
            <w:r>
              <w:rPr>
                <w:sz w:val="20"/>
              </w:rPr>
              <w:t>10(h)*</w:t>
            </w:r>
          </w:p>
        </w:tc>
        <w:tc>
          <w:tcPr>
            <w:tcW w:w="9738" w:type="dxa"/>
            <w:tcBorders/>
            <w:vAlign w:val="center"/>
          </w:tcPr>
          <w:p>
            <w:pPr>
              <w:pStyle w:val="TableContents"/>
              <w:bidi w:val="0"/>
              <w:spacing w:before="0" w:after="0"/>
              <w:jc w:val="left"/>
              <w:rPr/>
            </w:pPr>
            <w:hyperlink w:anchor="ex10H_8.htm">
              <w:r>
                <w:rPr>
                  <w:rStyle w:val="InternetLink"/>
                  <w:color w:val="0000FF"/>
                  <w:sz w:val="20"/>
                  <w:u w:val="single"/>
                </w:rPr>
                <w:t>Form of 2026 Director Restricted Share Unit Agreement Class A.</w:t>
              </w:r>
            </w:hyperlink>
          </w:p>
        </w:tc>
      </w:tr>
      <w:tr>
        <w:trPr/>
        <w:tc>
          <w:tcPr>
            <w:tcW w:w="467" w:type="dxa"/>
            <w:tcBorders/>
            <w:vAlign w:val="center"/>
          </w:tcPr>
          <w:p>
            <w:pPr>
              <w:pStyle w:val="TableContents"/>
              <w:bidi w:val="0"/>
              <w:spacing w:before="0" w:after="0"/>
              <w:jc w:val="left"/>
              <w:rPr/>
            </w:pPr>
            <w:r>
              <w:rPr/>
              <w:t> </w:t>
            </w:r>
          </w:p>
        </w:tc>
        <w:tc>
          <w:tcPr>
            <w:tcW w:w="9738" w:type="dxa"/>
            <w:tcBorders/>
            <w:vAlign w:val="center"/>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48</w:t>
      </w:r>
    </w:p>
    <w:p>
      <w:pPr>
        <w:pStyle w:val="HorizontalLine"/>
        <w:pBdr>
          <w:bottom w:val="double" w:sz="2" w:space="0" w:color="808080"/>
        </w:pBdr>
        <w:bidi w:val="0"/>
        <w:spacing w:before="0" w:after="283"/>
        <w:jc w:val="left"/>
        <w:rPr/>
      </w:pPr>
      <w:r>
        <w:rPr/>
      </w:r>
      <w:r>
        <w:br w:type="page"/>
      </w:r>
    </w:p>
    <w:p>
      <w:pPr>
        <w:pStyle w:val="TextBody"/>
        <w:bidi w:val="0"/>
        <w:spacing w:lineRule="atLeast" w:line="240" w:before="0" w:after="0"/>
        <w:jc w:val="left"/>
        <w:rPr/>
      </w:pPr>
      <w:hyperlink w:anchor="TOC_TableofContent">
        <w:r>
          <w:rPr>
            <w:rStyle w:val="InternetLink"/>
            <w:strike w:val="false"/>
            <w:dstrike w:val="false"/>
            <w:color w:val="0000FF"/>
            <w:sz w:val="20"/>
            <w:u w:val="single"/>
            <w:effect w:val="none"/>
          </w:rPr>
          <w:t>Table of Contents</w:t>
        </w:r>
      </w:hyperlink>
    </w:p>
    <w:p>
      <w:pPr>
        <w:pStyle w:val="TextBody"/>
        <w:bidi w:val="0"/>
        <w:spacing w:lineRule="atLeast" w:line="24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8"/>
        <w:gridCol w:w="9837"/>
      </w:tblGrid>
      <w:tr>
        <w:trPr/>
        <w:tc>
          <w:tcPr>
            <w:tcW w:w="368" w:type="dxa"/>
            <w:tcBorders/>
            <w:vAlign w:val="center"/>
          </w:tcPr>
          <w:p>
            <w:pPr>
              <w:pStyle w:val="TableContents"/>
              <w:bidi w:val="0"/>
              <w:spacing w:before="0" w:after="0"/>
              <w:jc w:val="left"/>
              <w:rPr>
                <w:sz w:val="20"/>
              </w:rPr>
            </w:pPr>
            <w:r>
              <w:rPr>
                <w:sz w:val="20"/>
              </w:rPr>
              <w:t>31(a)</w:t>
            </w:r>
          </w:p>
        </w:tc>
        <w:tc>
          <w:tcPr>
            <w:tcW w:w="9837" w:type="dxa"/>
            <w:tcBorders/>
            <w:vAlign w:val="center"/>
          </w:tcPr>
          <w:p>
            <w:pPr>
              <w:pStyle w:val="TableContents"/>
              <w:bidi w:val="0"/>
              <w:spacing w:before="0" w:after="0"/>
              <w:jc w:val="left"/>
              <w:rPr/>
            </w:pPr>
            <w:hyperlink w:anchor="ex31A_9.htm">
              <w:r>
                <w:rPr>
                  <w:rStyle w:val="InternetLink"/>
                  <w:color w:val="0000FF"/>
                  <w:sz w:val="20"/>
                  <w:u w:val="single"/>
                </w:rPr>
                <w:t>Rule</w:t>
              </w:r>
            </w:hyperlink>
            <w:hyperlink w:anchor="ex31A_9.htm">
              <w:r>
                <w:rPr>
                  <w:rStyle w:val="InternetLink"/>
                  <w:color w:val="0000FF"/>
                  <w:u w:val="single"/>
                </w:rPr>
                <w:t> </w:t>
              </w:r>
            </w:hyperlink>
            <w:hyperlink w:anchor="ex31A_9.htm">
              <w:r>
                <w:rPr>
                  <w:rStyle w:val="InternetLink"/>
                  <w:color w:val="0000FF"/>
                  <w:sz w:val="20"/>
                  <w:u w:val="single"/>
                </w:rPr>
                <w:t>13a-14(a)/15d-14(a) Certification of Chief Executive Officer.</w:t>
              </w:r>
            </w:hyperlink>
            <w:r>
              <w:rPr/>
              <w:t xml:space="preserve"> </w:t>
            </w:r>
          </w:p>
        </w:tc>
      </w:tr>
      <w:tr>
        <w:trPr/>
        <w:tc>
          <w:tcPr>
            <w:tcW w:w="368" w:type="dxa"/>
            <w:tcBorders/>
            <w:vAlign w:val="center"/>
          </w:tcPr>
          <w:p>
            <w:pPr>
              <w:pStyle w:val="TableContents"/>
              <w:bidi w:val="0"/>
              <w:spacing w:before="0" w:after="0"/>
              <w:jc w:val="left"/>
              <w:rPr/>
            </w:pPr>
            <w:r>
              <w:rPr/>
              <w:t> </w:t>
            </w:r>
          </w:p>
        </w:tc>
        <w:tc>
          <w:tcPr>
            <w:tcW w:w="9837" w:type="dxa"/>
            <w:tcBorders/>
            <w:vAlign w:val="center"/>
          </w:tcPr>
          <w:p>
            <w:pPr>
              <w:pStyle w:val="TableContents"/>
              <w:bidi w:val="0"/>
              <w:spacing w:before="0" w:after="0"/>
              <w:jc w:val="left"/>
              <w:rPr/>
            </w:pPr>
            <w:r>
              <w:rPr/>
              <w:t> </w:t>
            </w:r>
          </w:p>
        </w:tc>
      </w:tr>
      <w:tr>
        <w:trPr/>
        <w:tc>
          <w:tcPr>
            <w:tcW w:w="368" w:type="dxa"/>
            <w:tcBorders/>
            <w:vAlign w:val="center"/>
          </w:tcPr>
          <w:p>
            <w:pPr>
              <w:pStyle w:val="TableContents"/>
              <w:bidi w:val="0"/>
              <w:spacing w:before="0" w:after="0"/>
              <w:jc w:val="left"/>
              <w:rPr>
                <w:sz w:val="20"/>
              </w:rPr>
            </w:pPr>
            <w:r>
              <w:rPr>
                <w:sz w:val="20"/>
              </w:rPr>
              <w:t>31(b)</w:t>
            </w:r>
          </w:p>
        </w:tc>
        <w:tc>
          <w:tcPr>
            <w:tcW w:w="9837" w:type="dxa"/>
            <w:tcBorders/>
            <w:vAlign w:val="center"/>
          </w:tcPr>
          <w:p>
            <w:pPr>
              <w:pStyle w:val="TableContents"/>
              <w:bidi w:val="0"/>
              <w:spacing w:before="0" w:after="0"/>
              <w:jc w:val="left"/>
              <w:rPr/>
            </w:pPr>
            <w:hyperlink w:anchor="ex31B_10.htm">
              <w:r>
                <w:rPr>
                  <w:rStyle w:val="InternetLink"/>
                  <w:color w:val="0000FF"/>
                  <w:sz w:val="20"/>
                  <w:u w:val="single"/>
                </w:rPr>
                <w:t>Rule</w:t>
              </w:r>
            </w:hyperlink>
            <w:hyperlink w:anchor="ex31B_10.htm">
              <w:r>
                <w:rPr>
                  <w:rStyle w:val="InternetLink"/>
                  <w:color w:val="0000FF"/>
                  <w:u w:val="single"/>
                </w:rPr>
                <w:t> </w:t>
              </w:r>
            </w:hyperlink>
            <w:hyperlink w:anchor="ex31B_10.htm">
              <w:r>
                <w:rPr>
                  <w:rStyle w:val="InternetLink"/>
                  <w:color w:val="0000FF"/>
                  <w:sz w:val="20"/>
                  <w:u w:val="single"/>
                </w:rPr>
                <w:t>13a-14(a)/15d-14(a) Certification of Chief Financial Officer.</w:t>
              </w:r>
            </w:hyperlink>
          </w:p>
        </w:tc>
      </w:tr>
      <w:tr>
        <w:trPr/>
        <w:tc>
          <w:tcPr>
            <w:tcW w:w="368" w:type="dxa"/>
            <w:tcBorders/>
            <w:vAlign w:val="center"/>
          </w:tcPr>
          <w:p>
            <w:pPr>
              <w:pStyle w:val="TableContents"/>
              <w:bidi w:val="0"/>
              <w:spacing w:before="0" w:after="0"/>
              <w:jc w:val="left"/>
              <w:rPr/>
            </w:pPr>
            <w:r>
              <w:rPr/>
              <w:t> </w:t>
            </w:r>
          </w:p>
        </w:tc>
        <w:tc>
          <w:tcPr>
            <w:tcW w:w="9837" w:type="dxa"/>
            <w:tcBorders/>
            <w:vAlign w:val="center"/>
          </w:tcPr>
          <w:p>
            <w:pPr>
              <w:pStyle w:val="TableContents"/>
              <w:bidi w:val="0"/>
              <w:spacing w:before="0" w:after="0"/>
              <w:jc w:val="left"/>
              <w:rPr/>
            </w:pPr>
            <w:r>
              <w:rPr/>
              <w:t> </w:t>
            </w:r>
          </w:p>
        </w:tc>
      </w:tr>
      <w:tr>
        <w:trPr/>
        <w:tc>
          <w:tcPr>
            <w:tcW w:w="368" w:type="dxa"/>
            <w:tcBorders/>
            <w:vAlign w:val="center"/>
          </w:tcPr>
          <w:p>
            <w:pPr>
              <w:pStyle w:val="TableContents"/>
              <w:bidi w:val="0"/>
              <w:spacing w:before="0" w:after="0"/>
              <w:jc w:val="left"/>
              <w:rPr>
                <w:sz w:val="20"/>
              </w:rPr>
            </w:pPr>
            <w:r>
              <w:rPr>
                <w:sz w:val="20"/>
              </w:rPr>
              <w:t>32(a)</w:t>
            </w:r>
          </w:p>
        </w:tc>
        <w:tc>
          <w:tcPr>
            <w:tcW w:w="9837" w:type="dxa"/>
            <w:tcBorders/>
            <w:vAlign w:val="center"/>
          </w:tcPr>
          <w:p>
            <w:pPr>
              <w:pStyle w:val="TableContents"/>
              <w:bidi w:val="0"/>
              <w:spacing w:before="0" w:after="0"/>
              <w:jc w:val="left"/>
              <w:rPr/>
            </w:pPr>
            <w:hyperlink w:anchor="ex32A_11.htm">
              <w:r>
                <w:rPr>
                  <w:rStyle w:val="InternetLink"/>
                  <w:color w:val="0000FF"/>
                  <w:sz w:val="20"/>
                  <w:u w:val="single"/>
                </w:rPr>
                <w:t>Section</w:t>
              </w:r>
            </w:hyperlink>
            <w:hyperlink w:anchor="ex32A_11.htm">
              <w:r>
                <w:rPr>
                  <w:rStyle w:val="InternetLink"/>
                  <w:color w:val="0000FF"/>
                  <w:u w:val="single"/>
                </w:rPr>
                <w:t> </w:t>
              </w:r>
            </w:hyperlink>
            <w:hyperlink w:anchor="ex32A_11.htm">
              <w:r>
                <w:rPr>
                  <w:rStyle w:val="InternetLink"/>
                  <w:color w:val="0000FF"/>
                  <w:sz w:val="20"/>
                  <w:u w:val="single"/>
                </w:rPr>
                <w:t>1350 Certification of Chief Executive Officer.</w:t>
              </w:r>
            </w:hyperlink>
          </w:p>
        </w:tc>
      </w:tr>
      <w:tr>
        <w:trPr/>
        <w:tc>
          <w:tcPr>
            <w:tcW w:w="368" w:type="dxa"/>
            <w:tcBorders/>
            <w:vAlign w:val="center"/>
          </w:tcPr>
          <w:p>
            <w:pPr>
              <w:pStyle w:val="TableContents"/>
              <w:bidi w:val="0"/>
              <w:spacing w:before="0" w:after="0"/>
              <w:jc w:val="left"/>
              <w:rPr/>
            </w:pPr>
            <w:r>
              <w:rPr/>
              <w:t> </w:t>
            </w:r>
          </w:p>
        </w:tc>
        <w:tc>
          <w:tcPr>
            <w:tcW w:w="9837" w:type="dxa"/>
            <w:tcBorders/>
            <w:vAlign w:val="center"/>
          </w:tcPr>
          <w:p>
            <w:pPr>
              <w:pStyle w:val="TableContents"/>
              <w:bidi w:val="0"/>
              <w:spacing w:before="0" w:after="0"/>
              <w:jc w:val="left"/>
              <w:rPr/>
            </w:pPr>
            <w:r>
              <w:rPr/>
              <w:t> </w:t>
            </w:r>
          </w:p>
        </w:tc>
      </w:tr>
      <w:tr>
        <w:trPr/>
        <w:tc>
          <w:tcPr>
            <w:tcW w:w="368" w:type="dxa"/>
            <w:tcBorders/>
            <w:vAlign w:val="center"/>
          </w:tcPr>
          <w:p>
            <w:pPr>
              <w:pStyle w:val="TableContents"/>
              <w:bidi w:val="0"/>
              <w:spacing w:before="0" w:after="0"/>
              <w:jc w:val="left"/>
              <w:rPr>
                <w:sz w:val="20"/>
              </w:rPr>
            </w:pPr>
            <w:r>
              <w:rPr>
                <w:sz w:val="20"/>
              </w:rPr>
              <w:t>32(b)</w:t>
            </w:r>
          </w:p>
        </w:tc>
        <w:tc>
          <w:tcPr>
            <w:tcW w:w="9837" w:type="dxa"/>
            <w:tcBorders/>
            <w:vAlign w:val="center"/>
          </w:tcPr>
          <w:p>
            <w:pPr>
              <w:pStyle w:val="TableContents"/>
              <w:bidi w:val="0"/>
              <w:spacing w:before="0" w:after="0"/>
              <w:jc w:val="left"/>
              <w:rPr/>
            </w:pPr>
            <w:hyperlink w:anchor="ex32B_12.htm">
              <w:r>
                <w:rPr>
                  <w:rStyle w:val="InternetLink"/>
                  <w:color w:val="0000FF"/>
                  <w:sz w:val="20"/>
                  <w:u w:val="single"/>
                </w:rPr>
                <w:t>Section</w:t>
              </w:r>
            </w:hyperlink>
            <w:hyperlink w:anchor="ex32B_12.htm">
              <w:r>
                <w:rPr>
                  <w:rStyle w:val="InternetLink"/>
                  <w:color w:val="0000FF"/>
                  <w:u w:val="single"/>
                </w:rPr>
                <w:t> </w:t>
              </w:r>
            </w:hyperlink>
            <w:hyperlink w:anchor="ex32B_12.htm">
              <w:r>
                <w:rPr>
                  <w:rStyle w:val="InternetLink"/>
                  <w:color w:val="0000FF"/>
                  <w:sz w:val="20"/>
                  <w:u w:val="single"/>
                </w:rPr>
                <w:t>1350 Certification of Chief Financial Officer.</w:t>
              </w:r>
            </w:hyperlink>
            <w:r>
              <w:rPr/>
              <w:t xml:space="preserve"> </w:t>
            </w:r>
          </w:p>
        </w:tc>
      </w:tr>
      <w:tr>
        <w:trPr/>
        <w:tc>
          <w:tcPr>
            <w:tcW w:w="368" w:type="dxa"/>
            <w:tcBorders/>
            <w:vAlign w:val="center"/>
          </w:tcPr>
          <w:p>
            <w:pPr>
              <w:pStyle w:val="TableContents"/>
              <w:bidi w:val="0"/>
              <w:spacing w:before="0" w:after="0"/>
              <w:jc w:val="left"/>
              <w:rPr/>
            </w:pPr>
            <w:r>
              <w:rPr/>
              <w:t> </w:t>
            </w:r>
          </w:p>
        </w:tc>
        <w:tc>
          <w:tcPr>
            <w:tcW w:w="9837" w:type="dxa"/>
            <w:tcBorders/>
            <w:vAlign w:val="center"/>
          </w:tcPr>
          <w:p>
            <w:pPr>
              <w:pStyle w:val="TableContents"/>
              <w:bidi w:val="0"/>
              <w:spacing w:before="0" w:after="0"/>
              <w:jc w:val="left"/>
              <w:rPr/>
            </w:pPr>
            <w:r>
              <w:rPr/>
              <w:t> </w:t>
            </w:r>
          </w:p>
        </w:tc>
      </w:tr>
      <w:tr>
        <w:trPr/>
        <w:tc>
          <w:tcPr>
            <w:tcW w:w="368" w:type="dxa"/>
            <w:tcBorders/>
            <w:vAlign w:val="center"/>
          </w:tcPr>
          <w:p>
            <w:pPr>
              <w:pStyle w:val="TableContents"/>
              <w:bidi w:val="0"/>
              <w:spacing w:before="0" w:after="0"/>
              <w:jc w:val="left"/>
              <w:rPr>
                <w:sz w:val="20"/>
              </w:rPr>
            </w:pPr>
            <w:r>
              <w:rPr>
                <w:sz w:val="20"/>
              </w:rPr>
              <w:t>101</w:t>
            </w:r>
          </w:p>
        </w:tc>
        <w:tc>
          <w:tcPr>
            <w:tcW w:w="9837" w:type="dxa"/>
            <w:tcBorders/>
            <w:vAlign w:val="center"/>
          </w:tcPr>
          <w:p>
            <w:pPr>
              <w:pStyle w:val="TableContents"/>
              <w:bidi w:val="0"/>
              <w:spacing w:before="0" w:after="0"/>
              <w:jc w:val="left"/>
              <w:rPr>
                <w:sz w:val="20"/>
              </w:rPr>
            </w:pPr>
            <w:r>
              <w:rPr>
                <w:sz w:val="20"/>
              </w:rPr>
              <w:t xml:space="preserve">The following financial information from our Quarterly Report on Form 10-Q for the quarter ended </w:t>
            </w:r>
            <w:r>
              <w:rPr>
                <w:rFonts w:ascii="Times New Roman" w:hAnsi="Times New Roman"/>
                <w:sz w:val="20"/>
              </w:rPr>
              <w:t>July 31, 2026</w:t>
            </w:r>
            <w:r>
              <w:rPr>
                <w:sz w:val="20"/>
              </w:rPr>
              <w:t xml:space="preserve">, formatted in inline Extensible Business Reporting Language (Inline XBRL): (i) the Condensed Consolidated Balance Sheets at </w:t>
            </w:r>
            <w:r>
              <w:rPr>
                <w:rFonts w:ascii="Times New Roman" w:hAnsi="Times New Roman"/>
                <w:sz w:val="20"/>
              </w:rPr>
              <w:t>July 31, 2026</w:t>
            </w:r>
            <w:r>
              <w:rPr>
                <w:sz w:val="20"/>
              </w:rPr>
              <w:t xml:space="preserve"> and </w:t>
            </w:r>
            <w:r>
              <w:rPr>
                <w:rFonts w:ascii="Times New Roman" w:hAnsi="Times New Roman"/>
                <w:sz w:val="20"/>
              </w:rPr>
              <w:t>October 31, 2025</w:t>
            </w:r>
            <w:r>
              <w:rPr>
                <w:sz w:val="20"/>
              </w:rPr>
              <w:t xml:space="preserve">, (ii) the Condensed Consolidated Statements of Operations for the </w:t>
            </w:r>
            <w:r>
              <w:rPr>
                <w:rFonts w:ascii="Times New Roman" w:hAnsi="Times New Roman"/>
                <w:sz w:val="20"/>
              </w:rPr>
              <w:t>three and nine</w:t>
            </w:r>
            <w:r>
              <w:rPr>
                <w:sz w:val="20"/>
              </w:rPr>
              <w:t xml:space="preserve"> months ended </w:t>
            </w:r>
            <w:r>
              <w:rPr>
                <w:rFonts w:ascii="Times New Roman" w:hAnsi="Times New Roman"/>
                <w:sz w:val="20"/>
              </w:rPr>
              <w:t>July 31, 2026</w:t>
            </w:r>
            <w:r>
              <w:rPr>
                <w:sz w:val="20"/>
              </w:rPr>
              <w:t xml:space="preserve"> and </w:t>
            </w:r>
            <w:r>
              <w:rPr>
                <w:rFonts w:ascii="Times New Roman" w:hAnsi="Times New Roman"/>
                <w:sz w:val="20"/>
              </w:rPr>
              <w:t>2025</w:t>
            </w:r>
            <w:r>
              <w:rPr>
                <w:sz w:val="20"/>
              </w:rPr>
              <w:t xml:space="preserve">, (iii) the Condensed Consolidated Statements of Changes in Equity for the </w:t>
            </w:r>
            <w:r>
              <w:rPr>
                <w:rFonts w:ascii="Times New Roman" w:hAnsi="Times New Roman"/>
                <w:sz w:val="20"/>
              </w:rPr>
              <w:t>three and nine</w:t>
            </w:r>
            <w:r>
              <w:rPr>
                <w:sz w:val="20"/>
              </w:rPr>
              <w:t xml:space="preserve"> months ended </w:t>
            </w:r>
            <w:r>
              <w:rPr>
                <w:rFonts w:ascii="Times New Roman" w:hAnsi="Times New Roman"/>
                <w:sz w:val="20"/>
              </w:rPr>
              <w:t>July 31, 2026</w:t>
            </w:r>
            <w:r>
              <w:rPr>
                <w:sz w:val="20"/>
              </w:rPr>
              <w:t xml:space="preserve"> and </w:t>
            </w:r>
            <w:r>
              <w:rPr>
                <w:rFonts w:ascii="Times New Roman" w:hAnsi="Times New Roman"/>
                <w:sz w:val="20"/>
              </w:rPr>
              <w:t>2025</w:t>
            </w:r>
            <w:r>
              <w:rPr>
                <w:sz w:val="20"/>
              </w:rPr>
              <w:t xml:space="preserve">, (iv) the Condensed Consolidated Statements of Cash Flows for the </w:t>
            </w:r>
            <w:r>
              <w:rPr>
                <w:rFonts w:ascii="Times New Roman" w:hAnsi="Times New Roman"/>
                <w:sz w:val="20"/>
              </w:rPr>
              <w:t>nine months ended July 31, 2026</w:t>
            </w:r>
            <w:r>
              <w:rPr>
                <w:sz w:val="20"/>
              </w:rPr>
              <w:t xml:space="preserve"> and </w:t>
            </w:r>
            <w:r>
              <w:rPr>
                <w:rFonts w:ascii="Times New Roman" w:hAnsi="Times New Roman"/>
                <w:sz w:val="20"/>
              </w:rPr>
              <w:t>2025</w:t>
            </w:r>
            <w:r>
              <w:rPr>
                <w:sz w:val="20"/>
              </w:rPr>
              <w:t>, and (v) the Notes to Condensed Consolidated Financial Statements.</w:t>
            </w:r>
          </w:p>
        </w:tc>
      </w:tr>
      <w:tr>
        <w:trPr/>
        <w:tc>
          <w:tcPr>
            <w:tcW w:w="368" w:type="dxa"/>
            <w:tcBorders/>
            <w:vAlign w:val="center"/>
          </w:tcPr>
          <w:p>
            <w:pPr>
              <w:pStyle w:val="TableContents"/>
              <w:bidi w:val="0"/>
              <w:spacing w:before="0" w:after="0"/>
              <w:jc w:val="left"/>
              <w:rPr/>
            </w:pPr>
            <w:r>
              <w:rPr/>
              <w:t> </w:t>
            </w:r>
          </w:p>
        </w:tc>
        <w:tc>
          <w:tcPr>
            <w:tcW w:w="9837" w:type="dxa"/>
            <w:tcBorders/>
            <w:vAlign w:val="center"/>
          </w:tcPr>
          <w:p>
            <w:pPr>
              <w:pStyle w:val="TableContents"/>
              <w:bidi w:val="0"/>
              <w:spacing w:before="0" w:after="0"/>
              <w:jc w:val="left"/>
              <w:rPr/>
            </w:pPr>
            <w:r>
              <w:rPr/>
              <w:t> </w:t>
            </w:r>
          </w:p>
        </w:tc>
      </w:tr>
      <w:tr>
        <w:trPr/>
        <w:tc>
          <w:tcPr>
            <w:tcW w:w="368" w:type="dxa"/>
            <w:tcBorders/>
            <w:vAlign w:val="center"/>
          </w:tcPr>
          <w:p>
            <w:pPr>
              <w:pStyle w:val="TableContents"/>
              <w:bidi w:val="0"/>
              <w:spacing w:before="0" w:after="0"/>
              <w:jc w:val="left"/>
              <w:rPr>
                <w:sz w:val="20"/>
              </w:rPr>
            </w:pPr>
            <w:r>
              <w:rPr>
                <w:sz w:val="20"/>
              </w:rPr>
              <w:t>104</w:t>
            </w:r>
          </w:p>
        </w:tc>
        <w:tc>
          <w:tcPr>
            <w:tcW w:w="9837" w:type="dxa"/>
            <w:tcBorders/>
            <w:vAlign w:val="center"/>
          </w:tcPr>
          <w:p>
            <w:pPr>
              <w:pStyle w:val="TableContents"/>
              <w:bidi w:val="0"/>
              <w:spacing w:before="0" w:after="0"/>
              <w:jc w:val="left"/>
              <w:rPr>
                <w:sz w:val="20"/>
              </w:rPr>
            </w:pPr>
            <w:r>
              <w:rPr>
                <w:sz w:val="20"/>
              </w:rPr>
              <w:t xml:space="preserve">Cover Page from our Quarterly Report on Form 10-Q for the </w:t>
            </w:r>
            <w:r>
              <w:rPr>
                <w:rFonts w:ascii="Times New Roman" w:hAnsi="Times New Roman"/>
                <w:sz w:val="20"/>
              </w:rPr>
              <w:t>three months ended July 31, 2026</w:t>
            </w:r>
            <w:r>
              <w:rPr>
                <w:sz w:val="20"/>
              </w:rPr>
              <w:t>, formatted in Inline XBRL (and contained in Exhibit 101).</w:t>
            </w:r>
          </w:p>
        </w:tc>
      </w:tr>
      <w:tr>
        <w:trPr/>
        <w:tc>
          <w:tcPr>
            <w:tcW w:w="368" w:type="dxa"/>
            <w:tcBorders/>
            <w:vAlign w:val="center"/>
          </w:tcPr>
          <w:p>
            <w:pPr>
              <w:pStyle w:val="TableContents"/>
              <w:bidi w:val="0"/>
              <w:spacing w:before="0" w:after="0"/>
              <w:jc w:val="left"/>
              <w:rPr/>
            </w:pPr>
            <w:r>
              <w:rPr/>
              <w:t> </w:t>
            </w:r>
          </w:p>
        </w:tc>
        <w:tc>
          <w:tcPr>
            <w:tcW w:w="9837" w:type="dxa"/>
            <w:tcBorders/>
            <w:vAlign w:val="center"/>
          </w:tcPr>
          <w:p>
            <w:pPr>
              <w:pStyle w:val="TableContents"/>
              <w:bidi w:val="0"/>
              <w:spacing w:before="0" w:after="0"/>
              <w:jc w:val="left"/>
              <w:rPr/>
            </w:pPr>
            <w:r>
              <w:rPr/>
              <w:t> </w:t>
            </w:r>
          </w:p>
        </w:tc>
      </w:tr>
      <w:tr>
        <w:trPr/>
        <w:tc>
          <w:tcPr>
            <w:tcW w:w="368" w:type="dxa"/>
            <w:tcBorders/>
            <w:vAlign w:val="center"/>
          </w:tcPr>
          <w:p>
            <w:pPr>
              <w:pStyle w:val="TableContents"/>
              <w:bidi w:val="0"/>
              <w:spacing w:before="0" w:after="0"/>
              <w:jc w:val="left"/>
              <w:rPr/>
            </w:pPr>
            <w:r>
              <w:rPr/>
              <w:t> </w:t>
            </w:r>
          </w:p>
        </w:tc>
        <w:tc>
          <w:tcPr>
            <w:tcW w:w="9837" w:type="dxa"/>
            <w:tcBorders/>
            <w:vAlign w:val="center"/>
          </w:tcPr>
          <w:p>
            <w:pPr>
              <w:pStyle w:val="TableContents"/>
              <w:bidi w:val="0"/>
              <w:spacing w:before="0" w:after="0"/>
              <w:jc w:val="left"/>
              <w:rPr>
                <w:i/>
                <w:sz w:val="20"/>
              </w:rPr>
            </w:pPr>
            <w:r>
              <w:rPr>
                <w:i/>
                <w:sz w:val="20"/>
              </w:rPr>
              <w:t>*Management contracts or compensation plans or arrangements.</w:t>
            </w:r>
          </w:p>
        </w:tc>
      </w:tr>
    </w:tbl>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TableofContent">
        <w:r>
          <w:rPr>
            <w:rStyle w:val="InternetLink"/>
            <w:strike w:val="false"/>
            <w:dstrike w:val="false"/>
            <w:color w:val="0000FF"/>
            <w:sz w:val="20"/>
            <w:u w:val="single"/>
            <w:effect w:val="none"/>
          </w:rPr>
          <w:t>Table of Contents</w:t>
        </w:r>
      </w:hyperlink>
    </w:p>
    <w:p>
      <w:pPr>
        <w:pStyle w:val="TextBody"/>
        <w:bidi w:val="0"/>
        <w:spacing w:before="0" w:after="0"/>
        <w:jc w:val="left"/>
        <w:rPr/>
      </w:pPr>
      <w:r>
        <w:rPr/>
        <w:t> </w:t>
      </w:r>
    </w:p>
    <w:p>
      <w:pPr>
        <w:pStyle w:val="TextBody"/>
        <w:bidi w:val="0"/>
        <w:spacing w:before="0" w:after="0"/>
        <w:jc w:val="center"/>
        <w:rPr/>
      </w:pPr>
      <w:hyperlink w:anchor="TOC">
        <w:bookmarkStart w:id="18" w:name="bm_b705eb02d92c587e"/>
        <w:bookmarkEnd w:id="18"/>
        <w:r>
          <w:rPr>
            <w:rStyle w:val="InternetLink"/>
            <w:strike w:val="false"/>
            <w:dstrike w:val="false"/>
            <w:color w:val="000000"/>
            <w:sz w:val="20"/>
            <w:u w:val="none"/>
            <w:effect w:val="none"/>
          </w:rPr>
          <w:t>SIGNATURES</w:t>
        </w:r>
      </w:hyperlink>
    </w:p>
    <w:p>
      <w:pPr>
        <w:pStyle w:val="TextBody"/>
        <w:bidi w:val="0"/>
        <w:spacing w:before="0" w:after="0"/>
        <w:jc w:val="left"/>
        <w:rPr/>
      </w:pPr>
      <w:r>
        <w:rPr/>
        <w:t> </w:t>
      </w:r>
    </w:p>
    <w:p>
      <w:pPr>
        <w:pStyle w:val="TextBody"/>
        <w:bidi w:val="0"/>
        <w:spacing w:before="0" w:after="0"/>
        <w:jc w:val="left"/>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p>
      <w:pPr>
        <w:pStyle w:val="TextBody"/>
        <w:bidi w:val="0"/>
        <w:spacing w:before="0" w:after="0"/>
        <w:jc w:val="center"/>
        <w:rPr>
          <w:sz w:val="20"/>
        </w:rPr>
      </w:pPr>
      <w:r>
        <w:rPr>
          <w:sz w:val="20"/>
        </w:rPr>
        <w:t>HOVNANIAN ENTERPRISES, INC.</w:t>
      </w:r>
    </w:p>
    <w:p>
      <w:pPr>
        <w:pStyle w:val="TextBody"/>
        <w:bidi w:val="0"/>
        <w:spacing w:before="0" w:after="0"/>
        <w:jc w:val="center"/>
        <w:rPr>
          <w:sz w:val="20"/>
        </w:rPr>
      </w:pPr>
      <w:r>
        <w:rPr>
          <w:sz w:val="20"/>
        </w:rPr>
        <w:t>(Registrant)</w:t>
      </w:r>
    </w:p>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75"/>
        <w:gridCol w:w="590"/>
        <w:gridCol w:w="5030"/>
      </w:tblGrid>
      <w:tr>
        <w:trPr/>
        <w:tc>
          <w:tcPr>
            <w:tcW w:w="75"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sz w:val="20"/>
              </w:rPr>
            </w:pPr>
            <w:r>
              <w:rPr>
                <w:sz w:val="20"/>
              </w:rPr>
              <w:t>DATE:</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August 28, 2026</w:t>
            </w:r>
          </w:p>
        </w:tc>
      </w:tr>
      <w:tr>
        <w:trPr/>
        <w:tc>
          <w:tcPr>
            <w:tcW w:w="75"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0"/>
              <w:jc w:val="left"/>
              <w:rPr>
                <w:sz w:val="20"/>
                <w:u w:val="single"/>
              </w:rPr>
            </w:pPr>
            <w:r>
              <w:rPr>
                <w:sz w:val="20"/>
                <w:u w:val="single"/>
              </w:rPr>
              <w:t>/s/ ARA K. HOVNANIAN</w:t>
            </w:r>
          </w:p>
        </w:tc>
      </w:tr>
      <w:tr>
        <w:trPr/>
        <w:tc>
          <w:tcPr>
            <w:tcW w:w="75"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0"/>
              <w:jc w:val="left"/>
              <w:rPr>
                <w:sz w:val="20"/>
              </w:rPr>
            </w:pPr>
            <w:r>
              <w:rPr>
                <w:sz w:val="20"/>
              </w:rPr>
              <w:t>Ara K. Hovnanian</w:t>
            </w:r>
          </w:p>
        </w:tc>
      </w:tr>
      <w:tr>
        <w:trPr/>
        <w:tc>
          <w:tcPr>
            <w:tcW w:w="75"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0"/>
              <w:jc w:val="left"/>
              <w:rPr>
                <w:sz w:val="20"/>
              </w:rPr>
            </w:pPr>
            <w:r>
              <w:rPr>
                <w:sz w:val="20"/>
              </w:rPr>
              <w:t>Chairman of the Board, Chief Executive Officer and Director</w:t>
            </w:r>
          </w:p>
        </w:tc>
      </w:tr>
      <w:tr>
        <w:trPr/>
        <w:tc>
          <w:tcPr>
            <w:tcW w:w="75"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0"/>
              <w:jc w:val="left"/>
              <w:rPr>
                <w:sz w:val="20"/>
              </w:rPr>
            </w:pPr>
            <w:r>
              <w:rPr>
                <w:sz w:val="20"/>
              </w:rPr>
              <w:t>(Principal Executive Officer)</w:t>
            </w:r>
          </w:p>
        </w:tc>
      </w:tr>
      <w:tr>
        <w:trPr/>
        <w:tc>
          <w:tcPr>
            <w:tcW w:w="75"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sz w:val="20"/>
              </w:rPr>
            </w:pPr>
            <w:r>
              <w:rPr>
                <w:sz w:val="20"/>
              </w:rPr>
              <w:t>DATE:</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August 28, 2026</w:t>
            </w:r>
          </w:p>
        </w:tc>
      </w:tr>
      <w:tr>
        <w:trPr/>
        <w:tc>
          <w:tcPr>
            <w:tcW w:w="75"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0"/>
              <w:jc w:val="left"/>
              <w:rPr>
                <w:sz w:val="20"/>
                <w:u w:val="single"/>
              </w:rPr>
            </w:pPr>
            <w:r>
              <w:rPr>
                <w:sz w:val="20"/>
                <w:u w:val="single"/>
              </w:rPr>
              <w:t>/s/ BRAD O’CONNOR</w:t>
            </w:r>
          </w:p>
        </w:tc>
      </w:tr>
      <w:tr>
        <w:trPr/>
        <w:tc>
          <w:tcPr>
            <w:tcW w:w="75"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0"/>
              <w:jc w:val="left"/>
              <w:rPr>
                <w:sz w:val="20"/>
              </w:rPr>
            </w:pPr>
            <w:r>
              <w:rPr>
                <w:sz w:val="20"/>
              </w:rPr>
              <w:t>Brad O’Connor</w:t>
            </w:r>
          </w:p>
        </w:tc>
      </w:tr>
      <w:tr>
        <w:trPr/>
        <w:tc>
          <w:tcPr>
            <w:tcW w:w="75"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0"/>
              <w:jc w:val="left"/>
              <w:rPr>
                <w:sz w:val="20"/>
              </w:rPr>
            </w:pPr>
            <w:r>
              <w:rPr>
                <w:sz w:val="20"/>
              </w:rPr>
              <w:t>Chief Financial Officer</w:t>
            </w:r>
          </w:p>
        </w:tc>
      </w:tr>
      <w:tr>
        <w:trPr/>
        <w:tc>
          <w:tcPr>
            <w:tcW w:w="75"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0"/>
              <w:jc w:val="left"/>
              <w:rPr>
                <w:sz w:val="20"/>
              </w:rPr>
            </w:pPr>
            <w:r>
              <w:rPr>
                <w:sz w:val="20"/>
              </w:rPr>
              <w:t>(Principal Financial Officer and Principal Accounting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50</w:t>
      </w:r>
    </w:p>
    <w:p>
      <w:pPr>
        <w:pStyle w:val="HorizontalLine"/>
        <w:pBdr>
          <w:bottom w:val="double" w:sz="2" w:space="0" w:color="808080"/>
        </w:pBdr>
        <w:bidi w:val="0"/>
        <w:spacing w:before="0" w:after="283"/>
        <w:jc w:val="left"/>
        <w:rPr/>
      </w:pPr>
      <w:r>
        <w:rPr/>
      </w:r>
    </w:p>
    <w:p>
      <w:pPr>
        <w:pStyle w:val="TextBody"/>
        <w:bidi w:val="0"/>
        <w:spacing w:before="0" w:after="0"/>
        <w:jc w:val="right"/>
        <w:rPr>
          <w:b/>
          <w:sz w:val="20"/>
        </w:rPr>
      </w:pPr>
      <w:bookmarkStart w:id="19" w:name="ex10A_1.htm"/>
      <w:bookmarkStart w:id="20" w:name="ksex10A_1"/>
      <w:bookmarkEnd w:id="19"/>
      <w:bookmarkEnd w:id="20"/>
      <w:r>
        <w:rPr>
          <w:b/>
          <w:sz w:val="20"/>
        </w:rPr>
        <w:t>Exhibit 10(a)</w:t>
      </w:r>
      <w:r>
        <w:br w:type="page"/>
      </w:r>
    </w:p>
    <w:p>
      <w:pPr>
        <w:pStyle w:val="TextBody"/>
        <w:bidi w:val="0"/>
        <w:spacing w:before="0" w:after="0"/>
        <w:jc w:val="left"/>
        <w:rPr/>
      </w:pPr>
      <w:r>
        <w:rPr/>
        <w:t> </w:t>
      </w:r>
    </w:p>
    <w:p>
      <w:pPr>
        <w:pStyle w:val="TextBody"/>
        <w:bidi w:val="0"/>
        <w:spacing w:before="0" w:after="0"/>
        <w:jc w:val="center"/>
        <w:rPr>
          <w:sz w:val="20"/>
        </w:rPr>
      </w:pPr>
      <w:r>
        <w:rPr>
          <w:b/>
          <w:sz w:val="20"/>
        </w:rPr>
        <w:t>2020 HOVNANIAN ENTERPRISES, INC.</w:t>
      </w:r>
      <w:r>
        <w:rPr>
          <w:sz w:val="20"/>
        </w:rPr>
        <w:br/>
      </w:r>
      <w:r>
        <w:rPr>
          <w:b/>
          <w:sz w:val="20"/>
        </w:rPr>
        <w:t>FOURTH AMENDED AND RESTATED STOCK INCENTIVE PLAN</w:t>
      </w:r>
    </w:p>
    <w:p>
      <w:pPr>
        <w:pStyle w:val="TextBody"/>
        <w:bidi w:val="0"/>
        <w:spacing w:before="0" w:after="0"/>
        <w:jc w:val="left"/>
        <w:rPr/>
      </w:pPr>
      <w:r>
        <w:rPr/>
        <w:t> </w:t>
      </w:r>
    </w:p>
    <w:p>
      <w:pPr>
        <w:pStyle w:val="TextBody"/>
        <w:bidi w:val="0"/>
        <w:spacing w:before="0" w:after="0"/>
        <w:jc w:val="center"/>
        <w:rPr>
          <w:b/>
          <w:sz w:val="20"/>
        </w:rPr>
      </w:pPr>
      <w:r>
        <w:rPr>
          <w:b/>
          <w:sz w:val="20"/>
        </w:rPr>
        <w:t>PERFORMANCE SHARE UNIT AGREEMENT</w:t>
      </w:r>
    </w:p>
    <w:p>
      <w:pPr>
        <w:pStyle w:val="TextBody"/>
        <w:bidi w:val="0"/>
        <w:spacing w:before="0" w:after="0"/>
        <w:jc w:val="center"/>
        <w:rPr>
          <w:b/>
          <w:sz w:val="20"/>
        </w:rPr>
      </w:pPr>
      <w:r>
        <w:rPr>
          <w:b/>
          <w:sz w:val="20"/>
        </w:rPr>
        <w:t>(EBIT Performance Vesting)</w:t>
      </w:r>
    </w:p>
    <w:p>
      <w:pPr>
        <w:pStyle w:val="TextBody"/>
        <w:bidi w:val="0"/>
        <w:spacing w:before="0" w:after="0"/>
        <w:jc w:val="left"/>
        <w:rPr/>
      </w:pPr>
      <w:r>
        <w:rPr/>
        <w:t> </w:t>
      </w:r>
    </w:p>
    <w:tbl>
      <w:tblPr>
        <w:tblW w:w="5108" w:type="dxa"/>
        <w:jc w:val="left"/>
        <w:tblInd w:w="0" w:type="dxa"/>
        <w:tblLayout w:type="fixed"/>
        <w:tblCellMar>
          <w:top w:w="0" w:type="dxa"/>
          <w:left w:w="0" w:type="dxa"/>
          <w:bottom w:w="0" w:type="dxa"/>
          <w:right w:w="0" w:type="dxa"/>
        </w:tblCellMar>
      </w:tblPr>
      <w:tblGrid>
        <w:gridCol w:w="2612"/>
        <w:gridCol w:w="77"/>
        <w:gridCol w:w="60"/>
        <w:gridCol w:w="2176"/>
        <w:gridCol w:w="108"/>
        <w:gridCol w:w="75"/>
      </w:tblGrid>
      <w:tr>
        <w:trPr/>
        <w:tc>
          <w:tcPr>
            <w:tcW w:w="2612" w:type="dxa"/>
            <w:tcBorders/>
            <w:vAlign w:val="center"/>
          </w:tcPr>
          <w:p>
            <w:pPr>
              <w:pStyle w:val="TableContents"/>
              <w:widowControl w:val="false"/>
              <w:bidi w:val="0"/>
              <w:spacing w:before="0" w:after="0"/>
              <w:jc w:val="left"/>
              <w:rPr>
                <w:i/>
                <w:sz w:val="20"/>
              </w:rPr>
            </w:pPr>
            <w:r>
              <w:rPr>
                <w:i/>
                <w:sz w:val="20"/>
              </w:rPr>
              <w:t>Participant:</w:t>
            </w:r>
          </w:p>
        </w:tc>
        <w:tc>
          <w:tcPr>
            <w:tcW w:w="77"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i/>
                <w:sz w:val="20"/>
              </w:rPr>
            </w:pPr>
            <w:r>
              <w:rPr>
                <w:i/>
                <w:sz w:val="20"/>
              </w:rPr>
              <w:t>Date of Grant:</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77"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108"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77"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108"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vAlign w:val="center"/>
          </w:tcPr>
          <w:p>
            <w:pPr>
              <w:pStyle w:val="TableContents"/>
              <w:widowControl w:val="false"/>
              <w:bidi w:val="0"/>
              <w:spacing w:before="0" w:after="0"/>
              <w:jc w:val="left"/>
              <w:rPr/>
            </w:pPr>
            <w:r>
              <w:rPr/>
              <w:t> </w:t>
            </w:r>
          </w:p>
        </w:tc>
        <w:tc>
          <w:tcPr>
            <w:tcW w:w="77"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pPr>
            <w:r>
              <w:rPr/>
              <w:t> </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vAlign w:val="center"/>
          </w:tcPr>
          <w:p>
            <w:pPr>
              <w:pStyle w:val="TableContents"/>
              <w:widowControl w:val="false"/>
              <w:bidi w:val="0"/>
              <w:spacing w:before="0" w:after="0"/>
              <w:jc w:val="left"/>
              <w:rPr>
                <w:i/>
                <w:sz w:val="20"/>
              </w:rPr>
            </w:pPr>
            <w:r>
              <w:rPr>
                <w:i/>
                <w:sz w:val="20"/>
              </w:rPr>
              <w:t>Target Number of PSUs:</w:t>
            </w:r>
          </w:p>
        </w:tc>
        <w:tc>
          <w:tcPr>
            <w:tcW w:w="77"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60"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pPr>
            <w:r>
              <w:rPr/>
              <w:t> </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vAlign w:val="center"/>
          </w:tcPr>
          <w:p>
            <w:pPr>
              <w:pStyle w:val="TableContents"/>
              <w:widowControl w:val="false"/>
              <w:bidi w:val="0"/>
              <w:spacing w:before="0" w:after="0"/>
              <w:jc w:val="left"/>
              <w:rPr/>
            </w:pPr>
            <w:r>
              <w:rPr/>
              <w:t> </w:t>
            </w:r>
          </w:p>
        </w:tc>
        <w:tc>
          <w:tcPr>
            <w:tcW w:w="77"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60"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pPr>
            <w:r>
              <w:rPr/>
              <w:t> </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vAlign w:val="center"/>
          </w:tcPr>
          <w:p>
            <w:pPr>
              <w:pStyle w:val="TableContents"/>
              <w:widowControl w:val="false"/>
              <w:bidi w:val="0"/>
              <w:spacing w:before="0" w:after="0"/>
              <w:jc w:val="left"/>
              <w:rPr/>
            </w:pPr>
            <w:r>
              <w:rPr/>
              <w:t> </w:t>
            </w:r>
          </w:p>
        </w:tc>
        <w:tc>
          <w:tcPr>
            <w:tcW w:w="77"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pPr>
            <w:r>
              <w:rPr/>
              <w:t> </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89" w:type="dxa"/>
            <w:gridSpan w:val="2"/>
            <w:tcBorders/>
            <w:vAlign w:val="center"/>
          </w:tcPr>
          <w:p>
            <w:pPr>
              <w:pStyle w:val="TableContents"/>
              <w:widowControl w:val="false"/>
              <w:bidi w:val="0"/>
              <w:spacing w:before="0" w:after="0"/>
              <w:jc w:val="left"/>
              <w:rPr>
                <w:i/>
                <w:sz w:val="20"/>
              </w:rPr>
            </w:pPr>
            <w:r>
              <w:rPr>
                <w:i/>
                <w:sz w:val="20"/>
              </w:rPr>
              <w:t>Date of Vesting of Earned PSUs:</w:t>
            </w:r>
          </w:p>
        </w:tc>
        <w:tc>
          <w:tcPr>
            <w:tcW w:w="60" w:type="dxa"/>
            <w:tcBorders/>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pPr>
            <w:r>
              <w:rPr/>
              <w:t> </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vAlign w:val="center"/>
          </w:tcPr>
          <w:p>
            <w:pPr>
              <w:pStyle w:val="TableContents"/>
              <w:widowControl w:val="false"/>
              <w:bidi w:val="0"/>
              <w:spacing w:before="0" w:after="0"/>
              <w:jc w:val="left"/>
              <w:rPr/>
            </w:pPr>
            <w:r>
              <w:rPr/>
              <w:t> </w:t>
            </w:r>
          </w:p>
        </w:tc>
        <w:tc>
          <w:tcPr>
            <w:tcW w:w="77"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pPr>
            <w:r>
              <w:rPr/>
              <w:t> </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vAlign w:val="center"/>
          </w:tcPr>
          <w:p>
            <w:pPr>
              <w:pStyle w:val="TableContents"/>
              <w:widowControl w:val="false"/>
              <w:bidi w:val="0"/>
              <w:spacing w:before="0" w:after="0"/>
              <w:jc w:val="left"/>
              <w:rPr>
                <w:i/>
                <w:sz w:val="20"/>
                <w:u w:val="single"/>
              </w:rPr>
            </w:pPr>
            <w:r>
              <w:rPr>
                <w:i/>
                <w:sz w:val="20"/>
                <w:u w:val="single"/>
              </w:rPr>
              <w:t>Date</w:t>
            </w:r>
          </w:p>
        </w:tc>
        <w:tc>
          <w:tcPr>
            <w:tcW w:w="77"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284" w:type="dxa"/>
            <w:gridSpan w:val="2"/>
            <w:tcBorders/>
            <w:vAlign w:val="center"/>
          </w:tcPr>
          <w:p>
            <w:pPr>
              <w:pStyle w:val="TableContents"/>
              <w:widowControl w:val="false"/>
              <w:bidi w:val="0"/>
              <w:spacing w:before="0" w:after="0"/>
              <w:jc w:val="left"/>
              <w:rPr>
                <w:i/>
                <w:sz w:val="20"/>
                <w:u w:val="single"/>
              </w:rPr>
            </w:pPr>
            <w:r>
              <w:rPr>
                <w:i/>
                <w:sz w:val="20"/>
                <w:u w:val="single"/>
              </w:rPr>
              <w:t>Percentage of Earned PSUs</w:t>
            </w:r>
          </w:p>
        </w:tc>
        <w:tc>
          <w:tcPr>
            <w:tcW w:w="75" w:type="dxa"/>
            <w:tcBorders/>
            <w:vAlign w:val="center"/>
          </w:tcPr>
          <w:p>
            <w:pPr>
              <w:pStyle w:val="TableContents"/>
              <w:widowControl w:val="false"/>
              <w:bidi w:val="0"/>
              <w:spacing w:before="0" w:after="0"/>
              <w:jc w:val="left"/>
              <w:rPr/>
            </w:pPr>
            <w:r>
              <w:rPr/>
              <w:t> </w:t>
            </w:r>
          </w:p>
        </w:tc>
      </w:tr>
      <w:tr>
        <w:trPr/>
        <w:tc>
          <w:tcPr>
            <w:tcW w:w="2612" w:type="dxa"/>
            <w:tcBorders/>
            <w:vAlign w:val="center"/>
          </w:tcPr>
          <w:p>
            <w:pPr>
              <w:pStyle w:val="TableContents"/>
              <w:widowControl w:val="false"/>
              <w:bidi w:val="0"/>
              <w:spacing w:before="0" w:after="0"/>
              <w:jc w:val="left"/>
              <w:rPr/>
            </w:pPr>
            <w:r>
              <w:rPr/>
              <w:t> </w:t>
            </w:r>
          </w:p>
        </w:tc>
        <w:tc>
          <w:tcPr>
            <w:tcW w:w="77"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pPr>
            <w:r>
              <w:rPr/>
              <w:t> </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bottom w:val="single" w:sz="6" w:space="0" w:color="000000"/>
            </w:tcBorders>
            <w:tcMar>
              <w:bottom w:w="28" w:type="dxa"/>
            </w:tcMar>
            <w:vAlign w:val="center"/>
          </w:tcPr>
          <w:p>
            <w:pPr>
              <w:pStyle w:val="TableContents"/>
              <w:widowControl w:val="false"/>
              <w:bidi w:val="0"/>
              <w:spacing w:before="0" w:after="0"/>
              <w:jc w:val="center"/>
              <w:rPr>
                <w:sz w:val="20"/>
              </w:rPr>
            </w:pPr>
            <w:r>
              <w:rPr>
                <w:sz w:val="20"/>
              </w:rPr>
              <w:t>[Date]</w:t>
            </w:r>
          </w:p>
        </w:tc>
        <w:tc>
          <w:tcPr>
            <w:tcW w:w="77"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bottom w:val="single" w:sz="6" w:space="0" w:color="000000"/>
            </w:tcBorders>
            <w:tcMar>
              <w:bottom w:w="28" w:type="dxa"/>
            </w:tcMar>
            <w:vAlign w:val="center"/>
          </w:tcPr>
          <w:p>
            <w:pPr>
              <w:pStyle w:val="TableContents"/>
              <w:widowControl w:val="false"/>
              <w:bidi w:val="0"/>
              <w:spacing w:before="0" w:after="0"/>
              <w:jc w:val="center"/>
              <w:rPr>
                <w:sz w:val="20"/>
              </w:rPr>
            </w:pPr>
            <w:r>
              <w:rPr>
                <w:sz w:val="20"/>
              </w:rPr>
              <w:t>100%</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bl>
    <w:p>
      <w:pPr>
        <w:pStyle w:val="TextBody"/>
        <w:bidi w:val="0"/>
        <w:spacing w:before="0" w:after="0"/>
        <w:jc w:val="left"/>
        <w:rPr/>
      </w:pPr>
      <w:r>
        <w:rPr/>
        <w:t> </w:t>
      </w:r>
    </w:p>
    <w:p>
      <w:pPr>
        <w:pStyle w:val="Heading1"/>
        <w:bidi w:val="0"/>
        <w:spacing w:before="0" w:after="200"/>
        <w:ind w:left="0" w:right="0" w:firstLine="1440"/>
        <w:jc w:val="both"/>
        <w:rPr>
          <w:sz w:val="20"/>
        </w:rPr>
      </w:pPr>
      <w:r>
        <w:rPr>
          <w:b w:val="false"/>
          <w:sz w:val="20"/>
        </w:rPr>
        <w:t>1.</w:t>
      </w:r>
      <w:r>
        <w:rPr>
          <w:caps w:val="false"/>
          <w:smallCaps w:val="false"/>
          <w:sz w:val="20"/>
        </w:rPr>
        <w:t xml:space="preserve">          </w:t>
      </w:r>
      <w:r>
        <w:rPr>
          <w:b w:val="false"/>
          <w:sz w:val="20"/>
          <w:u w:val="single"/>
        </w:rPr>
        <w:t>Grant of PSUs</w:t>
      </w:r>
      <w:r>
        <w:rPr>
          <w:b w:val="false"/>
          <w:sz w:val="20"/>
        </w:rPr>
        <w:t>.</w:t>
      </w:r>
      <w:r>
        <w:rPr>
          <w:sz w:val="20"/>
        </w:rPr>
        <w:t xml:space="preserve">  </w:t>
      </w:r>
      <w:r>
        <w:rPr>
          <w:b w:val="false"/>
          <w:sz w:val="20"/>
        </w:rPr>
        <w:t>For valuable consideration, receipt of which is hereby acknowledged, Hovnanian Enterprises, Inc., a Delaware Corporation (the "Company"), hereby grants the target number (“Target Number”) of performance share units ("PSUs") listed above to the Participant, on the terms and conditions hereinafter set forth.</w:t>
      </w:r>
      <w:r>
        <w:rPr>
          <w:sz w:val="20"/>
        </w:rPr>
        <w:t xml:space="preserve">  </w:t>
      </w:r>
      <w:r>
        <w:rPr>
          <w:b w:val="false"/>
          <w:sz w:val="20"/>
        </w:rPr>
        <w:t>This grant is made pursuant to the terms and conditions of the 2020 Company Fourth Amended and Restated Stock Incentive Plan (the "Plan"), which Plan, as amended from time to time, is incorporated herein by reference and made a part of this Agreement.</w:t>
      </w:r>
      <w:r>
        <w:rPr>
          <w:sz w:val="20"/>
        </w:rPr>
        <w:t xml:space="preserve">  </w:t>
      </w:r>
      <w:r>
        <w:rPr>
          <w:b w:val="false"/>
          <w:sz w:val="20"/>
        </w:rPr>
        <w:t>The actual number of PSUs, if any, that the Participant will be eligible to earn with respect to this Agreement (the “Earned PSUs”), subject to meeting the applicable service and performance vesting requirements, will equal the Target Number multiplied by the applicable “Performance Multiplier” as defined in Exhibit A hereto.</w:t>
      </w:r>
      <w:r>
        <w:rPr>
          <w:sz w:val="20"/>
        </w:rPr>
        <w:t xml:space="preserve">  </w:t>
      </w:r>
      <w:r>
        <w:rPr>
          <w:b w:val="false"/>
          <w:sz w:val="20"/>
        </w:rPr>
        <w:t>Each Earned PSU represents the unfunded, unsecured right of the Participant to receive a Share on the date(s) specified herein.</w:t>
      </w:r>
      <w:r>
        <w:rPr>
          <w:sz w:val="20"/>
        </w:rPr>
        <w:t xml:space="preserve">  </w:t>
      </w:r>
      <w:r>
        <w:rPr>
          <w:b w:val="false"/>
          <w:sz w:val="20"/>
        </w:rPr>
        <w:t>Capitalized terms not otherwise defined herein shall have the same meanings as in the Plan.</w:t>
      </w:r>
    </w:p>
    <w:p>
      <w:pPr>
        <w:pStyle w:val="TextBody"/>
        <w:bidi w:val="0"/>
        <w:spacing w:before="0" w:after="200"/>
        <w:ind w:left="0" w:right="0" w:firstLine="1440"/>
        <w:jc w:val="both"/>
        <w:rPr>
          <w:sz w:val="20"/>
        </w:rPr>
      </w:pPr>
      <w:r>
        <w:rPr>
          <w:sz w:val="20"/>
        </w:rPr>
        <w:t>2.</w:t>
      </w:r>
      <w:r>
        <w:rPr>
          <w:caps w:val="false"/>
          <w:smallCaps w:val="false"/>
          <w:sz w:val="20"/>
        </w:rPr>
        <w:t xml:space="preserve">          </w:t>
      </w:r>
      <w:r>
        <w:rPr>
          <w:sz w:val="20"/>
          <w:u w:val="single"/>
        </w:rPr>
        <w:t>Vesting and Timing of Transfer</w:t>
      </w:r>
      <w:r>
        <w:rPr>
          <w:sz w:val="20"/>
        </w:rPr>
        <w:t>.</w:t>
      </w:r>
    </w:p>
    <w:p>
      <w:pPr>
        <w:pStyle w:val="TextBody"/>
        <w:bidi w:val="0"/>
        <w:spacing w:before="0" w:after="200"/>
        <w:ind w:left="0" w:right="0" w:firstLine="1890"/>
        <w:jc w:val="both"/>
        <w:rPr>
          <w:sz w:val="20"/>
        </w:rPr>
      </w:pPr>
      <w:r>
        <w:rPr>
          <w:sz w:val="20"/>
        </w:rPr>
        <w:t>(a)</w:t>
      </w:r>
      <w:r>
        <w:rPr>
          <w:caps w:val="false"/>
          <w:smallCaps w:val="false"/>
          <w:sz w:val="20"/>
        </w:rPr>
        <w:t xml:space="preserve">        </w:t>
      </w:r>
      <w:r>
        <w:rPr>
          <w:sz w:val="20"/>
        </w:rPr>
        <w:t xml:space="preserve">The Participant will become vested in the Earned PSUs in accordance with the schedule set forth above (each such vesting date, a “Vesting Date”); </w:t>
      </w:r>
      <w:r>
        <w:rPr>
          <w:sz w:val="20"/>
          <w:u w:val="single"/>
        </w:rPr>
        <w:t>provided</w:t>
      </w:r>
      <w:r>
        <w:rPr>
          <w:sz w:val="20"/>
        </w:rPr>
        <w:t xml:space="preserve">, </w:t>
      </w:r>
      <w:r>
        <w:rPr>
          <w:sz w:val="20"/>
          <w:u w:val="single"/>
        </w:rPr>
        <w:t>however</w:t>
      </w:r>
      <w:r>
        <w:rPr>
          <w:sz w:val="20"/>
        </w:rPr>
        <w:t xml:space="preserve">, that upon the occurrence of a Change in Control that results in the Company's Shares ceasing to be publicly traded on a national securities exchange, the Earned PSUs shall immediately become fully vested (subject to any delay in Share delivery required pursuant to Sections 2(b) and 16 hereof). </w:t>
      </w:r>
    </w:p>
    <w:p>
      <w:pPr>
        <w:pStyle w:val="TextBody"/>
        <w:bidi w:val="0"/>
        <w:spacing w:before="0" w:after="200"/>
        <w:ind w:left="0" w:right="0" w:firstLine="1890"/>
        <w:jc w:val="both"/>
        <w:rPr>
          <w:sz w:val="20"/>
        </w:rPr>
      </w:pPr>
      <w:r>
        <w:rPr>
          <w:sz w:val="20"/>
        </w:rPr>
        <w:t>(b)</w:t>
      </w:r>
      <w:r>
        <w:rPr>
          <w:caps w:val="false"/>
          <w:smallCaps w:val="false"/>
          <w:sz w:val="20"/>
        </w:rPr>
        <w:t xml:space="preserve">       </w:t>
      </w:r>
      <w:r>
        <w:rPr>
          <w:sz w:val="20"/>
        </w:rPr>
        <w:t xml:space="preserve">The Company shall transfer to the Participant, as soon as practicable but not later than 60 days after an applicable “Delivery Date” (as defined below), a number of Class A Shares equal to the number of Earned PSUs that became vested on the corresponding Vesting Date(rounded up to the next whole share), </w:t>
      </w:r>
      <w:r>
        <w:rPr>
          <w:sz w:val="20"/>
          <w:u w:val="single"/>
        </w:rPr>
        <w:t>provided</w:t>
      </w:r>
      <w:r>
        <w:rPr>
          <w:sz w:val="20"/>
        </w:rPr>
        <w:t xml:space="preserve">, </w:t>
      </w:r>
      <w:r>
        <w:rPr>
          <w:sz w:val="20"/>
          <w:u w:val="single"/>
        </w:rPr>
        <w:t>however</w:t>
      </w:r>
      <w:r>
        <w:rPr>
          <w:sz w:val="20"/>
        </w:rPr>
        <w:t>, that upon the final transfer of Shares to the Participant (i) such number of Shares shall be reduced to the extent necessary to reflect any previous rounding up pursuant to this sentence.  If the Participant is eligible to participate in, and has elected to defer the transfer of Shares pursuant to the terms of a nonqualified deferred compensation plan maintained by the Company, such Shares shall be so deferred, and any such deferral, when paid, shall be paid in Shares.  Once the transfer of any Shares is deferred, the rights and privileges of the Participant with respect to such Shares shall be determined solely pursuant to the terms of the applicable plan, and not pursuant to the terms and conditions of this Agreement.  For purposes of this Agreement, the “Delivery Date” with respect to each Vesting Date shall mean the date that is the earlier of (i) the second anniversary of such Vesting Date or (ii) the second anniversary of the date of the Participant’s Qualified Termination (as defined below), if applicable.</w:t>
      </w:r>
    </w:p>
    <w:p>
      <w:pPr>
        <w:pStyle w:val="TextBody"/>
        <w:bidi w:val="0"/>
        <w:spacing w:before="0" w:after="0"/>
        <w:ind w:left="0" w:right="0" w:firstLine="1890"/>
        <w:jc w:val="both"/>
        <w:rPr>
          <w:sz w:val="20"/>
        </w:rPr>
      </w:pPr>
      <w:r>
        <w:rPr>
          <w:sz w:val="20"/>
        </w:rPr>
        <w:t>(c)</w:t>
      </w:r>
      <w:r>
        <w:rPr>
          <w:caps w:val="false"/>
          <w:smallCaps w:val="false"/>
          <w:sz w:val="20"/>
        </w:rPr>
        <w:t xml:space="preserve">        </w:t>
      </w:r>
      <w:r>
        <w:rPr>
          <w:sz w:val="20"/>
        </w:rPr>
        <w:t xml:space="preserve">Notwithstanding Sections 2(a) and 2(b) of this Agreement, if the Participant's employment with the Company and its Affiliates terminates due to (i) death, (ii) Disability or (iii) Retirement, (any such termination, a “Qualified Termination”), then (A) any previously unvested Earned PSUs shall become fully vested, (B) if such Qualified Termination occurs prior to the determination of the number of Earned PSUs in accordance with Exhibit A hereto, the PSUs granted hereunder shall remaining outstanding and eligible to become Earned PSUs in accordance with such Exhibit A and (C) the Shares underlying all of the Participant’s Earned PSUs, if any, shall be delivered to the Participant as soon as practicable but not later than 60 days after the corresponding Delivery Date(s) subject to Section 16 of this Agreement.  In the event of the death of the Participant, the transfer of Shares under this Section 2(c) shall be made in accordance with the beneficiary designation form on file with the Company; </w:t>
      </w:r>
      <w:r>
        <w:rPr>
          <w:sz w:val="20"/>
          <w:u w:val="single"/>
        </w:rPr>
        <w:t>provided</w:t>
      </w:r>
      <w:r>
        <w:rPr>
          <w:sz w:val="20"/>
        </w:rPr>
        <w:t xml:space="preserve">, </w:t>
      </w:r>
      <w:r>
        <w:rPr>
          <w:sz w:val="20"/>
          <w:u w:val="single"/>
        </w:rPr>
        <w:t>however</w:t>
      </w:r>
      <w:r>
        <w:rPr>
          <w:sz w:val="20"/>
        </w:rPr>
        <w:t>, that, in the absence of any such beneficiary designation form, the transfer of Shares under this Section 2(c) shall be made to the person or persons to whom the Participant's rights under the Agreement shall pass by will or by the applicable laws of descent and distribution.  For purposes of this Agreement, "Disability" shall mean "Disability" as defined in the Plan, and "Retirement" shall mean termination of employment on or after age 60, or on or after age 58 with at least 15 years of "Service" to the Company and its Subsidiaries immediately preceding such termination of employment.  For this purpose, "Service" means the period of employment immediately preceding Retirement, plus any prior periods of employment with the Company and its Subsidiaries of one or more years' duration, unless they were succeeded by a period of non-employment with the Company and its Subsidiaries of more than three years' duration.</w:t>
      </w:r>
    </w:p>
    <w:p>
      <w:pPr>
        <w:pStyle w:val="TextBody"/>
        <w:bidi w:val="0"/>
        <w:spacing w:before="0" w:after="0"/>
        <w:jc w:val="left"/>
        <w:rPr/>
      </w:pPr>
      <w:r>
        <w:rPr/>
        <w:t> </w:t>
      </w:r>
    </w:p>
    <w:p>
      <w:pPr>
        <w:pStyle w:val="TextBody"/>
        <w:bidi w:val="0"/>
        <w:spacing w:before="0" w:after="0"/>
        <w:jc w:val="center"/>
        <w:rPr>
          <w:sz w:val="20"/>
        </w:rPr>
      </w:pPr>
      <w:r>
        <w:rPr>
          <w:sz w:val="20"/>
        </w:rPr>
        <w:t>1</w:t>
      </w:r>
    </w:p>
    <w:p>
      <w:pPr>
        <w:pStyle w:val="HorizontalLine"/>
        <w:pBdr>
          <w:bottom w:val="double" w:sz="2" w:space="0" w:color="808080"/>
        </w:pBdr>
        <w:bidi w:val="0"/>
        <w:jc w:val="center"/>
        <w:rPr/>
      </w:pPr>
      <w:r>
        <w:rPr/>
      </w:r>
    </w:p>
    <w:p>
      <w:pPr>
        <w:pStyle w:val="Heading2"/>
        <w:bidi w:val="0"/>
        <w:spacing w:before="0" w:after="200"/>
        <w:ind w:left="0" w:right="0" w:firstLine="1886"/>
        <w:jc w:val="both"/>
        <w:rPr>
          <w:sz w:val="20"/>
        </w:rPr>
      </w:pPr>
      <w:r>
        <w:rPr>
          <w:b w:val="false"/>
          <w:sz w:val="20"/>
        </w:rPr>
        <w:t>(d)</w:t>
      </w:r>
      <w:r>
        <w:rPr>
          <w:caps w:val="false"/>
          <w:smallCaps w:val="false"/>
          <w:sz w:val="20"/>
        </w:rPr>
        <w:t xml:space="preserve">        </w:t>
      </w:r>
      <w:r>
        <w:rPr>
          <w:b w:val="false"/>
          <w:sz w:val="20"/>
        </w:rPr>
        <w:t>Upon each transfer or deferral of Shares in accordance with Sections 2(a), 2(b) and 2(c) of this Agreement, a number of Earned PSUs equal to the number of Shares transferred to the Participant or deferred shall be extinguished.</w:t>
      </w:r>
    </w:p>
    <w:p>
      <w:pPr>
        <w:pStyle w:val="TextBody"/>
        <w:bidi w:val="0"/>
        <w:spacing w:before="0" w:after="200"/>
        <w:ind w:left="0" w:right="0" w:firstLine="1890"/>
        <w:jc w:val="both"/>
        <w:rPr>
          <w:sz w:val="20"/>
        </w:rPr>
      </w:pPr>
      <w:r>
        <w:rPr>
          <w:sz w:val="20"/>
        </w:rPr>
        <w:t>(e)</w:t>
      </w:r>
      <w:r>
        <w:rPr>
          <w:caps w:val="false"/>
          <w:smallCaps w:val="false"/>
          <w:sz w:val="20"/>
        </w:rPr>
        <w:t xml:space="preserve">        </w:t>
      </w:r>
      <w:r>
        <w:rPr>
          <w:sz w:val="20"/>
        </w:rPr>
        <w:t>Notwithstanding Sections 2(a), 2(b) and 2(c) of this Agreement, upon the Participant's termination of employment for any reason other than (i) death, Disability or Retirement or (ii) under the circumstances described in clause (f) below, any unvested PSUs (including, without limitation, any Earned PSUs) shall immediately terminate for no further consideration.</w:t>
      </w:r>
    </w:p>
    <w:p>
      <w:pPr>
        <w:pStyle w:val="TextBody"/>
        <w:bidi w:val="0"/>
        <w:spacing w:before="0" w:after="200"/>
        <w:ind w:left="0" w:right="0" w:firstLine="1890"/>
        <w:jc w:val="both"/>
        <w:rPr>
          <w:sz w:val="20"/>
        </w:rPr>
      </w:pPr>
      <w:r>
        <w:rPr>
          <w:sz w:val="20"/>
        </w:rPr>
        <w:t>(f)</w:t>
      </w:r>
      <w:r>
        <w:rPr>
          <w:caps w:val="false"/>
          <w:smallCaps w:val="false"/>
          <w:sz w:val="20"/>
        </w:rPr>
        <w:t xml:space="preserve">         </w:t>
      </w:r>
      <w:r>
        <w:rPr>
          <w:sz w:val="20"/>
          <w:u w:val="single"/>
        </w:rPr>
        <w:t>Termination without Cause or for Good Reason within Two Years Following a Change in Control</w:t>
      </w:r>
      <w:r>
        <w:rPr>
          <w:sz w:val="20"/>
        </w:rPr>
        <w:t>.  In the event of the Participant's Qualifying Termination or involuntary termination of employment with the Company or a subsidiary thereof without "Cause" or for "Good Reason", in each case, within two years following a Change in Control, the Earned PSUs, to the extent not previously vested and settled, shall immediately become fully vested and settled in Shares.  For purposes of this Agreement, "Cause" shall mean the occurrence of any of the following: (a) the willful and continued failure of the Participant to perform substantially all of his or her duties with the Company (other than any such failure resulting from incapacity due to physical or mental illness) for a period of 10 days following a written demand for substantial performance that is delivered to such Participant by the Company, which specifically identifies the manner in which the Company believes the Participant has not substantially performed his or her duties; (b) dishonesty in the performance of the Participant's duties with the Company; (c) the Participant's conviction of, or plea of guilty or nolo contendere to, a crime under the laws of the United States or any state thereof constituting a felony or a misdemeanor involving moral turpitude; (d) the Participant's willful malfeasance or willful misconduct in connection with the Participant's duties with the Company or any act or omission which is injurious to the financial condition or business reputation of the Company or its affiliates; or (e) the Participant's breach of the provisions of Section 11 of this Agreement.  For purposes of this Agreement, "Good Reason" shall mean the occurrence of any of the following, without the Participant's express written consent:  (a) any material diminution in the Participant's duties, titles or responsibilities with the Company from those in effect immediately prior to a Change in Control or (b) any reduction in the Participant's annual base salary or any material reduction in the Participant's annual bonus opportunity, annual equity awards or long-term incentive program awards from the Participant's annual base salary or annual bonus opportunity, annual equity awards or long-term incentive program awards in effect immediately prior to a Change in Control.  Notwithstanding the foregoing, no event shall constitute Good Reason unless the Participant provides the Company with written notice of such event within 60 days after the occurrence thereof and the Company fails to cure or resolve the behavior otherwise constituting Good Reason within 30 days of its receipt of such notice.</w:t>
      </w:r>
    </w:p>
    <w:p>
      <w:pPr>
        <w:pStyle w:val="TextBody"/>
        <w:bidi w:val="0"/>
        <w:spacing w:before="0" w:after="200"/>
        <w:ind w:left="0" w:right="0" w:firstLine="1890"/>
        <w:jc w:val="both"/>
        <w:rPr>
          <w:sz w:val="20"/>
        </w:rPr>
      </w:pPr>
      <w:r>
        <w:rPr>
          <w:sz w:val="20"/>
        </w:rPr>
        <w:t>(g)</w:t>
      </w:r>
      <w:r>
        <w:rPr>
          <w:caps w:val="false"/>
          <w:smallCaps w:val="false"/>
          <w:sz w:val="20"/>
        </w:rPr>
        <w:t xml:space="preserve">       </w:t>
      </w:r>
      <w:r>
        <w:rPr>
          <w:sz w:val="20"/>
        </w:rPr>
        <w:t>Any portion of the PSUs granted pursuant to this Agreement which do not become Earned PSUs in accordance with Exhibit A hereto shall be forfeited for no further consideration.</w:t>
      </w:r>
    </w:p>
    <w:p>
      <w:pPr>
        <w:pStyle w:val="TextBody"/>
        <w:bidi w:val="0"/>
        <w:spacing w:before="0" w:after="200"/>
        <w:ind w:left="0" w:right="0" w:firstLine="1440"/>
        <w:jc w:val="both"/>
        <w:rPr>
          <w:sz w:val="20"/>
        </w:rPr>
      </w:pPr>
      <w:r>
        <w:rPr>
          <w:sz w:val="20"/>
        </w:rPr>
        <w:t>3.</w:t>
      </w:r>
      <w:r>
        <w:rPr>
          <w:caps w:val="false"/>
          <w:smallCaps w:val="false"/>
          <w:sz w:val="20"/>
        </w:rPr>
        <w:t xml:space="preserve">          </w:t>
      </w:r>
      <w:r>
        <w:rPr>
          <w:sz w:val="20"/>
          <w:u w:val="single"/>
        </w:rPr>
        <w:t>Dividends</w:t>
      </w:r>
      <w:r>
        <w:rPr>
          <w:sz w:val="20"/>
        </w:rPr>
        <w:t>.  If on any date while PSUs are outstanding hereunder the Company shall pay any dividend on the Shares (other than a dividend payable in Shares), the number of PSUs granted to the Participant shall, as of such dividend payment date, be increased by a number of PSUs equal to: (a) the product of (x) the number of PSUs held by the Participant as of the related dividend record date, multiplied by (y) the per Share amount of any cash dividend (or, in the case of any dividend payable in whole or in part other than in cash, the per Share value of such dividend, as determined in good faith by the Committee), divided by (b) the Fair Market Value of a Share on the payment date of such dividend.  In the case of any dividend declared on Shares that is payable in the form of Shares, the number of PSUs granted to the Participant shall be increased by a number equal to the product of (a) the PSUs that are held by the Participant on the related dividend record date, multiplied by (b) the number of Shares (including any fraction thereof) payable as a dividend on a Share.  Any PSUs attributable to dividends under this Section 3 shall be subject to the vesting provisions provided in Section 2 and the performance conditions set forth in Exhibit A.</w:t>
      </w:r>
    </w:p>
    <w:p>
      <w:pPr>
        <w:pStyle w:val="TextBody"/>
        <w:bidi w:val="0"/>
        <w:spacing w:before="0" w:after="200"/>
        <w:ind w:left="0" w:right="0" w:firstLine="1440"/>
        <w:jc w:val="both"/>
        <w:rPr>
          <w:sz w:val="20"/>
        </w:rPr>
      </w:pPr>
      <w:r>
        <w:rPr>
          <w:sz w:val="20"/>
        </w:rPr>
        <w:t>4.</w:t>
      </w:r>
      <w:r>
        <w:rPr>
          <w:caps w:val="false"/>
          <w:smallCaps w:val="false"/>
          <w:sz w:val="20"/>
        </w:rPr>
        <w:t xml:space="preserve">          </w:t>
      </w:r>
      <w:r>
        <w:rPr>
          <w:sz w:val="20"/>
          <w:u w:val="single"/>
        </w:rPr>
        <w:t>Adjustments Upon Certain Events</w:t>
      </w:r>
      <w:r>
        <w:rPr>
          <w:sz w:val="20"/>
        </w:rPr>
        <w:t>.  Subject to the terms of the Plan, in the event of any change in the outstanding Shares by reason of any Share dividend or split, reorganization, recapitalization, merger, consolidation, amalgamation, spin-off or combination transaction or exchange of Shares or other similar events (collectively, an "Adjustment Event"), the Committee shall, in its sole discretion, make an appropriate and equitable adjustment in the number of PSUs subject to this Agreement to reflect such Adjustment Event.  Any such adjustment made by the Committee shall be final and binding upon the Participant, the Company and all other interested persons.</w:t>
      </w:r>
    </w:p>
    <w:p>
      <w:pPr>
        <w:pStyle w:val="TextBody"/>
        <w:bidi w:val="0"/>
        <w:spacing w:before="0" w:after="200"/>
        <w:ind w:left="0" w:right="0" w:firstLine="1440"/>
        <w:jc w:val="both"/>
        <w:rPr>
          <w:sz w:val="20"/>
        </w:rPr>
      </w:pPr>
      <w:r>
        <w:rPr>
          <w:sz w:val="20"/>
        </w:rPr>
        <w:t>5.</w:t>
      </w:r>
      <w:r>
        <w:rPr>
          <w:caps w:val="false"/>
          <w:smallCaps w:val="false"/>
          <w:sz w:val="20"/>
        </w:rPr>
        <w:t xml:space="preserve">          </w:t>
      </w:r>
      <w:r>
        <w:rPr>
          <w:sz w:val="20"/>
          <w:u w:val="single"/>
        </w:rPr>
        <w:t>No Right to Continued Employment</w:t>
      </w:r>
      <w:r>
        <w:rPr>
          <w:sz w:val="20"/>
        </w:rPr>
        <w:t>.  Neither the Plan nor this Agreement shall be construed as giving the Participant the right to be retained in the employ of, or in any consulting relationship to, the Company or any Affiliate.  Further, the Company or an Affiliate may at any time dismiss the Participant, free from any liability or any claim under the Plan or this Agreement, except as otherwise expressly provided herein.</w:t>
      </w:r>
    </w:p>
    <w:p>
      <w:pPr>
        <w:pStyle w:val="TextBody"/>
        <w:bidi w:val="0"/>
        <w:spacing w:before="0" w:after="200"/>
        <w:ind w:left="0" w:right="0" w:firstLine="1440"/>
        <w:jc w:val="both"/>
        <w:rPr>
          <w:sz w:val="20"/>
        </w:rPr>
      </w:pPr>
      <w:r>
        <w:rPr>
          <w:sz w:val="20"/>
        </w:rPr>
        <w:t>6.</w:t>
      </w:r>
      <w:r>
        <w:rPr>
          <w:caps w:val="false"/>
          <w:smallCaps w:val="false"/>
          <w:sz w:val="20"/>
        </w:rPr>
        <w:t xml:space="preserve">          </w:t>
      </w:r>
      <w:r>
        <w:rPr>
          <w:sz w:val="20"/>
          <w:u w:val="single"/>
        </w:rPr>
        <w:t>No Acquired Rights</w:t>
      </w:r>
      <w:r>
        <w:rPr>
          <w:sz w:val="20"/>
        </w:rPr>
        <w:t>.  In participating in the Plan, the Participant acknowledges and accepts that the Board has the power to amend or terminate the Plan, to the extent permitted thereunder, at any time and that the opportunity given to the Participant to participate in the Plan is entirely at the discretion of the Committee and does not obligate the Company or any of its Affiliates to offer such participation in the future (whether on the same or different terms).  The Participant further acknowledges and accepts that such Participant's participation in the Plan is not to be considered part of any normal or expected compensation and that the termination of the Participant's employment under any circumstances whatsoever will give the Participant no claim or right of action against the Company or its Affiliates in respect of any loss of rights under this Agreement or the Plan that may arise as a result of such termination of employment.</w:t>
      </w:r>
    </w:p>
    <w:p>
      <w:pPr>
        <w:pStyle w:val="TextBody"/>
        <w:bidi w:val="0"/>
        <w:spacing w:before="0" w:after="0"/>
        <w:ind w:left="0" w:right="0" w:firstLine="1440"/>
        <w:jc w:val="both"/>
        <w:rPr>
          <w:sz w:val="20"/>
        </w:rPr>
      </w:pPr>
      <w:r>
        <w:rPr>
          <w:sz w:val="20"/>
        </w:rPr>
        <w:t>7.</w:t>
      </w:r>
      <w:r>
        <w:rPr>
          <w:caps w:val="false"/>
          <w:smallCaps w:val="false"/>
          <w:sz w:val="20"/>
        </w:rPr>
        <w:t xml:space="preserve">          </w:t>
      </w:r>
      <w:r>
        <w:rPr>
          <w:sz w:val="20"/>
          <w:u w:val="single"/>
        </w:rPr>
        <w:t>No Rights of a Shareholder</w:t>
      </w:r>
      <w:r>
        <w:rPr>
          <w:sz w:val="20"/>
        </w:rPr>
        <w:t>.  The Participant shall not have any rights or privileges as a shareholder of the Company until the Shares in question have been registered in the Company's register of shareholders.</w:t>
      </w:r>
    </w:p>
    <w:p>
      <w:pPr>
        <w:pStyle w:val="TextBody"/>
        <w:bidi w:val="0"/>
        <w:spacing w:before="0" w:after="0"/>
        <w:jc w:val="left"/>
        <w:rPr/>
      </w:pPr>
      <w:r>
        <w:rPr/>
        <w:t> </w:t>
      </w:r>
    </w:p>
    <w:p>
      <w:pPr>
        <w:pStyle w:val="TextBody"/>
        <w:bidi w:val="0"/>
        <w:spacing w:before="0" w:after="0"/>
        <w:jc w:val="center"/>
        <w:rPr>
          <w:sz w:val="20"/>
        </w:rPr>
      </w:pPr>
      <w:r>
        <w:rPr>
          <w:sz w:val="20"/>
        </w:rPr>
        <w:t>2</w:t>
      </w:r>
    </w:p>
    <w:p>
      <w:pPr>
        <w:pStyle w:val="HorizontalLine"/>
        <w:pBdr>
          <w:bottom w:val="double" w:sz="2" w:space="0" w:color="808080"/>
        </w:pBdr>
        <w:bidi w:val="0"/>
        <w:jc w:val="center"/>
        <w:rPr/>
      </w:pPr>
      <w:r>
        <w:rPr/>
      </w:r>
    </w:p>
    <w:p>
      <w:pPr>
        <w:pStyle w:val="Heading1"/>
        <w:bidi w:val="0"/>
        <w:spacing w:before="0" w:after="200"/>
        <w:ind w:left="0" w:right="0" w:firstLine="1440"/>
        <w:jc w:val="both"/>
        <w:rPr>
          <w:sz w:val="20"/>
        </w:rPr>
      </w:pPr>
      <w:r>
        <w:rPr>
          <w:b w:val="false"/>
          <w:sz w:val="20"/>
        </w:rPr>
        <w:t>8.</w:t>
      </w:r>
      <w:r>
        <w:rPr>
          <w:caps w:val="false"/>
          <w:smallCaps w:val="false"/>
          <w:sz w:val="20"/>
        </w:rPr>
        <w:t xml:space="preserve">          </w:t>
      </w:r>
      <w:r>
        <w:rPr>
          <w:b w:val="false"/>
          <w:sz w:val="20"/>
          <w:u w:val="single"/>
        </w:rPr>
        <w:t>Legend on Certificates</w:t>
      </w:r>
      <w:r>
        <w:rPr>
          <w:b w:val="false"/>
          <w:sz w:val="20"/>
        </w:rPr>
        <w:t>.</w:t>
      </w:r>
      <w:r>
        <w:rPr>
          <w:sz w:val="20"/>
        </w:rPr>
        <w:t xml:space="preserve">  </w:t>
      </w:r>
      <w:r>
        <w:rPr>
          <w:b w:val="false"/>
          <w:sz w:val="20"/>
        </w:rPr>
        <w:t>Any Shares issued or transferred to the Participant pursuant to Section 2 of this Agreement shall be subject to such stop transfer orders and other restrictions as the Committee may deem advisable under the Plan or the rules, regulations, and other requirements of the Securities and Exchange Commission, any stock exchange upon which such Shares are listed, and any applicable Federal or state laws or relevant securities laws of the jurisdiction of the domicile of the Participant, and the Committee may cause a legend or legends to be put on any certificates representing such Shares to make appropriate reference to such restrictions.</w:t>
      </w:r>
      <w:r>
        <w:rPr>
          <w:sz w:val="20"/>
        </w:rPr>
        <w:t xml:space="preserve">  </w:t>
      </w:r>
      <w:r>
        <w:rPr>
          <w:b w:val="false"/>
          <w:sz w:val="20"/>
        </w:rPr>
        <w:t>Whenever reference in this Agreement is made to the issuance or delivery of certificates representing Shares, the Company may elect to issue or deliver such Shares in book entry form in lieu of certificates.</w:t>
      </w:r>
    </w:p>
    <w:p>
      <w:pPr>
        <w:pStyle w:val="TextBody"/>
        <w:bidi w:val="0"/>
        <w:spacing w:before="0" w:after="200"/>
        <w:ind w:left="0" w:right="0" w:firstLine="1440"/>
        <w:jc w:val="both"/>
        <w:rPr>
          <w:sz w:val="20"/>
        </w:rPr>
      </w:pPr>
      <w:r>
        <w:rPr>
          <w:sz w:val="20"/>
        </w:rPr>
        <w:t>9.</w:t>
      </w:r>
      <w:r>
        <w:rPr>
          <w:caps w:val="false"/>
          <w:smallCaps w:val="false"/>
          <w:sz w:val="20"/>
        </w:rPr>
        <w:t xml:space="preserve">          </w:t>
      </w:r>
      <w:r>
        <w:rPr>
          <w:sz w:val="20"/>
          <w:u w:val="single"/>
        </w:rPr>
        <w:t>Transferability</w:t>
      </w:r>
      <w:r>
        <w:rPr>
          <w:sz w:val="20"/>
        </w:rPr>
        <w:t>.  PSUs may not be assigned, alienated, pledged, attached, sold or otherwise transferred or encumbered by the Participant otherwise than by will or by the laws of descent and distribution, and any purported assignment, alienation, pledge, attachment, sale, transfer or encumbrance not permitted by this Section 9 shall be void and unenforceable against the Company or any Affiliate.</w:t>
      </w:r>
    </w:p>
    <w:p>
      <w:pPr>
        <w:pStyle w:val="TextBody"/>
        <w:bidi w:val="0"/>
        <w:spacing w:before="0" w:after="200"/>
        <w:ind w:left="0" w:right="0" w:firstLine="1440"/>
        <w:jc w:val="both"/>
        <w:rPr>
          <w:sz w:val="20"/>
        </w:rPr>
      </w:pPr>
      <w:r>
        <w:rPr>
          <w:sz w:val="20"/>
        </w:rPr>
        <w:t>10.</w:t>
      </w:r>
      <w:r>
        <w:rPr>
          <w:caps w:val="false"/>
          <w:smallCaps w:val="false"/>
          <w:sz w:val="20"/>
        </w:rPr>
        <w:t xml:space="preserve">       </w:t>
      </w:r>
      <w:r>
        <w:rPr>
          <w:sz w:val="20"/>
          <w:u w:val="single"/>
        </w:rPr>
        <w:t>Withholding</w:t>
      </w:r>
      <w:r>
        <w:rPr>
          <w:sz w:val="20"/>
        </w:rPr>
        <w:t>.  The Participant may be required to pay to the Company or any Affiliate and the Company or any Affiliate shall have the right and is hereby authorized to withhold from any transfer due under this Agreement or under the Plan or from any compensation or other amount owing to the Participant, applicable withholding taxes with respect to any transfer under this Agreement or under the Plan and to take such action as may be necessary in the opinion of the Company to satisfy all obligations for the payment of such taxes.</w:t>
      </w:r>
    </w:p>
    <w:p>
      <w:pPr>
        <w:pStyle w:val="TextBody"/>
        <w:bidi w:val="0"/>
        <w:spacing w:before="0" w:after="240"/>
        <w:ind w:left="0" w:right="0" w:firstLine="1440"/>
        <w:jc w:val="left"/>
        <w:rPr>
          <w:sz w:val="20"/>
        </w:rPr>
      </w:pPr>
      <w:r>
        <w:rPr>
          <w:b/>
          <w:sz w:val="20"/>
        </w:rPr>
        <w:t>11.</w:t>
      </w:r>
      <w:r>
        <w:rPr>
          <w:sz w:val="20"/>
        </w:rPr>
        <w:t>   </w:t>
      </w:r>
      <w:r>
        <w:rPr>
          <w:b/>
          <w:sz w:val="20"/>
          <w:u w:val="single"/>
        </w:rPr>
        <w:t>Non-Solicitation Covenants.</w:t>
      </w:r>
    </w:p>
    <w:p>
      <w:pPr>
        <w:pStyle w:val="TextBody"/>
        <w:bidi w:val="0"/>
        <w:spacing w:before="0" w:after="200"/>
        <w:ind w:left="0" w:right="0" w:firstLine="1890"/>
        <w:jc w:val="both"/>
        <w:rPr>
          <w:sz w:val="20"/>
        </w:rPr>
      </w:pPr>
      <w:r>
        <w:rPr>
          <w:b/>
          <w:sz w:val="20"/>
        </w:rPr>
        <w:t>(a)</w:t>
      </w:r>
      <w:r>
        <w:rPr>
          <w:caps w:val="false"/>
          <w:smallCaps w:val="false"/>
          <w:sz w:val="20"/>
        </w:rPr>
        <w:t xml:space="preserve">       </w:t>
      </w:r>
      <w:r>
        <w:rPr>
          <w:b/>
          <w:sz w:val="20"/>
        </w:rPr>
        <w:t>The Participant acknowledges and agrees that, during the Participant's employment with the Company and its Affiliates and upon the Participant's termination of Employment with the Company and its Affiliates for any reason, for a period commencing on the termination of such Employment and ending on the second anniversary of such termination, the Participant shall not, whether on Participant's own behalf or on behalf of or in conjunction with any person, company, business entity or other organization whatsoever, directly or indirectly:</w:t>
      </w:r>
    </w:p>
    <w:p>
      <w:pPr>
        <w:pStyle w:val="TextBody"/>
        <w:bidi w:val="0"/>
        <w:spacing w:before="0" w:after="200"/>
        <w:ind w:left="0" w:right="0" w:firstLine="2340"/>
        <w:jc w:val="both"/>
        <w:rPr>
          <w:sz w:val="20"/>
        </w:rPr>
      </w:pPr>
      <w:r>
        <w:rPr>
          <w:b/>
          <w:sz w:val="20"/>
        </w:rPr>
        <w:t>(i)</w:t>
      </w:r>
      <w:r>
        <w:rPr>
          <w:caps w:val="false"/>
          <w:smallCaps w:val="false"/>
          <w:sz w:val="20"/>
        </w:rPr>
        <w:t xml:space="preserve">            </w:t>
      </w:r>
      <w:r>
        <w:rPr>
          <w:b/>
          <w:sz w:val="20"/>
        </w:rPr>
        <w:t>solicit any employee of the Company or its Affiliates with whom the Participant had any contact during the last two years of the Participant's employment, or who worked in the same business segment or division as the Participant during that period to terminate employment with the Company or its Affiliates;</w:t>
      </w:r>
    </w:p>
    <w:p>
      <w:pPr>
        <w:pStyle w:val="TextBody"/>
        <w:bidi w:val="0"/>
        <w:spacing w:before="0" w:after="200"/>
        <w:ind w:left="0" w:right="0" w:firstLine="2340"/>
        <w:jc w:val="both"/>
        <w:rPr>
          <w:sz w:val="20"/>
        </w:rPr>
      </w:pPr>
      <w:r>
        <w:rPr>
          <w:b/>
          <w:sz w:val="20"/>
        </w:rPr>
        <w:t>(ii)</w:t>
      </w:r>
      <w:r>
        <w:rPr>
          <w:caps w:val="false"/>
          <w:smallCaps w:val="false"/>
          <w:sz w:val="20"/>
        </w:rPr>
        <w:t xml:space="preserve">          </w:t>
      </w:r>
      <w:r>
        <w:rPr>
          <w:b/>
          <w:sz w:val="20"/>
        </w:rPr>
        <w:t>solicit the employment or services of, or hire, any such employee whose employment with the Company or its Affiliates terminated coincident with, or within twelve (12) months prior to or after the termination of Participant's employment with the Company and its Affiliates;</w:t>
      </w:r>
    </w:p>
    <w:p>
      <w:pPr>
        <w:pStyle w:val="TextBody"/>
        <w:bidi w:val="0"/>
        <w:spacing w:before="0" w:after="200"/>
        <w:ind w:left="0" w:right="0" w:firstLine="2340"/>
        <w:jc w:val="both"/>
        <w:rPr>
          <w:sz w:val="20"/>
        </w:rPr>
      </w:pPr>
      <w:r>
        <w:rPr>
          <w:b/>
          <w:sz w:val="20"/>
        </w:rPr>
        <w:t>(iii)</w:t>
      </w:r>
      <w:r>
        <w:rPr>
          <w:caps w:val="false"/>
          <w:smallCaps w:val="false"/>
          <w:sz w:val="20"/>
        </w:rPr>
        <w:t xml:space="preserve">        </w:t>
      </w:r>
      <w:r>
        <w:rPr>
          <w:b/>
          <w:sz w:val="20"/>
        </w:rPr>
        <w:t>directly or indirectly, solicit to cease to work with the Company or its Affiliates any consultant then under contract with the Company or its Affiliates.</w:t>
      </w:r>
    </w:p>
    <w:p>
      <w:pPr>
        <w:pStyle w:val="TextBody"/>
        <w:bidi w:val="0"/>
        <w:spacing w:before="0" w:after="200"/>
        <w:ind w:left="0" w:right="0" w:firstLine="1890"/>
        <w:jc w:val="both"/>
        <w:rPr>
          <w:sz w:val="20"/>
        </w:rPr>
      </w:pPr>
      <w:r>
        <w:rPr>
          <w:b/>
          <w:sz w:val="20"/>
        </w:rPr>
        <w:t>(b)</w:t>
      </w:r>
      <w:r>
        <w:rPr>
          <w:caps w:val="false"/>
          <w:smallCaps w:val="false"/>
          <w:sz w:val="20"/>
        </w:rPr>
        <w:t xml:space="preserve">       </w:t>
      </w:r>
      <w:r>
        <w:rPr>
          <w:b/>
          <w:sz w:val="20"/>
        </w:rPr>
        <w:t>It is expressly understood and agreed that although the Participant and the Company consider the restrictions contained in this Section 11 to be reasonable, if a final judicial determination is made by a court of competent jurisdiction that the time or any other restriction contained in this Agreement is an unenforceable restriction against the Participant, the provisions of this Agreement shall not be rendered void but shall be deemed amended to apply as to such maximum time and terri</w:t>
        <w:softHyphen/>
        <w:t>tory and to such maximum extent as such court may judicially determine or indicate to be enforceable.</w:t>
      </w:r>
      <w:r>
        <w:rPr>
          <w:sz w:val="20"/>
        </w:rPr>
        <w:t xml:space="preserve">  </w:t>
      </w:r>
      <w:r>
        <w:rPr>
          <w:b/>
          <w:sz w:val="20"/>
        </w:rPr>
        <w:t>Alternatively, if any court of competent jurisdiction finds that any restric</w:t>
        <w:softHyphen/>
        <w:t>tion contained in this Agreement is unenforceable, and such restriction cannot be amended so as to make it enforceable, such finding shall not affect the enforceability of any of the other restrictions contained herein.</w:t>
      </w:r>
    </w:p>
    <w:p>
      <w:pPr>
        <w:pStyle w:val="TextBody"/>
        <w:bidi w:val="0"/>
        <w:spacing w:before="0" w:after="240"/>
        <w:ind w:left="144" w:right="0" w:firstLine="1440"/>
        <w:jc w:val="both"/>
        <w:rPr>
          <w:sz w:val="20"/>
        </w:rPr>
      </w:pPr>
      <w:r>
        <w:rPr>
          <w:b/>
          <w:sz w:val="20"/>
        </w:rPr>
        <w:t xml:space="preserve">12. </w:t>
      </w:r>
      <w:r>
        <w:rPr>
          <w:sz w:val="20"/>
        </w:rPr>
        <w:t xml:space="preserve">  </w:t>
      </w:r>
      <w:r>
        <w:rPr>
          <w:b/>
          <w:sz w:val="20"/>
          <w:u w:val="single"/>
        </w:rPr>
        <w:t>Specific Performance</w:t>
      </w:r>
      <w:r>
        <w:rPr>
          <w:b/>
          <w:sz w:val="20"/>
        </w:rPr>
        <w:t>. The Participant acknowledges and agrees that the Company's remedies at law for a breach or threatened breach of any of the provisions of Section 11 would be inadequate and the Company would suffer irreparable damages as a result of such breach or threatened breach.</w:t>
      </w:r>
      <w:r>
        <w:rPr>
          <w:sz w:val="20"/>
        </w:rPr>
        <w:t xml:space="preserve">  </w:t>
      </w:r>
      <w:r>
        <w:rPr>
          <w:b/>
          <w:sz w:val="20"/>
        </w:rPr>
        <w:t>In recognition of this fact, the Participant agrees that, in the event of such a breach or threatened breach, in addition to any remedies at law, the Company, without posting any bond, shall be entitled to cease making any payments or providing any benefit otherwise required by this Agreement and obtain equitable relief in the form of specific performance, temporary restraining order, temporary or permanent injunction or any other equitable remedy which may then be available.</w:t>
      </w:r>
    </w:p>
    <w:p>
      <w:pPr>
        <w:pStyle w:val="TextBody"/>
        <w:bidi w:val="0"/>
        <w:spacing w:before="0" w:after="240"/>
        <w:ind w:left="144" w:right="0" w:firstLine="1440"/>
        <w:jc w:val="both"/>
        <w:rPr>
          <w:sz w:val="20"/>
        </w:rPr>
      </w:pPr>
      <w:r>
        <w:rPr>
          <w:b/>
          <w:sz w:val="20"/>
        </w:rPr>
        <w:t xml:space="preserve">13. </w:t>
      </w:r>
      <w:r>
        <w:rPr>
          <w:b/>
          <w:sz w:val="20"/>
          <w:u w:val="single"/>
        </w:rPr>
        <w:t>Choice of Law</w:t>
      </w:r>
      <w:r>
        <w:rPr>
          <w:b/>
          <w:sz w:val="20"/>
        </w:rPr>
        <w:t>.</w:t>
      </w:r>
      <w:r>
        <w:rPr>
          <w:sz w:val="20"/>
        </w:rPr>
        <w:t xml:space="preserve">  </w:t>
      </w:r>
      <w:r>
        <w:rPr>
          <w:b/>
          <w:sz w:val="20"/>
        </w:rPr>
        <w:t>THE INTERPRETATION, PERFORMANCE AND ENFORCEMENT OF THIS AGREEMENT SHALL BE GOVERNED BY THE LAWS OF THE STATE OF DELAWARE WITHOUT REGARD TO PRINCIPLES OF CONFLICTS OF LAW.</w:t>
      </w:r>
    </w:p>
    <w:p>
      <w:pPr>
        <w:pStyle w:val="TextBody"/>
        <w:bidi w:val="0"/>
        <w:spacing w:before="0" w:after="240"/>
        <w:ind w:left="144" w:right="0" w:firstLine="1440"/>
        <w:jc w:val="both"/>
        <w:rPr>
          <w:sz w:val="20"/>
        </w:rPr>
      </w:pPr>
      <w:r>
        <w:rPr>
          <w:sz w:val="20"/>
        </w:rPr>
        <w:t xml:space="preserve">14.  </w:t>
      </w:r>
      <w:r>
        <w:rPr>
          <w:sz w:val="20"/>
          <w:u w:val="single"/>
        </w:rPr>
        <w:t>RSUs Subject to Plan</w:t>
      </w:r>
      <w:r>
        <w:rPr>
          <w:sz w:val="20"/>
        </w:rPr>
        <w:t>.  By entering into this Agreement, the Participant agrees and acknowledges that the Participant has received and read a copy of the Plan.  All PSUs are subject to the Plan.  In the event of a conflict between any term or provision contained herein and a term or provision of the Plan, the applicable terms and provisions of the Plan will govern and prevail.</w:t>
      </w:r>
    </w:p>
    <w:p>
      <w:pPr>
        <w:pStyle w:val="TextBody"/>
        <w:bidi w:val="0"/>
        <w:spacing w:before="0" w:after="0"/>
        <w:jc w:val="left"/>
        <w:rPr/>
      </w:pPr>
      <w:r>
        <w:rPr/>
        <w:t> </w:t>
      </w:r>
    </w:p>
    <w:p>
      <w:pPr>
        <w:pStyle w:val="TextBody"/>
        <w:bidi w:val="0"/>
        <w:spacing w:before="0" w:after="0"/>
        <w:jc w:val="center"/>
        <w:rPr>
          <w:sz w:val="20"/>
        </w:rPr>
      </w:pPr>
      <w:r>
        <w:rPr>
          <w:sz w:val="20"/>
        </w:rPr>
        <w:t>3</w:t>
      </w:r>
    </w:p>
    <w:p>
      <w:pPr>
        <w:pStyle w:val="HorizontalLine"/>
        <w:pBdr>
          <w:bottom w:val="double" w:sz="2" w:space="0" w:color="808080"/>
        </w:pBdr>
        <w:bidi w:val="0"/>
        <w:jc w:val="center"/>
        <w:rPr/>
      </w:pPr>
      <w:r>
        <w:rPr/>
      </w:r>
    </w:p>
    <w:p>
      <w:pPr>
        <w:pStyle w:val="Heading1"/>
        <w:bidi w:val="0"/>
        <w:spacing w:before="0" w:after="200"/>
        <w:ind w:left="0" w:right="0" w:firstLine="1440"/>
        <w:jc w:val="both"/>
        <w:rPr>
          <w:sz w:val="20"/>
        </w:rPr>
      </w:pPr>
      <w:r>
        <w:rPr>
          <w:b w:val="false"/>
          <w:sz w:val="20"/>
        </w:rPr>
        <w:t>15.</w:t>
      </w:r>
      <w:r>
        <w:rPr>
          <w:caps w:val="false"/>
          <w:smallCaps w:val="false"/>
          <w:sz w:val="20"/>
        </w:rPr>
        <w:t xml:space="preserve">       </w:t>
      </w:r>
      <w:r>
        <w:rPr>
          <w:b w:val="false"/>
          <w:sz w:val="20"/>
          <w:u w:val="single"/>
        </w:rPr>
        <w:t>Signature in Counterparts</w:t>
      </w:r>
      <w:r>
        <w:rPr>
          <w:b w:val="false"/>
          <w:sz w:val="20"/>
        </w:rPr>
        <w:t>.</w:t>
      </w:r>
      <w:r>
        <w:rPr>
          <w:sz w:val="20"/>
        </w:rPr>
        <w:t xml:space="preserve">  </w:t>
      </w:r>
      <w:r>
        <w:rPr>
          <w:b w:val="false"/>
          <w:sz w:val="20"/>
        </w:rPr>
        <w:t>This Agreement may be signed in counterparts, each of which shall be an original, with the same effect as if the signatures thereto and hereto were upon the same instrument.</w:t>
      </w:r>
    </w:p>
    <w:p>
      <w:pPr>
        <w:pStyle w:val="TextBody"/>
        <w:bidi w:val="0"/>
        <w:spacing w:before="0" w:after="200"/>
        <w:ind w:left="0" w:right="0" w:firstLine="1440"/>
        <w:jc w:val="both"/>
        <w:rPr>
          <w:sz w:val="20"/>
        </w:rPr>
      </w:pPr>
      <w:r>
        <w:rPr>
          <w:sz w:val="20"/>
        </w:rPr>
        <w:t>16.</w:t>
      </w:r>
      <w:r>
        <w:rPr>
          <w:caps w:val="false"/>
          <w:smallCaps w:val="false"/>
          <w:sz w:val="20"/>
        </w:rPr>
        <w:t xml:space="preserve">       </w:t>
      </w:r>
      <w:r>
        <w:rPr>
          <w:sz w:val="20"/>
          <w:u w:val="single"/>
        </w:rPr>
        <w:t>409A</w:t>
      </w:r>
      <w:r>
        <w:rPr>
          <w:sz w:val="20"/>
        </w:rPr>
        <w:t>.  Notwithstanding any other provisions of this Agreement or the Plan, the PSUs covered by this Agreement shall not be deferred, accelerated, extended, paid out or modified in a manner that would result in the imposition of an additional tax under Section 409A of the Code upon the Participant.  In the event it is reasonably determined by the Committee that, as a result of Section 409A of the Code, the transfer of Class A Shares under this Agreement may not be made at the time contemplated hereunder without causing the Participant to be subject to taxation under Section 409A of the Code (including due to the Participant's status as a "specified employee" within the meaning of Section 409A of the Code), the Company will make such payment on the first day that would not result in the Participant incurring any tax liability under Section 409A of the Code.</w:t>
      </w:r>
    </w:p>
    <w:p>
      <w:pPr>
        <w:pStyle w:val="TextBody"/>
        <w:bidi w:val="0"/>
        <w:spacing w:before="0" w:after="0"/>
        <w:ind w:left="0" w:right="0" w:firstLine="1440"/>
        <w:jc w:val="left"/>
        <w:rPr>
          <w:sz w:val="20"/>
        </w:rPr>
      </w:pPr>
      <w:r>
        <w:rPr>
          <w:sz w:val="20"/>
        </w:rPr>
        <w:t>IN WITNESS WHEREOF, the parties hereto have executed this Agreement.</w:t>
      </w:r>
    </w:p>
    <w:p>
      <w:pPr>
        <w:pStyle w:val="TextBody"/>
        <w:bidi w:val="0"/>
        <w:spacing w:before="0" w:after="0"/>
        <w:jc w:val="left"/>
        <w:rPr/>
      </w:pPr>
      <w:r>
        <w:rPr/>
        <w:t> </w:t>
      </w:r>
    </w:p>
    <w:tbl>
      <w:tblPr>
        <w:tblW w:w="3019" w:type="dxa"/>
        <w:jc w:val="left"/>
        <w:tblInd w:w="0" w:type="dxa"/>
        <w:tblLayout w:type="fixed"/>
        <w:tblCellMar>
          <w:top w:w="0" w:type="dxa"/>
          <w:left w:w="0" w:type="dxa"/>
          <w:bottom w:w="0" w:type="dxa"/>
          <w:right w:w="0" w:type="dxa"/>
        </w:tblCellMar>
      </w:tblPr>
      <w:tblGrid>
        <w:gridCol w:w="75"/>
        <w:gridCol w:w="2285"/>
        <w:gridCol w:w="659"/>
      </w:tblGrid>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0" w:after="0"/>
              <w:jc w:val="left"/>
              <w:rPr>
                <w:sz w:val="20"/>
              </w:rPr>
            </w:pPr>
            <w:r>
              <w:rPr>
                <w:sz w:val="20"/>
              </w:rPr>
              <w:t>HOVNANIAN ENTERPRISES, INC.</w:t>
            </w:r>
          </w:p>
        </w:tc>
      </w:tr>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sz w:val="20"/>
              </w:rPr>
            </w:pPr>
            <w:r>
              <w:rPr>
                <w:sz w:val="20"/>
              </w:rPr>
              <w:t>By:</w:t>
            </w:r>
          </w:p>
        </w:tc>
        <w:tc>
          <w:tcPr>
            <w:tcW w:w="659" w:type="dxa"/>
            <w:tcBorders>
              <w:bottom w:val="single" w:sz="6" w:space="0" w:color="000000"/>
            </w:tcBorders>
            <w:tcMar>
              <w:bottom w:w="28" w:type="dxa"/>
            </w:tcMar>
            <w:vAlign w:val="center"/>
          </w:tcPr>
          <w:p>
            <w:pPr>
              <w:pStyle w:val="TableContents"/>
              <w:widowControl w:val="false"/>
              <w:bidi w:val="0"/>
              <w:spacing w:before="0" w:after="6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top w:val="single" w:sz="6" w:space="0" w:color="000000"/>
            </w:tcBorders>
            <w:tcMar>
              <w:top w:w="28" w:type="dxa"/>
            </w:tcMar>
            <w:vAlign w:val="center"/>
          </w:tcPr>
          <w:p>
            <w:pPr>
              <w:pStyle w:val="TableContents"/>
              <w:widowControl w:val="false"/>
              <w:bidi w:val="0"/>
              <w:spacing w:before="2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120" w:after="0"/>
              <w:jc w:val="left"/>
              <w:rPr>
                <w:sz w:val="20"/>
              </w:rPr>
            </w:pPr>
            <w:r>
              <w:rPr>
                <w:sz w:val="20"/>
              </w:rPr>
              <w:t>PARTICIPANT</w:t>
            </w:r>
            <w:r>
              <w:rPr>
                <w:sz w:val="13"/>
              </w:rPr>
              <w:t>1</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sz w:val="20"/>
              </w:rPr>
            </w:pPr>
            <w:r>
              <w:rPr>
                <w:sz w:val="20"/>
              </w:rPr>
              <w:t>By:</w:t>
            </w:r>
          </w:p>
        </w:tc>
        <w:tc>
          <w:tcPr>
            <w:tcW w:w="659"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top w:val="single" w:sz="6" w:space="0" w:color="000000"/>
            </w:tcBorders>
            <w:tcMar>
              <w:top w:w="28" w:type="dxa"/>
            </w:tcMar>
            <w:vAlign w:val="center"/>
          </w:tcPr>
          <w:p>
            <w:pPr>
              <w:pStyle w:val="TableContents"/>
              <w:widowControl w:val="false"/>
              <w:bidi w:val="0"/>
              <w:spacing w:before="2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28" w:type="dxa"/>
          <w:right w:w="0" w:type="dxa"/>
        </w:tblCellMar>
      </w:tblPr>
      <w:tblGrid>
        <w:gridCol w:w="164"/>
        <w:gridCol w:w="4457"/>
        <w:gridCol w:w="5584"/>
      </w:tblGrid>
      <w:tr>
        <w:trPr/>
        <w:tc>
          <w:tcPr>
            <w:tcW w:w="164" w:type="dxa"/>
            <w:tcBorders>
              <w:bottom w:val="single" w:sz="6" w:space="0" w:color="000000"/>
            </w:tcBorders>
            <w:vAlign w:val="center"/>
          </w:tcPr>
          <w:p>
            <w:pPr>
              <w:pStyle w:val="TableContents"/>
              <w:widowControl w:val="false"/>
              <w:bidi w:val="0"/>
              <w:spacing w:before="0" w:after="0"/>
              <w:jc w:val="left"/>
              <w:rPr/>
            </w:pPr>
            <w:r>
              <w:rPr/>
              <w:t> </w:t>
            </w:r>
          </w:p>
        </w:tc>
        <w:tc>
          <w:tcPr>
            <w:tcW w:w="4457" w:type="dxa"/>
            <w:tcBorders>
              <w:bottom w:val="single" w:sz="6" w:space="0" w:color="000000"/>
            </w:tcBorders>
            <w:vAlign w:val="center"/>
          </w:tcPr>
          <w:p>
            <w:pPr>
              <w:pStyle w:val="TableContents"/>
              <w:widowControl w:val="false"/>
              <w:bidi w:val="0"/>
              <w:spacing w:before="0" w:after="0"/>
              <w:jc w:val="left"/>
              <w:rPr/>
            </w:pPr>
            <w:r>
              <w:rPr/>
              <w:t> </w:t>
            </w:r>
          </w:p>
        </w:tc>
        <w:tc>
          <w:tcPr>
            <w:tcW w:w="5584" w:type="dxa"/>
            <w:tcBorders/>
            <w:tcMar>
              <w:bottom w:w="0" w:type="dxa"/>
            </w:tcMar>
            <w:vAlign w:val="center"/>
          </w:tcPr>
          <w:p>
            <w:pPr>
              <w:pStyle w:val="TableContents"/>
              <w:widowControl w:val="false"/>
              <w:bidi w:val="0"/>
              <w:spacing w:before="0" w:after="0"/>
              <w:jc w:val="left"/>
              <w:rPr/>
            </w:pPr>
            <w:r>
              <w:rPr/>
              <w:t> </w:t>
            </w:r>
          </w:p>
        </w:tc>
      </w:tr>
      <w:tr>
        <w:trPr/>
        <w:tc>
          <w:tcPr>
            <w:tcW w:w="164" w:type="dxa"/>
            <w:tcBorders/>
            <w:tcMar>
              <w:bottom w:w="0" w:type="dxa"/>
            </w:tcMar>
            <w:vAlign w:val="center"/>
          </w:tcPr>
          <w:p>
            <w:pPr>
              <w:pStyle w:val="TableContents"/>
              <w:widowControl w:val="false"/>
              <w:bidi w:val="0"/>
              <w:spacing w:before="80" w:after="0"/>
              <w:jc w:val="left"/>
              <w:rPr>
                <w:sz w:val="20"/>
              </w:rPr>
            </w:pPr>
            <w:r>
              <w:rPr>
                <w:sz w:val="20"/>
              </w:rPr>
              <w:t>1.</w:t>
            </w:r>
          </w:p>
        </w:tc>
        <w:tc>
          <w:tcPr>
            <w:tcW w:w="10041" w:type="dxa"/>
            <w:gridSpan w:val="2"/>
            <w:tcBorders/>
            <w:tcMar>
              <w:bottom w:w="0" w:type="dxa"/>
            </w:tcMar>
            <w:vAlign w:val="center"/>
          </w:tcPr>
          <w:p>
            <w:pPr>
              <w:pStyle w:val="TableContents"/>
              <w:widowControl w:val="false"/>
              <w:bidi w:val="0"/>
              <w:spacing w:before="80" w:after="0"/>
              <w:jc w:val="both"/>
              <w:rPr>
                <w:sz w:val="20"/>
              </w:rPr>
            </w:pPr>
            <w:r>
              <w:rPr>
                <w:sz w:val="20"/>
              </w:rPr>
              <w:t>To the extent that the Company has established, either itself or through a third-party plan administrator, the ability to accept this award electronically, such acceptance shall constitute the Participant’s signature hereof.</w:t>
            </w:r>
          </w:p>
        </w:tc>
      </w:tr>
    </w:tbl>
    <w:p>
      <w:pPr>
        <w:pStyle w:val="TextBody"/>
        <w:bidi w:val="0"/>
        <w:spacing w:before="0" w:after="0"/>
        <w:jc w:val="left"/>
        <w:rPr/>
      </w:pPr>
      <w:r>
        <w:rPr/>
        <w:t> </w:t>
      </w:r>
    </w:p>
    <w:p>
      <w:pPr>
        <w:pStyle w:val="TextBody"/>
        <w:bidi w:val="0"/>
        <w:spacing w:before="0" w:after="0"/>
        <w:jc w:val="center"/>
        <w:rPr>
          <w:sz w:val="20"/>
        </w:rPr>
      </w:pPr>
      <w:r>
        <w:rPr>
          <w:sz w:val="20"/>
        </w:rPr>
        <w:t>4</w:t>
      </w:r>
    </w:p>
    <w:p>
      <w:pPr>
        <w:pStyle w:val="HorizontalLine"/>
        <w:pBdr>
          <w:bottom w:val="double" w:sz="2" w:space="0" w:color="808080"/>
        </w:pBdr>
        <w:bidi w:val="0"/>
        <w:jc w:val="center"/>
        <w:rPr/>
      </w:pPr>
      <w:r>
        <w:rPr/>
      </w:r>
    </w:p>
    <w:p>
      <w:pPr>
        <w:pStyle w:val="TextBody"/>
        <w:bidi w:val="0"/>
        <w:spacing w:before="0" w:after="0"/>
        <w:jc w:val="center"/>
        <w:rPr>
          <w:b/>
          <w:sz w:val="20"/>
          <w:u w:val="single"/>
        </w:rPr>
      </w:pPr>
      <w:r>
        <w:rPr>
          <w:b/>
          <w:sz w:val="20"/>
          <w:u w:val="single"/>
        </w:rPr>
        <w:t>Exhibit A</w:t>
      </w:r>
    </w:p>
    <w:p>
      <w:pPr>
        <w:pStyle w:val="TextBody"/>
        <w:bidi w:val="0"/>
        <w:spacing w:before="0" w:after="0"/>
        <w:jc w:val="center"/>
        <w:rPr>
          <w:b/>
          <w:sz w:val="20"/>
        </w:rPr>
      </w:pPr>
      <w:r>
        <w:rPr>
          <w:b/>
          <w:sz w:val="20"/>
        </w:rPr>
        <w:t>[Insert Performance Metrics for Determining Earned PSUs]</w:t>
      </w:r>
    </w:p>
    <w:p>
      <w:pPr>
        <w:pStyle w:val="TextBody"/>
        <w:bidi w:val="0"/>
        <w:spacing w:before="0" w:after="0"/>
        <w:jc w:val="left"/>
        <w:rPr/>
      </w:pPr>
      <w:r>
        <w:rPr/>
        <w:t> </w:t>
      </w:r>
    </w:p>
    <w:p>
      <w:pPr>
        <w:pStyle w:val="TextBody"/>
        <w:bidi w:val="0"/>
        <w:spacing w:before="0" w:after="0"/>
        <w:jc w:val="center"/>
        <w:rPr>
          <w:sz w:val="20"/>
        </w:rPr>
      </w:pPr>
      <w:r>
        <w:rPr>
          <w:sz w:val="20"/>
        </w:rPr>
        <w:t>5</w:t>
      </w:r>
    </w:p>
    <w:p>
      <w:pPr>
        <w:pStyle w:val="HorizontalLine"/>
        <w:pBdr>
          <w:bottom w:val="double" w:sz="2" w:space="0" w:color="808080"/>
        </w:pBdr>
        <w:bidi w:val="0"/>
        <w:jc w:val="center"/>
        <w:rPr/>
      </w:pPr>
      <w:r>
        <w:rPr/>
      </w:r>
    </w:p>
    <w:p>
      <w:pPr>
        <w:pStyle w:val="TextBody"/>
        <w:bidi w:val="0"/>
        <w:spacing w:before="0" w:after="0"/>
        <w:jc w:val="right"/>
        <w:rPr>
          <w:b/>
          <w:sz w:val="20"/>
        </w:rPr>
      </w:pPr>
      <w:bookmarkStart w:id="21" w:name="ex10B_2.htm"/>
      <w:bookmarkStart w:id="22" w:name="ksex10B_2"/>
      <w:bookmarkEnd w:id="21"/>
      <w:bookmarkEnd w:id="22"/>
      <w:r>
        <w:rPr>
          <w:b/>
          <w:sz w:val="20"/>
        </w:rPr>
        <w:t>Exhibit 10(b)</w:t>
      </w:r>
      <w:r>
        <w:br w:type="page"/>
      </w:r>
    </w:p>
    <w:p>
      <w:pPr>
        <w:pStyle w:val="TextBody"/>
        <w:bidi w:val="0"/>
        <w:spacing w:before="0" w:after="0"/>
        <w:jc w:val="left"/>
        <w:rPr/>
      </w:pPr>
      <w:r>
        <w:rPr/>
        <w:t> </w:t>
      </w:r>
    </w:p>
    <w:p>
      <w:pPr>
        <w:pStyle w:val="TextBody"/>
        <w:bidi w:val="0"/>
        <w:spacing w:before="0" w:after="0"/>
        <w:jc w:val="center"/>
        <w:rPr>
          <w:sz w:val="20"/>
        </w:rPr>
      </w:pPr>
      <w:r>
        <w:rPr>
          <w:b/>
          <w:sz w:val="20"/>
        </w:rPr>
        <w:t>2020 HOVNANIAN ENTERPRISES, INC.</w:t>
      </w:r>
      <w:r>
        <w:rPr>
          <w:sz w:val="20"/>
        </w:rPr>
        <w:br/>
      </w:r>
      <w:r>
        <w:rPr>
          <w:b/>
          <w:sz w:val="20"/>
        </w:rPr>
        <w:t>FOURTH AMENDED AND RESTATED STOCK INCENTIVE PLAN</w:t>
      </w:r>
    </w:p>
    <w:p>
      <w:pPr>
        <w:pStyle w:val="TextBody"/>
        <w:bidi w:val="0"/>
        <w:spacing w:before="0" w:after="0"/>
        <w:jc w:val="left"/>
        <w:rPr/>
      </w:pPr>
      <w:r>
        <w:rPr/>
        <w:t> </w:t>
      </w:r>
    </w:p>
    <w:p>
      <w:pPr>
        <w:pStyle w:val="TextBody"/>
        <w:bidi w:val="0"/>
        <w:spacing w:before="0" w:after="0"/>
        <w:jc w:val="center"/>
        <w:rPr>
          <w:b/>
          <w:sz w:val="20"/>
        </w:rPr>
      </w:pPr>
      <w:r>
        <w:rPr>
          <w:b/>
          <w:sz w:val="20"/>
        </w:rPr>
        <w:t>PERFORMANCE SHARE UNIT AGREEMENT</w:t>
      </w:r>
    </w:p>
    <w:p>
      <w:pPr>
        <w:pStyle w:val="TextBody"/>
        <w:bidi w:val="0"/>
        <w:spacing w:before="0" w:after="0"/>
        <w:jc w:val="center"/>
        <w:rPr>
          <w:b/>
          <w:sz w:val="20"/>
        </w:rPr>
      </w:pPr>
      <w:r>
        <w:rPr>
          <w:b/>
          <w:sz w:val="20"/>
        </w:rPr>
        <w:t>(EBIT Performance Vesting)</w:t>
      </w:r>
    </w:p>
    <w:p>
      <w:pPr>
        <w:pStyle w:val="TextBody"/>
        <w:bidi w:val="0"/>
        <w:spacing w:before="0" w:after="0"/>
        <w:jc w:val="left"/>
        <w:rPr/>
      </w:pPr>
      <w:r>
        <w:rPr/>
        <w:t> </w:t>
      </w:r>
    </w:p>
    <w:tbl>
      <w:tblPr>
        <w:tblW w:w="5108" w:type="dxa"/>
        <w:jc w:val="left"/>
        <w:tblInd w:w="0" w:type="dxa"/>
        <w:tblLayout w:type="fixed"/>
        <w:tblCellMar>
          <w:top w:w="0" w:type="dxa"/>
          <w:left w:w="0" w:type="dxa"/>
          <w:bottom w:w="0" w:type="dxa"/>
          <w:right w:w="0" w:type="dxa"/>
        </w:tblCellMar>
      </w:tblPr>
      <w:tblGrid>
        <w:gridCol w:w="2612"/>
        <w:gridCol w:w="77"/>
        <w:gridCol w:w="60"/>
        <w:gridCol w:w="2176"/>
        <w:gridCol w:w="108"/>
        <w:gridCol w:w="75"/>
      </w:tblGrid>
      <w:tr>
        <w:trPr/>
        <w:tc>
          <w:tcPr>
            <w:tcW w:w="2612" w:type="dxa"/>
            <w:tcBorders/>
            <w:vAlign w:val="center"/>
          </w:tcPr>
          <w:p>
            <w:pPr>
              <w:pStyle w:val="TableContents"/>
              <w:widowControl w:val="false"/>
              <w:bidi w:val="0"/>
              <w:spacing w:before="0" w:after="0"/>
              <w:jc w:val="left"/>
              <w:rPr>
                <w:i/>
                <w:sz w:val="20"/>
              </w:rPr>
            </w:pPr>
            <w:r>
              <w:rPr>
                <w:i/>
                <w:sz w:val="20"/>
              </w:rPr>
              <w:t>Participant:</w:t>
            </w:r>
          </w:p>
        </w:tc>
        <w:tc>
          <w:tcPr>
            <w:tcW w:w="77"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i/>
                <w:sz w:val="20"/>
              </w:rPr>
            </w:pPr>
            <w:r>
              <w:rPr>
                <w:i/>
                <w:sz w:val="20"/>
              </w:rPr>
              <w:t>Date of Grant:</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77"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108"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77"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108"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vAlign w:val="center"/>
          </w:tcPr>
          <w:p>
            <w:pPr>
              <w:pStyle w:val="TableContents"/>
              <w:widowControl w:val="false"/>
              <w:bidi w:val="0"/>
              <w:spacing w:before="0" w:after="0"/>
              <w:jc w:val="left"/>
              <w:rPr/>
            </w:pPr>
            <w:r>
              <w:rPr/>
              <w:t> </w:t>
            </w:r>
          </w:p>
        </w:tc>
        <w:tc>
          <w:tcPr>
            <w:tcW w:w="77"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pPr>
            <w:r>
              <w:rPr/>
              <w:t> </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vAlign w:val="center"/>
          </w:tcPr>
          <w:p>
            <w:pPr>
              <w:pStyle w:val="TableContents"/>
              <w:widowControl w:val="false"/>
              <w:bidi w:val="0"/>
              <w:spacing w:before="0" w:after="0"/>
              <w:jc w:val="left"/>
              <w:rPr>
                <w:i/>
                <w:sz w:val="20"/>
              </w:rPr>
            </w:pPr>
            <w:r>
              <w:rPr>
                <w:i/>
                <w:sz w:val="20"/>
              </w:rPr>
              <w:t>Target Number of PSUs:</w:t>
            </w:r>
          </w:p>
        </w:tc>
        <w:tc>
          <w:tcPr>
            <w:tcW w:w="77"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60"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pPr>
            <w:r>
              <w:rPr/>
              <w:t> </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vAlign w:val="center"/>
          </w:tcPr>
          <w:p>
            <w:pPr>
              <w:pStyle w:val="TableContents"/>
              <w:widowControl w:val="false"/>
              <w:bidi w:val="0"/>
              <w:spacing w:before="0" w:after="0"/>
              <w:jc w:val="left"/>
              <w:rPr/>
            </w:pPr>
            <w:r>
              <w:rPr/>
              <w:t> </w:t>
            </w:r>
          </w:p>
        </w:tc>
        <w:tc>
          <w:tcPr>
            <w:tcW w:w="77"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60"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pPr>
            <w:r>
              <w:rPr/>
              <w:t> </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vAlign w:val="center"/>
          </w:tcPr>
          <w:p>
            <w:pPr>
              <w:pStyle w:val="TableContents"/>
              <w:widowControl w:val="false"/>
              <w:bidi w:val="0"/>
              <w:spacing w:before="0" w:after="0"/>
              <w:jc w:val="left"/>
              <w:rPr/>
            </w:pPr>
            <w:r>
              <w:rPr/>
              <w:t> </w:t>
            </w:r>
          </w:p>
        </w:tc>
        <w:tc>
          <w:tcPr>
            <w:tcW w:w="77"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pPr>
            <w:r>
              <w:rPr/>
              <w:t> </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89" w:type="dxa"/>
            <w:gridSpan w:val="2"/>
            <w:tcBorders/>
            <w:vAlign w:val="center"/>
          </w:tcPr>
          <w:p>
            <w:pPr>
              <w:pStyle w:val="TableContents"/>
              <w:widowControl w:val="false"/>
              <w:bidi w:val="0"/>
              <w:spacing w:before="0" w:after="0"/>
              <w:jc w:val="left"/>
              <w:rPr>
                <w:i/>
                <w:sz w:val="20"/>
              </w:rPr>
            </w:pPr>
            <w:r>
              <w:rPr>
                <w:i/>
                <w:sz w:val="20"/>
              </w:rPr>
              <w:t>Date of Vesting of Earned PSUs:</w:t>
            </w:r>
          </w:p>
        </w:tc>
        <w:tc>
          <w:tcPr>
            <w:tcW w:w="60" w:type="dxa"/>
            <w:tcBorders/>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pPr>
            <w:r>
              <w:rPr/>
              <w:t> </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vAlign w:val="center"/>
          </w:tcPr>
          <w:p>
            <w:pPr>
              <w:pStyle w:val="TableContents"/>
              <w:widowControl w:val="false"/>
              <w:bidi w:val="0"/>
              <w:spacing w:before="0" w:after="0"/>
              <w:jc w:val="left"/>
              <w:rPr/>
            </w:pPr>
            <w:r>
              <w:rPr/>
              <w:t> </w:t>
            </w:r>
          </w:p>
        </w:tc>
        <w:tc>
          <w:tcPr>
            <w:tcW w:w="77"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pPr>
            <w:r>
              <w:rPr/>
              <w:t> </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vAlign w:val="center"/>
          </w:tcPr>
          <w:p>
            <w:pPr>
              <w:pStyle w:val="TableContents"/>
              <w:widowControl w:val="false"/>
              <w:bidi w:val="0"/>
              <w:spacing w:before="0" w:after="0"/>
              <w:jc w:val="left"/>
              <w:rPr>
                <w:i/>
                <w:sz w:val="20"/>
                <w:u w:val="single"/>
              </w:rPr>
            </w:pPr>
            <w:r>
              <w:rPr>
                <w:i/>
                <w:sz w:val="20"/>
                <w:u w:val="single"/>
              </w:rPr>
              <w:t>Date</w:t>
            </w:r>
          </w:p>
        </w:tc>
        <w:tc>
          <w:tcPr>
            <w:tcW w:w="77"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284" w:type="dxa"/>
            <w:gridSpan w:val="2"/>
            <w:tcBorders/>
            <w:vAlign w:val="center"/>
          </w:tcPr>
          <w:p>
            <w:pPr>
              <w:pStyle w:val="TableContents"/>
              <w:widowControl w:val="false"/>
              <w:bidi w:val="0"/>
              <w:spacing w:before="0" w:after="0"/>
              <w:jc w:val="left"/>
              <w:rPr>
                <w:i/>
                <w:sz w:val="20"/>
                <w:u w:val="single"/>
              </w:rPr>
            </w:pPr>
            <w:r>
              <w:rPr>
                <w:i/>
                <w:sz w:val="20"/>
                <w:u w:val="single"/>
              </w:rPr>
              <w:t>Percentage of Earned PSUs</w:t>
            </w:r>
          </w:p>
        </w:tc>
        <w:tc>
          <w:tcPr>
            <w:tcW w:w="75" w:type="dxa"/>
            <w:tcBorders/>
            <w:vAlign w:val="center"/>
          </w:tcPr>
          <w:p>
            <w:pPr>
              <w:pStyle w:val="TableContents"/>
              <w:widowControl w:val="false"/>
              <w:bidi w:val="0"/>
              <w:spacing w:before="0" w:after="0"/>
              <w:jc w:val="left"/>
              <w:rPr/>
            </w:pPr>
            <w:r>
              <w:rPr/>
              <w:t> </w:t>
            </w:r>
          </w:p>
        </w:tc>
      </w:tr>
      <w:tr>
        <w:trPr/>
        <w:tc>
          <w:tcPr>
            <w:tcW w:w="2612" w:type="dxa"/>
            <w:tcBorders/>
            <w:vAlign w:val="center"/>
          </w:tcPr>
          <w:p>
            <w:pPr>
              <w:pStyle w:val="TableContents"/>
              <w:widowControl w:val="false"/>
              <w:bidi w:val="0"/>
              <w:spacing w:before="0" w:after="0"/>
              <w:jc w:val="left"/>
              <w:rPr/>
            </w:pPr>
            <w:r>
              <w:rPr/>
              <w:t> </w:t>
            </w:r>
          </w:p>
        </w:tc>
        <w:tc>
          <w:tcPr>
            <w:tcW w:w="77"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pPr>
            <w:r>
              <w:rPr/>
              <w:t> </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bottom w:val="single" w:sz="6" w:space="0" w:color="000000"/>
            </w:tcBorders>
            <w:tcMar>
              <w:bottom w:w="28" w:type="dxa"/>
            </w:tcMar>
            <w:vAlign w:val="center"/>
          </w:tcPr>
          <w:p>
            <w:pPr>
              <w:pStyle w:val="TableContents"/>
              <w:widowControl w:val="false"/>
              <w:bidi w:val="0"/>
              <w:spacing w:before="0" w:after="0"/>
              <w:jc w:val="center"/>
              <w:rPr>
                <w:sz w:val="20"/>
              </w:rPr>
            </w:pPr>
            <w:r>
              <w:rPr>
                <w:sz w:val="20"/>
              </w:rPr>
              <w:t>[Date]</w:t>
            </w:r>
          </w:p>
        </w:tc>
        <w:tc>
          <w:tcPr>
            <w:tcW w:w="77"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bottom w:val="single" w:sz="6" w:space="0" w:color="000000"/>
            </w:tcBorders>
            <w:tcMar>
              <w:bottom w:w="28" w:type="dxa"/>
            </w:tcMar>
            <w:vAlign w:val="center"/>
          </w:tcPr>
          <w:p>
            <w:pPr>
              <w:pStyle w:val="TableContents"/>
              <w:widowControl w:val="false"/>
              <w:bidi w:val="0"/>
              <w:spacing w:before="0" w:after="0"/>
              <w:jc w:val="center"/>
              <w:rPr>
                <w:sz w:val="20"/>
              </w:rPr>
            </w:pPr>
            <w:r>
              <w:rPr>
                <w:sz w:val="20"/>
              </w:rPr>
              <w:t>100%</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bl>
    <w:p>
      <w:pPr>
        <w:pStyle w:val="TextBody"/>
        <w:bidi w:val="0"/>
        <w:spacing w:before="0" w:after="0"/>
        <w:jc w:val="left"/>
        <w:rPr/>
      </w:pPr>
      <w:r>
        <w:rPr/>
        <w:t> </w:t>
      </w:r>
    </w:p>
    <w:p>
      <w:pPr>
        <w:pStyle w:val="Heading1"/>
        <w:bidi w:val="0"/>
        <w:spacing w:before="0" w:after="200"/>
        <w:ind w:left="0" w:right="0" w:firstLine="1440"/>
        <w:jc w:val="both"/>
        <w:rPr>
          <w:sz w:val="20"/>
        </w:rPr>
      </w:pPr>
      <w:r>
        <w:rPr>
          <w:b w:val="false"/>
          <w:sz w:val="20"/>
        </w:rPr>
        <w:t>1.</w:t>
      </w:r>
      <w:r>
        <w:rPr>
          <w:caps w:val="false"/>
          <w:smallCaps w:val="false"/>
          <w:sz w:val="20"/>
        </w:rPr>
        <w:t xml:space="preserve">          </w:t>
      </w:r>
      <w:r>
        <w:rPr>
          <w:b w:val="false"/>
          <w:sz w:val="20"/>
          <w:u w:val="single"/>
        </w:rPr>
        <w:t>Grant of PSUs</w:t>
      </w:r>
      <w:r>
        <w:rPr>
          <w:b w:val="false"/>
          <w:sz w:val="20"/>
        </w:rPr>
        <w:t>.</w:t>
      </w:r>
      <w:r>
        <w:rPr>
          <w:sz w:val="20"/>
        </w:rPr>
        <w:t xml:space="preserve">  </w:t>
      </w:r>
      <w:r>
        <w:rPr>
          <w:b w:val="false"/>
          <w:sz w:val="20"/>
        </w:rPr>
        <w:t>For valuable consideration, receipt of which is hereby acknowledged, Hovnanian Enterprises, Inc., a Delaware Corporation (the "Company"), hereby grants the target number (“Target Number”) of performance share units ("PSUs") listed above to the Participant, on the terms and conditions hereinafter set forth.</w:t>
      </w:r>
      <w:r>
        <w:rPr>
          <w:sz w:val="20"/>
        </w:rPr>
        <w:t xml:space="preserve">  </w:t>
      </w:r>
      <w:r>
        <w:rPr>
          <w:b w:val="false"/>
          <w:sz w:val="20"/>
        </w:rPr>
        <w:t>This grant is made pursuant to the terms and conditions of the 2020 Company Fourth Amended and Restated Stock Incentive Plan (the "Plan"), which Plan, as amended from time to time, is incorporated herein by reference and made a part of this Agreement.</w:t>
      </w:r>
      <w:r>
        <w:rPr>
          <w:sz w:val="20"/>
        </w:rPr>
        <w:t xml:space="preserve">  </w:t>
      </w:r>
      <w:r>
        <w:rPr>
          <w:b w:val="false"/>
          <w:sz w:val="20"/>
        </w:rPr>
        <w:t>The actual number of PSUs, if any, that the Participant will be eligible to earn with respect to this Agreement (the “Earned PSUs”), subject to meeting the applicable service and performance vesting requirements, will equal the Target Number multiplied by the applicable “Performance Multiplier” as defined in Exhibit A hereto.</w:t>
      </w:r>
      <w:r>
        <w:rPr>
          <w:sz w:val="20"/>
        </w:rPr>
        <w:t xml:space="preserve">  </w:t>
      </w:r>
      <w:r>
        <w:rPr>
          <w:b w:val="false"/>
          <w:sz w:val="20"/>
        </w:rPr>
        <w:t>Each Earned PSU represents the unfunded, unsecured right of the Participant to receive a Share on the date(s) specified herein.</w:t>
      </w:r>
      <w:r>
        <w:rPr>
          <w:sz w:val="20"/>
        </w:rPr>
        <w:t xml:space="preserve">  </w:t>
      </w:r>
      <w:r>
        <w:rPr>
          <w:b w:val="false"/>
          <w:sz w:val="20"/>
        </w:rPr>
        <w:t>Capitalized terms not otherwise defined herein shall have the same meanings as in the Plan.</w:t>
      </w:r>
    </w:p>
    <w:p>
      <w:pPr>
        <w:pStyle w:val="TextBody"/>
        <w:bidi w:val="0"/>
        <w:spacing w:before="0" w:after="200"/>
        <w:ind w:left="0" w:right="0" w:firstLine="1440"/>
        <w:jc w:val="both"/>
        <w:rPr>
          <w:sz w:val="20"/>
        </w:rPr>
      </w:pPr>
      <w:r>
        <w:rPr>
          <w:sz w:val="20"/>
        </w:rPr>
        <w:t>2.</w:t>
      </w:r>
      <w:r>
        <w:rPr>
          <w:caps w:val="false"/>
          <w:smallCaps w:val="false"/>
          <w:sz w:val="20"/>
        </w:rPr>
        <w:t xml:space="preserve">          </w:t>
      </w:r>
      <w:r>
        <w:rPr>
          <w:sz w:val="20"/>
          <w:u w:val="single"/>
        </w:rPr>
        <w:t>Vesting and Timing of Transfer</w:t>
      </w:r>
      <w:r>
        <w:rPr>
          <w:sz w:val="20"/>
        </w:rPr>
        <w:t>.</w:t>
      </w:r>
    </w:p>
    <w:p>
      <w:pPr>
        <w:pStyle w:val="TextBody"/>
        <w:bidi w:val="0"/>
        <w:spacing w:before="0" w:after="200"/>
        <w:ind w:left="0" w:right="0" w:firstLine="1890"/>
        <w:jc w:val="both"/>
        <w:rPr>
          <w:sz w:val="20"/>
        </w:rPr>
      </w:pPr>
      <w:r>
        <w:rPr>
          <w:sz w:val="20"/>
        </w:rPr>
        <w:t>(a)</w:t>
      </w:r>
      <w:r>
        <w:rPr>
          <w:caps w:val="false"/>
          <w:smallCaps w:val="false"/>
          <w:sz w:val="20"/>
        </w:rPr>
        <w:t xml:space="preserve">        </w:t>
      </w:r>
      <w:r>
        <w:rPr>
          <w:sz w:val="20"/>
        </w:rPr>
        <w:t xml:space="preserve">The Participant will become vested in the Earned PSUs in accordance with the schedule set forth above (each such vesting date, a “Vesting Date”); </w:t>
      </w:r>
      <w:r>
        <w:rPr>
          <w:sz w:val="20"/>
          <w:u w:val="single"/>
        </w:rPr>
        <w:t>provided</w:t>
      </w:r>
      <w:r>
        <w:rPr>
          <w:sz w:val="20"/>
        </w:rPr>
        <w:t xml:space="preserve">, </w:t>
      </w:r>
      <w:r>
        <w:rPr>
          <w:sz w:val="20"/>
          <w:u w:val="single"/>
        </w:rPr>
        <w:t>however</w:t>
      </w:r>
      <w:r>
        <w:rPr>
          <w:sz w:val="20"/>
        </w:rPr>
        <w:t xml:space="preserve">, that upon the occurrence of a Change in Control that results in the Company's Shares ceasing to be publicly traded on a national securities exchange, the Earned PSUs shall immediately become fully vested (subject to any delay in Share delivery required pursuant to Sections 2(b) and 16 hereof). </w:t>
      </w:r>
    </w:p>
    <w:p>
      <w:pPr>
        <w:pStyle w:val="TextBody"/>
        <w:bidi w:val="0"/>
        <w:spacing w:before="0" w:after="200"/>
        <w:ind w:left="0" w:right="0" w:firstLine="1890"/>
        <w:jc w:val="both"/>
        <w:rPr>
          <w:sz w:val="20"/>
        </w:rPr>
      </w:pPr>
      <w:r>
        <w:rPr>
          <w:sz w:val="20"/>
        </w:rPr>
        <w:t>(b)</w:t>
      </w:r>
      <w:r>
        <w:rPr>
          <w:caps w:val="false"/>
          <w:smallCaps w:val="false"/>
          <w:sz w:val="20"/>
        </w:rPr>
        <w:t xml:space="preserve">       </w:t>
      </w:r>
      <w:r>
        <w:rPr>
          <w:sz w:val="20"/>
        </w:rPr>
        <w:t xml:space="preserve">The Company shall transfer to the Participant, as soon as practicable but not later than 60 days after an applicable “Delivery Date” (as defined below), a number of Class B Shares equal to the number of Earned PSUs that became vested on the corresponding Vesting Date(rounded up to the next whole share), </w:t>
      </w:r>
      <w:r>
        <w:rPr>
          <w:sz w:val="20"/>
          <w:u w:val="single"/>
        </w:rPr>
        <w:t>provided</w:t>
      </w:r>
      <w:r>
        <w:rPr>
          <w:sz w:val="20"/>
        </w:rPr>
        <w:t xml:space="preserve">, </w:t>
      </w:r>
      <w:r>
        <w:rPr>
          <w:sz w:val="20"/>
          <w:u w:val="single"/>
        </w:rPr>
        <w:t>however</w:t>
      </w:r>
      <w:r>
        <w:rPr>
          <w:sz w:val="20"/>
        </w:rPr>
        <w:t>, that upon the final transfer of Shares to the Participant (i) such number of Shares shall be reduced to the extent necessary to reflect any previous rounding up pursuant to this sentence.  If the Participant is eligible to participate in, and  has elected to defer the transfer of Shares pursuant to the terms of a nonqualified deferred compensation plan maintained by the Company, such Shares shall be so deferred, and any such deferral, when paid, shall be paid in Shares.  Once the transfer of any Shares is deferred, the rights and privileges of the Participant with respect to such Shares shall be determined solely pursuant to the terms of the applicable plan, and not pursuant to the terms and conditions of this Agreement.  For purposes of this Agreement, the “Delivery Date” with respect to each Vesting Date shall mean the date that is the earlier of (i) the second anniversary of such Vesting Date or (ii) the second anniversary of the date of the Participant’s Qualified Termination (as defined below), if applicable.</w:t>
      </w:r>
    </w:p>
    <w:p>
      <w:pPr>
        <w:pStyle w:val="TextBody"/>
        <w:bidi w:val="0"/>
        <w:spacing w:before="0" w:after="0"/>
        <w:ind w:left="0" w:right="0" w:firstLine="1890"/>
        <w:jc w:val="both"/>
        <w:rPr>
          <w:sz w:val="20"/>
        </w:rPr>
      </w:pPr>
      <w:r>
        <w:rPr>
          <w:sz w:val="20"/>
        </w:rPr>
        <w:t>(c)</w:t>
      </w:r>
      <w:r>
        <w:rPr>
          <w:caps w:val="false"/>
          <w:smallCaps w:val="false"/>
          <w:sz w:val="20"/>
        </w:rPr>
        <w:t xml:space="preserve">        </w:t>
      </w:r>
      <w:r>
        <w:rPr>
          <w:sz w:val="20"/>
        </w:rPr>
        <w:t xml:space="preserve">Notwithstanding Sections 2(a) and 2(b) of this Agreement, if the Participant's employment with the Company and its Affiliates terminates due to (i) death, (ii) Disability or (iii) Retirement, (any such termination, a “Qualified Termination”), then (A) any previously unvested Earned PSUs shall become fully vested, (B) if such Qualified Termination occurs prior to the determination of the number of Earned PSUs in accordance with Exhibit A hereto, the PSUs granted hereunder shall remaining outstanding and eligible to become Earned PSUs in accordance with such Exhibit A and (C) the Shares underlying all of the Participant’s Earned PSUs, if any, shall be delivered to the Participant as soon as practicable but not later than 60 days after the corresponding Delivery Date(s) subject to Section 16 of this Agreement.  In the event of the death of the Participant, the transfer of Shares under this Section 2(c) shall be made in accordance with the beneficiary designation form on file with the Company; </w:t>
      </w:r>
      <w:r>
        <w:rPr>
          <w:sz w:val="20"/>
          <w:u w:val="single"/>
        </w:rPr>
        <w:t>provided</w:t>
      </w:r>
      <w:r>
        <w:rPr>
          <w:sz w:val="20"/>
        </w:rPr>
        <w:t xml:space="preserve">, </w:t>
      </w:r>
      <w:r>
        <w:rPr>
          <w:sz w:val="20"/>
          <w:u w:val="single"/>
        </w:rPr>
        <w:t>however</w:t>
      </w:r>
      <w:r>
        <w:rPr>
          <w:sz w:val="20"/>
        </w:rPr>
        <w:t>, that, in the absence of any such beneficiary designation form, the transfer of Shares under this Section 2(c) shall be made to the person or persons to whom the Participant's rights under the Agreement shall pass by will or by the applicable laws of descent and distribution.  For purposes of this Agreement, "Disability" shall mean "Disability" as defined in the Plan, and "Retirement" shall mean termination of employment on or after age 60, or on or after age 58 with at least 15 years of "Service" to the Company and its Subsidiaries immediately preceding such termination of employment.  For this purpose, "Service" means the period of employment immediately preceding Retirement, plus any prior periods of employment with the Company and its Subsidiaries of one or more years' duration, unless they were succeeded by a period of non-employment with the Company and its Subsidiaries of more than three years' duration.</w:t>
      </w:r>
    </w:p>
    <w:p>
      <w:pPr>
        <w:pStyle w:val="TextBody"/>
        <w:bidi w:val="0"/>
        <w:spacing w:before="0" w:after="0"/>
        <w:jc w:val="left"/>
        <w:rPr/>
      </w:pPr>
      <w:r>
        <w:rPr/>
        <w:t> </w:t>
      </w:r>
    </w:p>
    <w:p>
      <w:pPr>
        <w:pStyle w:val="TextBody"/>
        <w:bidi w:val="0"/>
        <w:spacing w:before="0" w:after="0"/>
        <w:jc w:val="center"/>
        <w:rPr>
          <w:sz w:val="20"/>
        </w:rPr>
      </w:pPr>
      <w:r>
        <w:rPr>
          <w:sz w:val="20"/>
        </w:rPr>
        <w:t>1</w:t>
      </w:r>
    </w:p>
    <w:p>
      <w:pPr>
        <w:pStyle w:val="HorizontalLine"/>
        <w:pBdr>
          <w:bottom w:val="double" w:sz="2" w:space="0" w:color="808080"/>
        </w:pBdr>
        <w:bidi w:val="0"/>
        <w:jc w:val="center"/>
        <w:rPr/>
      </w:pPr>
      <w:r>
        <w:rPr/>
      </w:r>
    </w:p>
    <w:p>
      <w:pPr>
        <w:pStyle w:val="Heading2"/>
        <w:bidi w:val="0"/>
        <w:spacing w:before="0" w:after="200"/>
        <w:ind w:left="0" w:right="0" w:firstLine="1886"/>
        <w:jc w:val="both"/>
        <w:rPr>
          <w:sz w:val="20"/>
        </w:rPr>
      </w:pPr>
      <w:r>
        <w:rPr>
          <w:b w:val="false"/>
          <w:sz w:val="20"/>
        </w:rPr>
        <w:t>(d)</w:t>
      </w:r>
      <w:r>
        <w:rPr>
          <w:caps w:val="false"/>
          <w:smallCaps w:val="false"/>
          <w:sz w:val="20"/>
        </w:rPr>
        <w:t xml:space="preserve">        </w:t>
      </w:r>
      <w:r>
        <w:rPr>
          <w:b w:val="false"/>
          <w:sz w:val="20"/>
        </w:rPr>
        <w:t>Upon each transfer or deferral of Shares in accordance with Sections 2(a), 2(b) and 2(c) of this Agreement, a number of Earned PSUs equal to the number of Shares transferred to the Participant or deferred shall be extinguished.</w:t>
      </w:r>
    </w:p>
    <w:p>
      <w:pPr>
        <w:pStyle w:val="TextBody"/>
        <w:bidi w:val="0"/>
        <w:spacing w:before="0" w:after="200"/>
        <w:ind w:left="0" w:right="0" w:firstLine="1890"/>
        <w:jc w:val="both"/>
        <w:rPr>
          <w:sz w:val="20"/>
        </w:rPr>
      </w:pPr>
      <w:r>
        <w:rPr>
          <w:sz w:val="20"/>
        </w:rPr>
        <w:t>(e)</w:t>
      </w:r>
      <w:r>
        <w:rPr>
          <w:caps w:val="false"/>
          <w:smallCaps w:val="false"/>
          <w:sz w:val="20"/>
        </w:rPr>
        <w:t xml:space="preserve">        </w:t>
      </w:r>
      <w:r>
        <w:rPr>
          <w:sz w:val="20"/>
        </w:rPr>
        <w:t>Notwithstanding Sections 2(a), 2(b) and 2(c) of this Agreement, upon the Participant's termination of employment for any reason other than (i) death, Disability or Retirement or (ii) under the circumstances described in clause (f) below, any unvested PSUs (including, without limitation, any Earned PSUs) shall immediately terminate for no further consideration.</w:t>
      </w:r>
    </w:p>
    <w:p>
      <w:pPr>
        <w:pStyle w:val="TextBody"/>
        <w:bidi w:val="0"/>
        <w:spacing w:before="0" w:after="200"/>
        <w:ind w:left="0" w:right="0" w:firstLine="1890"/>
        <w:jc w:val="both"/>
        <w:rPr>
          <w:sz w:val="20"/>
        </w:rPr>
      </w:pPr>
      <w:r>
        <w:rPr>
          <w:sz w:val="20"/>
        </w:rPr>
        <w:t>(f)</w:t>
      </w:r>
      <w:r>
        <w:rPr>
          <w:caps w:val="false"/>
          <w:smallCaps w:val="false"/>
          <w:sz w:val="20"/>
        </w:rPr>
        <w:t xml:space="preserve">         </w:t>
      </w:r>
      <w:r>
        <w:rPr>
          <w:sz w:val="20"/>
          <w:u w:val="single"/>
        </w:rPr>
        <w:t>Termination without Cause or for Good Reason within Two Years Following a Change in Control</w:t>
      </w:r>
      <w:r>
        <w:rPr>
          <w:sz w:val="20"/>
        </w:rPr>
        <w:t>.  In the event of the Participant's Qualifying Termination or involuntary termination of employment with the Company or a subsidiary thereof without "Cause" or for "Good Reason", in each case, within two years following a Change in Control, the Earned PSUs, to the extent not previously vested and settled, shall immediately become fully vested and settled in Shares.  For purposes of this Agreement, "Cause" shall mean the occurrence of any of the following: (a) the willful and continued failure of the Participant to perform substantially all of his or her duties with the Company (other than any such failure resulting from incapacity due to physical or mental illness) for a period of 10 days following a written demand for substantial performance that is delivered to such Participant by the Company, which specifically identifies the manner in which the Company believes the Participant has not substantially performed his or her duties; (b) dishonesty in the performance of the Participant's duties with the Company; (c) the Participant's conviction of, or plea of guilty or nolo contendere to, a crime under the laws of the United States or any state thereof constituting a felony or a misdemeanor involving moral turpitude; (d) the Participant's willful malfeasance or willful misconduct in connection with the Participant's duties with the Company or any act or omission which is injurious to the financial condition or business reputation of the Company or its affiliates; or (e) the Participant's breach of the provisions of Section 11 of this Agreement.  For purposes of this Agreement, "Good Reason" shall mean the occurrence of any of the following, without the Participant's express written consent:  (a) any material diminution in the Participant's duties, titles or responsibilities with the Company from those in effect immediately prior to a Change in Control or (b) any reduction in the Participant's annual base salary or any material reduction in the Participant's annual bonus opportunity, annual equity awards or long-term incentive program awards from the Participant's annual base salary or annual bonus opportunity, annual equity awards or long-term incentive program awards in effect immediately prior to a Change in Control.  Notwithstanding the foregoing, no event shall constitute Good Reason unless the Participant provides the Company with written notice of such event within 60 days after the occurrence thereof and the Company fails to cure or resolve the behavior otherwise constituting Good Reason within 30 days of its receipt of such notice.</w:t>
      </w:r>
    </w:p>
    <w:p>
      <w:pPr>
        <w:pStyle w:val="TextBody"/>
        <w:bidi w:val="0"/>
        <w:spacing w:before="0" w:after="200"/>
        <w:ind w:left="0" w:right="0" w:firstLine="1890"/>
        <w:jc w:val="both"/>
        <w:rPr>
          <w:sz w:val="20"/>
        </w:rPr>
      </w:pPr>
      <w:r>
        <w:rPr>
          <w:sz w:val="20"/>
        </w:rPr>
        <w:t>(g)</w:t>
      </w:r>
      <w:r>
        <w:rPr>
          <w:caps w:val="false"/>
          <w:smallCaps w:val="false"/>
          <w:sz w:val="20"/>
        </w:rPr>
        <w:t xml:space="preserve">       </w:t>
      </w:r>
      <w:r>
        <w:rPr>
          <w:sz w:val="20"/>
        </w:rPr>
        <w:t>Any portion of the PSUs granted pursuant to this Agreement which do not become Earned PSUs in accordance with Exhibit A hereto shall be forfeited for no further consideration.</w:t>
      </w:r>
    </w:p>
    <w:p>
      <w:pPr>
        <w:pStyle w:val="TextBody"/>
        <w:bidi w:val="0"/>
        <w:spacing w:before="0" w:after="200"/>
        <w:ind w:left="0" w:right="0" w:firstLine="1440"/>
        <w:jc w:val="both"/>
        <w:rPr>
          <w:sz w:val="20"/>
        </w:rPr>
      </w:pPr>
      <w:r>
        <w:rPr>
          <w:sz w:val="20"/>
        </w:rPr>
        <w:t>3.</w:t>
      </w:r>
      <w:r>
        <w:rPr>
          <w:caps w:val="false"/>
          <w:smallCaps w:val="false"/>
          <w:sz w:val="20"/>
        </w:rPr>
        <w:t xml:space="preserve">          </w:t>
      </w:r>
      <w:r>
        <w:rPr>
          <w:sz w:val="20"/>
          <w:u w:val="single"/>
        </w:rPr>
        <w:t>Dividends</w:t>
      </w:r>
      <w:r>
        <w:rPr>
          <w:sz w:val="20"/>
        </w:rPr>
        <w:t>.  If on any date while PSUs are outstanding hereunder the Company shall pay any dividend on the Shares (other than a dividend payable in Shares), the number of PSUs granted to the Participant shall, as of such dividend payment date, be increased by a number of PSUs equal to: (a) the product of (x) the number of PSUs held by the Participant as of the related dividend record date, multiplied by (y) the per Share amount of any cash dividend (or, in the case of any dividend payable in whole or in part other than in cash, the per Share value of such dividend, as determined in good faith by the Committee), divided by (b) the Fair Market Value of a Share on the payment date of such dividend.  In the case of any dividend declared on Shares that is payable in the form of Shares, the number of PSUs granted to the Participant shall be increased by a number equal to the product of (a) the PSUs that are held by the Participant on the related dividend record date, multiplied by (b) the number of Shares (including any fraction thereof) payable as a dividend on a Share.  Any PSUs attributable to dividends under this Section 3 shall be subject to the vesting provisions provided in Section 2 and the performance conditions set forth in Exhibit A.</w:t>
      </w:r>
    </w:p>
    <w:p>
      <w:pPr>
        <w:pStyle w:val="TextBody"/>
        <w:bidi w:val="0"/>
        <w:spacing w:before="0" w:after="200"/>
        <w:ind w:left="0" w:right="0" w:firstLine="1440"/>
        <w:jc w:val="both"/>
        <w:rPr>
          <w:sz w:val="20"/>
        </w:rPr>
      </w:pPr>
      <w:r>
        <w:rPr>
          <w:sz w:val="20"/>
        </w:rPr>
        <w:t>4.</w:t>
      </w:r>
      <w:r>
        <w:rPr>
          <w:caps w:val="false"/>
          <w:smallCaps w:val="false"/>
          <w:sz w:val="20"/>
        </w:rPr>
        <w:t xml:space="preserve">          </w:t>
      </w:r>
      <w:r>
        <w:rPr>
          <w:sz w:val="20"/>
          <w:u w:val="single"/>
        </w:rPr>
        <w:t>Adjustments Upon Certain Events</w:t>
      </w:r>
      <w:r>
        <w:rPr>
          <w:sz w:val="20"/>
        </w:rPr>
        <w:t>.  Subject to the terms of the Plan, in the event of any change in the outstanding Shares by reason of any Share dividend or split, reorganization, recapitalization, merger, consolidation, amalgamation, spin-off or combination transaction or exchange of Shares or other similar events (collectively, an "Adjustment Event"), the Committee shall, in its sole discretion, make an appropriate and equitable adjustment in the number of PSUs subject to this Agreement to reflect such Adjustment Event.  Any such adjustment made by the Committee shall be final and binding upon the Participant, the Company and all other interested persons.</w:t>
      </w:r>
    </w:p>
    <w:p>
      <w:pPr>
        <w:pStyle w:val="TextBody"/>
        <w:bidi w:val="0"/>
        <w:spacing w:before="0" w:after="200"/>
        <w:ind w:left="0" w:right="0" w:firstLine="1440"/>
        <w:jc w:val="both"/>
        <w:rPr>
          <w:sz w:val="20"/>
        </w:rPr>
      </w:pPr>
      <w:r>
        <w:rPr>
          <w:sz w:val="20"/>
        </w:rPr>
        <w:t>5.</w:t>
      </w:r>
      <w:r>
        <w:rPr>
          <w:caps w:val="false"/>
          <w:smallCaps w:val="false"/>
          <w:sz w:val="20"/>
        </w:rPr>
        <w:t xml:space="preserve">          </w:t>
      </w:r>
      <w:r>
        <w:rPr>
          <w:sz w:val="20"/>
          <w:u w:val="single"/>
        </w:rPr>
        <w:t>No Right to Continued Employment</w:t>
      </w:r>
      <w:r>
        <w:rPr>
          <w:sz w:val="20"/>
        </w:rPr>
        <w:t>.  Neither the Plan nor this Agreement shall be construed as giving the Participant the right to be retained in the employ of, or in any consulting relationship to, the Company or any Affiliate.  Further, the Company or an Affiliate may at any time dismiss the Participant, free from any liability or any claim under the Plan or this Agreement, except as otherwise expressly provided herein.</w:t>
      </w:r>
    </w:p>
    <w:p>
      <w:pPr>
        <w:pStyle w:val="TextBody"/>
        <w:bidi w:val="0"/>
        <w:spacing w:before="0" w:after="200"/>
        <w:ind w:left="0" w:right="0" w:firstLine="1440"/>
        <w:jc w:val="both"/>
        <w:rPr>
          <w:sz w:val="20"/>
        </w:rPr>
      </w:pPr>
      <w:r>
        <w:rPr>
          <w:sz w:val="20"/>
        </w:rPr>
        <w:t>6.</w:t>
      </w:r>
      <w:r>
        <w:rPr>
          <w:caps w:val="false"/>
          <w:smallCaps w:val="false"/>
          <w:sz w:val="20"/>
        </w:rPr>
        <w:t xml:space="preserve">          </w:t>
      </w:r>
      <w:r>
        <w:rPr>
          <w:sz w:val="20"/>
          <w:u w:val="single"/>
        </w:rPr>
        <w:t>No Acquired Rights</w:t>
      </w:r>
      <w:r>
        <w:rPr>
          <w:sz w:val="20"/>
        </w:rPr>
        <w:t>.  In participating in the Plan, the Participant acknowledges and accepts that the Board has the power to amend or terminate the Plan, to the extent permitted thereunder, at any time and that the opportunity given to the Participant to participate in the Plan is entirely at the discretion of the Committee and does not obligate the Company or any of its Affiliates to offer such participation in the future (whether on the same or different terms).  The Participant further acknowledges and accepts that such Participant's participation in the Plan is not to be considered part of any normal or expected compensation and that the termination of the Participant's employment under any circumstances whatsoever will give the Participant no claim or right of action against the Company or its Affiliates in respect of any loss of rights under this Agreement or the Plan that may arise as a result of such termination of employment.</w:t>
      </w:r>
    </w:p>
    <w:p>
      <w:pPr>
        <w:pStyle w:val="TextBody"/>
        <w:bidi w:val="0"/>
        <w:spacing w:before="0" w:after="0"/>
        <w:ind w:left="0" w:right="0" w:firstLine="1440"/>
        <w:jc w:val="both"/>
        <w:rPr>
          <w:sz w:val="20"/>
        </w:rPr>
      </w:pPr>
      <w:r>
        <w:rPr>
          <w:sz w:val="20"/>
        </w:rPr>
        <w:t>7.</w:t>
      </w:r>
      <w:r>
        <w:rPr>
          <w:caps w:val="false"/>
          <w:smallCaps w:val="false"/>
          <w:sz w:val="20"/>
        </w:rPr>
        <w:t xml:space="preserve">          </w:t>
      </w:r>
      <w:r>
        <w:rPr>
          <w:sz w:val="20"/>
          <w:u w:val="single"/>
        </w:rPr>
        <w:t>No Rights of a Shareholder</w:t>
      </w:r>
      <w:r>
        <w:rPr>
          <w:sz w:val="20"/>
        </w:rPr>
        <w:t>.  The Participant shall not have any rights or privileges as a shareholder of the Company until the Shares in question have been registered in the Company's register of shareholders.</w:t>
      </w:r>
    </w:p>
    <w:p>
      <w:pPr>
        <w:pStyle w:val="TextBody"/>
        <w:bidi w:val="0"/>
        <w:spacing w:before="0" w:after="0"/>
        <w:jc w:val="left"/>
        <w:rPr/>
      </w:pPr>
      <w:r>
        <w:rPr/>
        <w:t> </w:t>
      </w:r>
    </w:p>
    <w:p>
      <w:pPr>
        <w:pStyle w:val="TextBody"/>
        <w:bidi w:val="0"/>
        <w:spacing w:before="0" w:after="0"/>
        <w:jc w:val="center"/>
        <w:rPr>
          <w:sz w:val="20"/>
        </w:rPr>
      </w:pPr>
      <w:r>
        <w:rPr>
          <w:sz w:val="20"/>
        </w:rPr>
        <w:t>2</w:t>
      </w:r>
    </w:p>
    <w:p>
      <w:pPr>
        <w:pStyle w:val="HorizontalLine"/>
        <w:pBdr>
          <w:bottom w:val="double" w:sz="2" w:space="0" w:color="808080"/>
        </w:pBdr>
        <w:bidi w:val="0"/>
        <w:jc w:val="center"/>
        <w:rPr/>
      </w:pPr>
      <w:r>
        <w:rPr/>
      </w:r>
    </w:p>
    <w:p>
      <w:pPr>
        <w:pStyle w:val="Heading1"/>
        <w:bidi w:val="0"/>
        <w:spacing w:before="0" w:after="200"/>
        <w:ind w:left="0" w:right="0" w:firstLine="1440"/>
        <w:jc w:val="both"/>
        <w:rPr>
          <w:sz w:val="20"/>
        </w:rPr>
      </w:pPr>
      <w:r>
        <w:rPr>
          <w:b w:val="false"/>
          <w:sz w:val="20"/>
        </w:rPr>
        <w:t>8.</w:t>
      </w:r>
      <w:r>
        <w:rPr>
          <w:caps w:val="false"/>
          <w:smallCaps w:val="false"/>
          <w:sz w:val="20"/>
        </w:rPr>
        <w:t xml:space="preserve">          </w:t>
      </w:r>
      <w:r>
        <w:rPr>
          <w:b w:val="false"/>
          <w:sz w:val="20"/>
          <w:u w:val="single"/>
        </w:rPr>
        <w:t>Legend on Certificates</w:t>
      </w:r>
      <w:r>
        <w:rPr>
          <w:b w:val="false"/>
          <w:sz w:val="20"/>
        </w:rPr>
        <w:t>.</w:t>
      </w:r>
      <w:r>
        <w:rPr>
          <w:sz w:val="20"/>
        </w:rPr>
        <w:t xml:space="preserve">  </w:t>
      </w:r>
      <w:r>
        <w:rPr>
          <w:b w:val="false"/>
          <w:sz w:val="20"/>
        </w:rPr>
        <w:t>Any Shares issued or transferred to the Participant pursuant to Section 2 of this Agreement shall be subject to such stop transfer orders and other restrictions as the Committee may deem advisable under the Plan or the rules, regulations, and other requirements of the Securities and Exchange Commission, any stock exchange upon which such Shares are listed, and any applicable Federal or state laws or relevant securities laws of the jurisdiction of the domicile of the Participant, and the Committee may cause a legend or legends to be put on any certificates representing such Shares to make appropriate reference to such restrictions.</w:t>
      </w:r>
      <w:r>
        <w:rPr>
          <w:sz w:val="20"/>
        </w:rPr>
        <w:t xml:space="preserve">  </w:t>
      </w:r>
      <w:r>
        <w:rPr>
          <w:b w:val="false"/>
          <w:sz w:val="20"/>
        </w:rPr>
        <w:t>Whenever reference in this Agreement is made to the issuance or delivery of certificates representing Shares, the Company may elect to issue or deliver such Shares in book entry form in lieu of certificates.</w:t>
      </w:r>
    </w:p>
    <w:p>
      <w:pPr>
        <w:pStyle w:val="TextBody"/>
        <w:bidi w:val="0"/>
        <w:spacing w:before="0" w:after="200"/>
        <w:ind w:left="0" w:right="0" w:firstLine="1440"/>
        <w:jc w:val="both"/>
        <w:rPr>
          <w:sz w:val="20"/>
        </w:rPr>
      </w:pPr>
      <w:r>
        <w:rPr>
          <w:sz w:val="20"/>
        </w:rPr>
        <w:t>9.</w:t>
      </w:r>
      <w:r>
        <w:rPr>
          <w:caps w:val="false"/>
          <w:smallCaps w:val="false"/>
          <w:sz w:val="20"/>
        </w:rPr>
        <w:t xml:space="preserve">          </w:t>
      </w:r>
      <w:r>
        <w:rPr>
          <w:sz w:val="20"/>
          <w:u w:val="single"/>
        </w:rPr>
        <w:t>Transferability</w:t>
      </w:r>
      <w:r>
        <w:rPr>
          <w:sz w:val="20"/>
        </w:rPr>
        <w:t>.  PSUs may not be assigned, alienated, pledged, attached, sold or otherwise transferred or encumbered by the Participant otherwise than by will or by the laws of descent and distribution, and any purported assignment, alienation, pledge, attachment, sale, transfer or encumbrance not permitted by this Section 9 shall be void and unenforceable against the Company or any Affiliate.</w:t>
      </w:r>
    </w:p>
    <w:p>
      <w:pPr>
        <w:pStyle w:val="TextBody"/>
        <w:bidi w:val="0"/>
        <w:spacing w:before="0" w:after="200"/>
        <w:ind w:left="0" w:right="0" w:firstLine="1440"/>
        <w:jc w:val="both"/>
        <w:rPr>
          <w:sz w:val="20"/>
        </w:rPr>
      </w:pPr>
      <w:r>
        <w:rPr>
          <w:sz w:val="20"/>
        </w:rPr>
        <w:t>10.</w:t>
      </w:r>
      <w:r>
        <w:rPr>
          <w:caps w:val="false"/>
          <w:smallCaps w:val="false"/>
          <w:sz w:val="20"/>
        </w:rPr>
        <w:t xml:space="preserve">       </w:t>
      </w:r>
      <w:r>
        <w:rPr>
          <w:sz w:val="20"/>
          <w:u w:val="single"/>
        </w:rPr>
        <w:t>Withholding</w:t>
      </w:r>
      <w:r>
        <w:rPr>
          <w:sz w:val="20"/>
        </w:rPr>
        <w:t>.  The Participant may be required to pay to the Company or any Affiliate and the Company or any Affiliate shall have the right and is hereby authorized to withhold from any transfer due under this Agreement or under the Plan or from any compensation or other amount owing to the Participant, applicable withholding taxes with respect to any transfer under this Agreement or under the Plan and to take such action as may be necessary in the opinion of the Company to satisfy all obligations for the payment of such taxes.</w:t>
      </w:r>
    </w:p>
    <w:p>
      <w:pPr>
        <w:pStyle w:val="TextBody"/>
        <w:bidi w:val="0"/>
        <w:spacing w:before="0" w:after="240"/>
        <w:ind w:left="1440" w:right="0" w:hanging="0"/>
        <w:jc w:val="both"/>
        <w:rPr>
          <w:sz w:val="20"/>
        </w:rPr>
      </w:pPr>
      <w:r>
        <w:rPr>
          <w:b/>
          <w:sz w:val="20"/>
        </w:rPr>
        <w:t xml:space="preserve">11. </w:t>
      </w:r>
      <w:r>
        <w:rPr>
          <w:sz w:val="20"/>
        </w:rPr>
        <w:t xml:space="preserve">  </w:t>
      </w:r>
      <w:r>
        <w:rPr>
          <w:b/>
          <w:sz w:val="20"/>
          <w:u w:val="single"/>
        </w:rPr>
        <w:t>Non-Solicitation Covenants.</w:t>
      </w:r>
      <w:r>
        <w:rPr>
          <w:sz w:val="20"/>
        </w:rPr>
        <w:t xml:space="preserve">  </w:t>
      </w:r>
    </w:p>
    <w:p>
      <w:pPr>
        <w:pStyle w:val="TextBody"/>
        <w:bidi w:val="0"/>
        <w:spacing w:before="0" w:after="200"/>
        <w:ind w:left="0" w:right="0" w:firstLine="1890"/>
        <w:jc w:val="both"/>
        <w:rPr>
          <w:sz w:val="20"/>
        </w:rPr>
      </w:pPr>
      <w:r>
        <w:rPr>
          <w:b/>
          <w:sz w:val="20"/>
        </w:rPr>
        <w:t>(a)</w:t>
      </w:r>
      <w:r>
        <w:rPr>
          <w:caps w:val="false"/>
          <w:smallCaps w:val="false"/>
          <w:sz w:val="20"/>
        </w:rPr>
        <w:t xml:space="preserve">       </w:t>
      </w:r>
      <w:r>
        <w:rPr>
          <w:b/>
          <w:sz w:val="20"/>
        </w:rPr>
        <w:t>The Participant acknowledges and agrees that, during the Participant's employment with the Company and its Affiliates and upon the Participant's termination of Employment with the Company and its Affiliates for any reason, for a period commencing on the termination of such Employment and ending on the second anniversary of such termination, the Participant shall not, whether on Participant's own behalf or on behalf of or in conjunction with any person, company, business entity or other organization whatsoever, directly or indirectly:</w:t>
      </w:r>
    </w:p>
    <w:p>
      <w:pPr>
        <w:pStyle w:val="TextBody"/>
        <w:bidi w:val="0"/>
        <w:spacing w:before="0" w:after="200"/>
        <w:ind w:left="0" w:right="0" w:firstLine="2340"/>
        <w:jc w:val="both"/>
        <w:rPr>
          <w:sz w:val="20"/>
        </w:rPr>
      </w:pPr>
      <w:r>
        <w:rPr>
          <w:b/>
          <w:sz w:val="20"/>
        </w:rPr>
        <w:t>(i)</w:t>
      </w:r>
      <w:r>
        <w:rPr>
          <w:caps w:val="false"/>
          <w:smallCaps w:val="false"/>
          <w:sz w:val="20"/>
        </w:rPr>
        <w:t xml:space="preserve">            </w:t>
      </w:r>
      <w:r>
        <w:rPr>
          <w:b/>
          <w:sz w:val="20"/>
        </w:rPr>
        <w:t>solicit any employee of the Company or its Affiliates with whom the Participant had any contact during the last two years of the Participant's employment, or who worked in the same business segment or division as the Participant during that period to terminate employment with the Company or its Affiliates;</w:t>
      </w:r>
    </w:p>
    <w:p>
      <w:pPr>
        <w:pStyle w:val="TextBody"/>
        <w:bidi w:val="0"/>
        <w:spacing w:before="0" w:after="200"/>
        <w:ind w:left="0" w:right="0" w:firstLine="2340"/>
        <w:jc w:val="both"/>
        <w:rPr>
          <w:sz w:val="20"/>
        </w:rPr>
      </w:pPr>
      <w:r>
        <w:rPr>
          <w:b/>
          <w:sz w:val="20"/>
        </w:rPr>
        <w:t>(ii)</w:t>
      </w:r>
      <w:r>
        <w:rPr>
          <w:caps w:val="false"/>
          <w:smallCaps w:val="false"/>
          <w:sz w:val="20"/>
        </w:rPr>
        <w:t xml:space="preserve">          </w:t>
      </w:r>
      <w:r>
        <w:rPr>
          <w:b/>
          <w:sz w:val="20"/>
        </w:rPr>
        <w:t>solicit the employment or services of, or hire, any such employee whose employment with the Company or its Affiliates terminated coincident with, or within twelve (12) months prior to or after the termination of Participant's employment with the Company and its Affiliates;</w:t>
      </w:r>
    </w:p>
    <w:p>
      <w:pPr>
        <w:pStyle w:val="TextBody"/>
        <w:bidi w:val="0"/>
        <w:spacing w:before="0" w:after="200"/>
        <w:ind w:left="0" w:right="0" w:firstLine="2340"/>
        <w:jc w:val="both"/>
        <w:rPr>
          <w:sz w:val="20"/>
        </w:rPr>
      </w:pPr>
      <w:r>
        <w:rPr>
          <w:b/>
          <w:sz w:val="20"/>
        </w:rPr>
        <w:t>(iii)</w:t>
      </w:r>
      <w:r>
        <w:rPr>
          <w:caps w:val="false"/>
          <w:smallCaps w:val="false"/>
          <w:sz w:val="20"/>
        </w:rPr>
        <w:t xml:space="preserve">        </w:t>
      </w:r>
      <w:r>
        <w:rPr>
          <w:b/>
          <w:sz w:val="20"/>
        </w:rPr>
        <w:t>directly or indirectly, solicit to cease to work with the Company or its Affiliates any consultant then under contract with the Company or its Affiliates.</w:t>
      </w:r>
    </w:p>
    <w:p>
      <w:pPr>
        <w:pStyle w:val="TextBody"/>
        <w:bidi w:val="0"/>
        <w:spacing w:before="0" w:after="200"/>
        <w:ind w:left="0" w:right="0" w:firstLine="1890"/>
        <w:jc w:val="both"/>
        <w:rPr>
          <w:sz w:val="20"/>
        </w:rPr>
      </w:pPr>
      <w:r>
        <w:rPr>
          <w:b/>
          <w:sz w:val="20"/>
        </w:rPr>
        <w:t>(b)</w:t>
      </w:r>
      <w:r>
        <w:rPr>
          <w:caps w:val="false"/>
          <w:smallCaps w:val="false"/>
          <w:sz w:val="20"/>
        </w:rPr>
        <w:t xml:space="preserve">       </w:t>
      </w:r>
      <w:r>
        <w:rPr>
          <w:b/>
          <w:sz w:val="20"/>
        </w:rPr>
        <w:t>It is expressly understood and agreed that although the Participant and the Company consider the restrictions contained in this Section 11 to be reasonable, if a final judicial determination is made by a court of competent jurisdiction that the time or any other restriction contained in this Agreement is an unenforceable restriction against the Participant, the provisions of this Agreement shall not be rendered void but shall be deemed amended to apply as to such maximum time and terri</w:t>
        <w:softHyphen/>
        <w:t>tory and to such maximum extent as such court may judicially determine or indicate to be enforceable.</w:t>
      </w:r>
      <w:r>
        <w:rPr>
          <w:sz w:val="20"/>
        </w:rPr>
        <w:t xml:space="preserve">  </w:t>
      </w:r>
      <w:r>
        <w:rPr>
          <w:b/>
          <w:sz w:val="20"/>
        </w:rPr>
        <w:t>Alternatively, if any court of competent jurisdiction finds that any restric</w:t>
        <w:softHyphen/>
        <w:t>tion contained in this Agreement is unenforceable, and such restriction cannot be amended so as to make it enforceable, such finding shall not affect the enforceability of any of the other restrictions contained herein.</w:t>
      </w:r>
    </w:p>
    <w:p>
      <w:pPr>
        <w:pStyle w:val="TextBody"/>
        <w:bidi w:val="0"/>
        <w:spacing w:before="0" w:after="240"/>
        <w:ind w:left="0" w:right="0" w:firstLine="1440"/>
        <w:jc w:val="left"/>
        <w:rPr/>
      </w:pPr>
      <w:r>
        <w:rPr>
          <w:b/>
          <w:sz w:val="20"/>
        </w:rPr>
        <w:t>12.</w:t>
      </w:r>
      <w:r>
        <w:rPr/>
        <w:t xml:space="preserve">   </w:t>
      </w:r>
      <w:r>
        <w:rPr>
          <w:b/>
          <w:sz w:val="20"/>
          <w:u w:val="single"/>
        </w:rPr>
        <w:t>Specific Performance</w:t>
      </w:r>
      <w:r>
        <w:rPr>
          <w:b/>
          <w:sz w:val="20"/>
        </w:rPr>
        <w:t>.</w:t>
      </w:r>
      <w:r>
        <w:rPr/>
        <w:t xml:space="preserve">  </w:t>
      </w:r>
      <w:r>
        <w:rPr>
          <w:b/>
          <w:sz w:val="20"/>
        </w:rPr>
        <w:t>The Participant acknowledges and agrees that the Company's remedies at law for a breach or threatened breach of any of the provisions of Section 11 would be inadequate and the Company would suffer irreparable damages as a result of such breach or threatened breach.</w:t>
      </w:r>
      <w:r>
        <w:rPr/>
        <w:t xml:space="preserve">  </w:t>
      </w:r>
      <w:r>
        <w:rPr>
          <w:b/>
          <w:sz w:val="20"/>
        </w:rPr>
        <w:t>In recognition of this fact, the Participant agrees that, in the event of such a breach or threatened breach, in addition to any remedies at law, the Company, without posting any bond, shall be entitled to cease making any payments or providing any benefit otherwise required by this Agreement and obtain equitable relief in the form of specific performance, temporary restraining order, temporary or permanent injunction or any other equitable remedy which may then be available.</w:t>
      </w:r>
    </w:p>
    <w:p>
      <w:pPr>
        <w:pStyle w:val="TextBody"/>
        <w:bidi w:val="0"/>
        <w:spacing w:before="0" w:after="240"/>
        <w:ind w:left="0" w:right="0" w:firstLine="1440"/>
        <w:jc w:val="left"/>
        <w:rPr>
          <w:sz w:val="20"/>
        </w:rPr>
      </w:pPr>
      <w:r>
        <w:rPr>
          <w:b/>
          <w:sz w:val="20"/>
        </w:rPr>
        <w:t>13.</w:t>
      </w:r>
      <w:r>
        <w:rPr>
          <w:sz w:val="20"/>
        </w:rPr>
        <w:t>   </w:t>
      </w:r>
      <w:r>
        <w:rPr>
          <w:b/>
          <w:sz w:val="20"/>
          <w:u w:val="single"/>
        </w:rPr>
        <w:t>Choice of Law</w:t>
      </w:r>
      <w:r>
        <w:rPr>
          <w:b/>
          <w:sz w:val="20"/>
        </w:rPr>
        <w:t>.</w:t>
      </w:r>
      <w:r>
        <w:rPr>
          <w:sz w:val="20"/>
        </w:rPr>
        <w:t xml:space="preserve">  </w:t>
      </w:r>
      <w:r>
        <w:rPr>
          <w:b/>
          <w:sz w:val="20"/>
        </w:rPr>
        <w:t>THE INTERPRETATION, PERFORMANCE AND ENFORCEMENT OF THIS AGREEMENT SHALL BE GOVERNED BY THE LAWS OF THE STATE OF DELAWARE WITHOUT REGARD TO PRINCIPLES OF CONFLICTS OF LAW.</w:t>
      </w:r>
    </w:p>
    <w:p>
      <w:pPr>
        <w:pStyle w:val="TextBody"/>
        <w:bidi w:val="0"/>
        <w:spacing w:before="0" w:after="240"/>
        <w:ind w:left="0" w:right="0" w:firstLine="1440"/>
        <w:jc w:val="left"/>
        <w:rPr/>
      </w:pPr>
      <w:r>
        <w:rPr>
          <w:sz w:val="20"/>
        </w:rPr>
        <w:t>14.</w:t>
      </w:r>
      <w:r>
        <w:rPr/>
        <w:t xml:space="preserve">  </w:t>
      </w:r>
      <w:r>
        <w:rPr>
          <w:sz w:val="20"/>
          <w:u w:val="single"/>
        </w:rPr>
        <w:t>RSUs Subject to Plan</w:t>
      </w:r>
      <w:r>
        <w:rPr>
          <w:sz w:val="20"/>
        </w:rPr>
        <w:t>.</w:t>
      </w:r>
      <w:r>
        <w:rPr/>
        <w:t xml:space="preserve">  </w:t>
      </w:r>
      <w:r>
        <w:rPr>
          <w:sz w:val="20"/>
        </w:rPr>
        <w:t>By entering into this Agreement, the Participant agrees and acknowledges that the Participant has received and read a copy of the Plan.</w:t>
      </w:r>
      <w:r>
        <w:rPr/>
        <w:t xml:space="preserve">  </w:t>
      </w:r>
      <w:r>
        <w:rPr>
          <w:sz w:val="20"/>
        </w:rPr>
        <w:t>All PSUs are subject to the Plan.</w:t>
      </w:r>
      <w:r>
        <w:rPr/>
        <w:t xml:space="preserve">  </w:t>
      </w:r>
      <w:r>
        <w:rPr>
          <w:sz w:val="20"/>
        </w:rPr>
        <w:t>In the event of a conflict between any term or provision contained herein and a term or provision of the Plan, the applicable terms and provisions of the Plan will govern and prevail.</w:t>
      </w:r>
    </w:p>
    <w:p>
      <w:pPr>
        <w:pStyle w:val="TextBody"/>
        <w:bidi w:val="0"/>
        <w:spacing w:before="0" w:after="0"/>
        <w:jc w:val="left"/>
        <w:rPr/>
      </w:pPr>
      <w:r>
        <w:rPr/>
        <w:t> </w:t>
      </w:r>
    </w:p>
    <w:p>
      <w:pPr>
        <w:pStyle w:val="TextBody"/>
        <w:bidi w:val="0"/>
        <w:spacing w:before="0" w:after="0"/>
        <w:jc w:val="center"/>
        <w:rPr>
          <w:sz w:val="20"/>
        </w:rPr>
      </w:pPr>
      <w:r>
        <w:rPr>
          <w:sz w:val="20"/>
        </w:rPr>
        <w:t>3</w:t>
      </w:r>
    </w:p>
    <w:p>
      <w:pPr>
        <w:pStyle w:val="HorizontalLine"/>
        <w:pBdr>
          <w:bottom w:val="double" w:sz="2" w:space="0" w:color="808080"/>
        </w:pBdr>
        <w:bidi w:val="0"/>
        <w:jc w:val="center"/>
        <w:rPr/>
      </w:pPr>
      <w:r>
        <w:rPr/>
      </w:r>
    </w:p>
    <w:p>
      <w:pPr>
        <w:pStyle w:val="Heading1"/>
        <w:bidi w:val="0"/>
        <w:spacing w:before="0" w:after="200"/>
        <w:ind w:left="0" w:right="0" w:firstLine="1440"/>
        <w:jc w:val="both"/>
        <w:rPr>
          <w:sz w:val="20"/>
        </w:rPr>
      </w:pPr>
      <w:r>
        <w:rPr>
          <w:b w:val="false"/>
          <w:sz w:val="20"/>
        </w:rPr>
        <w:t>15.</w:t>
      </w:r>
      <w:r>
        <w:rPr>
          <w:caps w:val="false"/>
          <w:smallCaps w:val="false"/>
          <w:sz w:val="20"/>
        </w:rPr>
        <w:t xml:space="preserve">       </w:t>
      </w:r>
      <w:r>
        <w:rPr>
          <w:b w:val="false"/>
          <w:sz w:val="20"/>
          <w:u w:val="single"/>
        </w:rPr>
        <w:t>Signature in Counterparts</w:t>
      </w:r>
      <w:r>
        <w:rPr>
          <w:b w:val="false"/>
          <w:sz w:val="20"/>
        </w:rPr>
        <w:t>.</w:t>
      </w:r>
      <w:r>
        <w:rPr>
          <w:sz w:val="20"/>
        </w:rPr>
        <w:t xml:space="preserve">  </w:t>
      </w:r>
      <w:r>
        <w:rPr>
          <w:b w:val="false"/>
          <w:sz w:val="20"/>
        </w:rPr>
        <w:t>This Agreement may be signed in counterparts, each of which shall be an original, with the same effect as if the signatures thereto and hereto were upon the same instrument.</w:t>
      </w:r>
    </w:p>
    <w:p>
      <w:pPr>
        <w:pStyle w:val="TextBody"/>
        <w:bidi w:val="0"/>
        <w:spacing w:before="0" w:after="200"/>
        <w:ind w:left="0" w:right="0" w:firstLine="1440"/>
        <w:jc w:val="both"/>
        <w:rPr>
          <w:sz w:val="20"/>
        </w:rPr>
      </w:pPr>
      <w:r>
        <w:rPr>
          <w:sz w:val="20"/>
        </w:rPr>
        <w:t>16.</w:t>
      </w:r>
      <w:r>
        <w:rPr>
          <w:caps w:val="false"/>
          <w:smallCaps w:val="false"/>
          <w:sz w:val="20"/>
        </w:rPr>
        <w:t xml:space="preserve">       </w:t>
      </w:r>
      <w:r>
        <w:rPr>
          <w:sz w:val="20"/>
          <w:u w:val="single"/>
        </w:rPr>
        <w:t>409A</w:t>
      </w:r>
      <w:r>
        <w:rPr>
          <w:sz w:val="20"/>
        </w:rPr>
        <w:t>.  Notwithstanding any other provisions of this Agreement or the Plan, the PSUs covered by this Agreement shall not be deferred, accelerated, extended, paid out or modified in a manner that would result in the imposition of an additional tax under Section 409A of the Code upon the Participant.  In the event it is reasonably determined by the Committee that, as a result of Section 409A of the Code, the transfer of Class B Shares under this Agreement may not be made at the time contemplated hereunder without causing the Participant to be subject to taxation under Section 409A of the Code (including due to the Participant's status as a "specified employee" within the meaning of Section 409A of the Code), the Company will make such payment on the first day that would not result in the Participant incurring any tax liability under Section 409A of the Code.</w:t>
      </w:r>
    </w:p>
    <w:p>
      <w:pPr>
        <w:pStyle w:val="TextBody"/>
        <w:bidi w:val="0"/>
        <w:spacing w:before="0" w:after="0"/>
        <w:ind w:left="0" w:right="0" w:firstLine="1440"/>
        <w:jc w:val="left"/>
        <w:rPr>
          <w:sz w:val="20"/>
        </w:rPr>
      </w:pPr>
      <w:r>
        <w:rPr>
          <w:sz w:val="20"/>
        </w:rPr>
        <w:t xml:space="preserve">IN WITNESS WHEREOF, the parties hereto have executed this Agreement. </w:t>
      </w:r>
    </w:p>
    <w:p>
      <w:pPr>
        <w:pStyle w:val="TextBody"/>
        <w:bidi w:val="0"/>
        <w:spacing w:before="0" w:after="0"/>
        <w:jc w:val="left"/>
        <w:rPr/>
      </w:pPr>
      <w:r>
        <w:rPr/>
        <w:t> </w:t>
      </w:r>
    </w:p>
    <w:tbl>
      <w:tblPr>
        <w:tblW w:w="3019" w:type="dxa"/>
        <w:jc w:val="left"/>
        <w:tblInd w:w="0" w:type="dxa"/>
        <w:tblLayout w:type="fixed"/>
        <w:tblCellMar>
          <w:top w:w="0" w:type="dxa"/>
          <w:left w:w="0" w:type="dxa"/>
          <w:bottom w:w="0" w:type="dxa"/>
          <w:right w:w="0" w:type="dxa"/>
        </w:tblCellMar>
      </w:tblPr>
      <w:tblGrid>
        <w:gridCol w:w="75"/>
        <w:gridCol w:w="2285"/>
        <w:gridCol w:w="659"/>
      </w:tblGrid>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0" w:after="0"/>
              <w:jc w:val="left"/>
              <w:rPr>
                <w:sz w:val="20"/>
              </w:rPr>
            </w:pPr>
            <w:r>
              <w:rPr>
                <w:sz w:val="20"/>
              </w:rPr>
              <w:t>HOVNANIAN ENTERPRISES, INC.</w:t>
            </w:r>
          </w:p>
        </w:tc>
      </w:tr>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sz w:val="20"/>
              </w:rPr>
            </w:pPr>
            <w:r>
              <w:rPr>
                <w:sz w:val="20"/>
              </w:rPr>
              <w:t>By:</w:t>
            </w:r>
          </w:p>
        </w:tc>
        <w:tc>
          <w:tcPr>
            <w:tcW w:w="659" w:type="dxa"/>
            <w:tcBorders>
              <w:bottom w:val="single" w:sz="6" w:space="0" w:color="000000"/>
            </w:tcBorders>
            <w:tcMar>
              <w:bottom w:w="28" w:type="dxa"/>
            </w:tcMar>
            <w:vAlign w:val="center"/>
          </w:tcPr>
          <w:p>
            <w:pPr>
              <w:pStyle w:val="TableContents"/>
              <w:widowControl w:val="false"/>
              <w:bidi w:val="0"/>
              <w:spacing w:before="0" w:after="6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top w:val="single" w:sz="6" w:space="0" w:color="000000"/>
            </w:tcBorders>
            <w:tcMar>
              <w:top w:w="28" w:type="dxa"/>
            </w:tcMar>
            <w:vAlign w:val="center"/>
          </w:tcPr>
          <w:p>
            <w:pPr>
              <w:pStyle w:val="TableContents"/>
              <w:widowControl w:val="false"/>
              <w:bidi w:val="0"/>
              <w:spacing w:before="2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120" w:after="0"/>
              <w:jc w:val="left"/>
              <w:rPr>
                <w:sz w:val="20"/>
              </w:rPr>
            </w:pPr>
            <w:r>
              <w:rPr>
                <w:sz w:val="20"/>
              </w:rPr>
              <w:t>PARTICIPANT</w:t>
            </w:r>
            <w:r>
              <w:rPr>
                <w:sz w:val="13"/>
              </w:rPr>
              <w:t>1</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sz w:val="20"/>
              </w:rPr>
            </w:pPr>
            <w:r>
              <w:rPr>
                <w:sz w:val="20"/>
              </w:rPr>
              <w:t>By:</w:t>
            </w:r>
          </w:p>
        </w:tc>
        <w:tc>
          <w:tcPr>
            <w:tcW w:w="659"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top w:val="single" w:sz="6" w:space="0" w:color="000000"/>
            </w:tcBorders>
            <w:tcMar>
              <w:top w:w="28" w:type="dxa"/>
            </w:tcMar>
            <w:vAlign w:val="center"/>
          </w:tcPr>
          <w:p>
            <w:pPr>
              <w:pStyle w:val="TableContents"/>
              <w:widowControl w:val="false"/>
              <w:bidi w:val="0"/>
              <w:spacing w:before="2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28" w:type="dxa"/>
          <w:right w:w="0" w:type="dxa"/>
        </w:tblCellMar>
      </w:tblPr>
      <w:tblGrid>
        <w:gridCol w:w="164"/>
        <w:gridCol w:w="4457"/>
        <w:gridCol w:w="5584"/>
      </w:tblGrid>
      <w:tr>
        <w:trPr/>
        <w:tc>
          <w:tcPr>
            <w:tcW w:w="164" w:type="dxa"/>
            <w:tcBorders>
              <w:bottom w:val="single" w:sz="6" w:space="0" w:color="000000"/>
            </w:tcBorders>
            <w:vAlign w:val="center"/>
          </w:tcPr>
          <w:p>
            <w:pPr>
              <w:pStyle w:val="TableContents"/>
              <w:widowControl w:val="false"/>
              <w:bidi w:val="0"/>
              <w:spacing w:before="0" w:after="0"/>
              <w:jc w:val="left"/>
              <w:rPr/>
            </w:pPr>
            <w:r>
              <w:rPr/>
              <w:t> </w:t>
            </w:r>
          </w:p>
        </w:tc>
        <w:tc>
          <w:tcPr>
            <w:tcW w:w="4457" w:type="dxa"/>
            <w:tcBorders>
              <w:bottom w:val="single" w:sz="6" w:space="0" w:color="000000"/>
            </w:tcBorders>
            <w:vAlign w:val="center"/>
          </w:tcPr>
          <w:p>
            <w:pPr>
              <w:pStyle w:val="TableContents"/>
              <w:widowControl w:val="false"/>
              <w:bidi w:val="0"/>
              <w:spacing w:before="0" w:after="0"/>
              <w:jc w:val="left"/>
              <w:rPr/>
            </w:pPr>
            <w:r>
              <w:rPr/>
              <w:t> </w:t>
            </w:r>
          </w:p>
        </w:tc>
        <w:tc>
          <w:tcPr>
            <w:tcW w:w="5584" w:type="dxa"/>
            <w:tcBorders/>
            <w:tcMar>
              <w:bottom w:w="0" w:type="dxa"/>
            </w:tcMar>
            <w:vAlign w:val="center"/>
          </w:tcPr>
          <w:p>
            <w:pPr>
              <w:pStyle w:val="TableContents"/>
              <w:widowControl w:val="false"/>
              <w:bidi w:val="0"/>
              <w:spacing w:before="0" w:after="0"/>
              <w:jc w:val="left"/>
              <w:rPr/>
            </w:pPr>
            <w:r>
              <w:rPr/>
              <w:t> </w:t>
            </w:r>
          </w:p>
        </w:tc>
      </w:tr>
      <w:tr>
        <w:trPr/>
        <w:tc>
          <w:tcPr>
            <w:tcW w:w="164" w:type="dxa"/>
            <w:tcBorders/>
            <w:tcMar>
              <w:bottom w:w="0" w:type="dxa"/>
            </w:tcMar>
            <w:vAlign w:val="center"/>
          </w:tcPr>
          <w:p>
            <w:pPr>
              <w:pStyle w:val="TableContents"/>
              <w:widowControl w:val="false"/>
              <w:bidi w:val="0"/>
              <w:spacing w:before="80" w:after="0"/>
              <w:jc w:val="left"/>
              <w:rPr>
                <w:sz w:val="20"/>
              </w:rPr>
            </w:pPr>
            <w:r>
              <w:rPr>
                <w:sz w:val="20"/>
              </w:rPr>
              <w:t>1.</w:t>
            </w:r>
          </w:p>
        </w:tc>
        <w:tc>
          <w:tcPr>
            <w:tcW w:w="10041" w:type="dxa"/>
            <w:gridSpan w:val="2"/>
            <w:tcBorders/>
            <w:tcMar>
              <w:bottom w:w="0" w:type="dxa"/>
            </w:tcMar>
            <w:vAlign w:val="center"/>
          </w:tcPr>
          <w:p>
            <w:pPr>
              <w:pStyle w:val="TableContents"/>
              <w:widowControl w:val="false"/>
              <w:bidi w:val="0"/>
              <w:spacing w:before="80" w:after="0"/>
              <w:jc w:val="both"/>
              <w:rPr>
                <w:sz w:val="20"/>
              </w:rPr>
            </w:pPr>
            <w:r>
              <w:rPr>
                <w:sz w:val="20"/>
              </w:rPr>
              <w:t>To the extent that the Company has established, either itself or through a third-party plan administrator, the ability to accept this award electronically, such acceptance shall constitute the Participant’s signature hereof.</w:t>
            </w:r>
          </w:p>
        </w:tc>
      </w:tr>
    </w:tbl>
    <w:p>
      <w:pPr>
        <w:pStyle w:val="TextBody"/>
        <w:bidi w:val="0"/>
        <w:spacing w:before="0" w:after="0"/>
        <w:jc w:val="left"/>
        <w:rPr/>
      </w:pPr>
      <w:r>
        <w:rPr/>
        <w:t> </w:t>
      </w:r>
    </w:p>
    <w:p>
      <w:pPr>
        <w:pStyle w:val="TextBody"/>
        <w:bidi w:val="0"/>
        <w:spacing w:before="0" w:after="0"/>
        <w:jc w:val="center"/>
        <w:rPr>
          <w:sz w:val="20"/>
        </w:rPr>
      </w:pPr>
      <w:r>
        <w:rPr>
          <w:sz w:val="20"/>
        </w:rPr>
        <w:t>4</w:t>
      </w:r>
    </w:p>
    <w:p>
      <w:pPr>
        <w:pStyle w:val="HorizontalLine"/>
        <w:pBdr>
          <w:bottom w:val="double" w:sz="2" w:space="0" w:color="808080"/>
        </w:pBdr>
        <w:bidi w:val="0"/>
        <w:jc w:val="center"/>
        <w:rPr/>
      </w:pPr>
      <w:r>
        <w:rPr/>
      </w:r>
    </w:p>
    <w:p>
      <w:pPr>
        <w:pStyle w:val="TextBody"/>
        <w:bidi w:val="0"/>
        <w:spacing w:before="0" w:after="0"/>
        <w:jc w:val="center"/>
        <w:rPr>
          <w:b/>
          <w:sz w:val="20"/>
          <w:u w:val="single"/>
        </w:rPr>
      </w:pPr>
      <w:r>
        <w:rPr>
          <w:b/>
          <w:sz w:val="20"/>
          <w:u w:val="single"/>
        </w:rPr>
        <w:t>Exhibit A</w:t>
      </w:r>
    </w:p>
    <w:p>
      <w:pPr>
        <w:pStyle w:val="TextBody"/>
        <w:bidi w:val="0"/>
        <w:spacing w:before="0" w:after="0"/>
        <w:jc w:val="center"/>
        <w:rPr>
          <w:b/>
          <w:sz w:val="20"/>
        </w:rPr>
      </w:pPr>
      <w:r>
        <w:rPr>
          <w:b/>
          <w:sz w:val="20"/>
        </w:rPr>
        <w:t>[Insert Performance Metrics for Determining Earned PSUs]</w:t>
      </w:r>
    </w:p>
    <w:p>
      <w:pPr>
        <w:pStyle w:val="TextBody"/>
        <w:bidi w:val="0"/>
        <w:spacing w:before="0" w:after="0"/>
        <w:jc w:val="center"/>
        <w:rPr/>
      </w:pPr>
      <w:r>
        <w:rPr/>
        <w:t> </w:t>
      </w:r>
    </w:p>
    <w:p>
      <w:pPr>
        <w:pStyle w:val="TextBody"/>
        <w:bidi w:val="0"/>
        <w:spacing w:before="0" w:after="0"/>
        <w:jc w:val="center"/>
        <w:rPr>
          <w:sz w:val="20"/>
        </w:rPr>
      </w:pPr>
      <w:r>
        <w:rPr>
          <w:sz w:val="20"/>
        </w:rPr>
        <w:t>5</w:t>
      </w:r>
    </w:p>
    <w:p>
      <w:pPr>
        <w:pStyle w:val="HorizontalLine"/>
        <w:pBdr>
          <w:bottom w:val="double" w:sz="2" w:space="0" w:color="808080"/>
        </w:pBdr>
        <w:bidi w:val="0"/>
        <w:jc w:val="center"/>
        <w:rPr/>
      </w:pPr>
      <w:r>
        <w:rPr/>
      </w:r>
    </w:p>
    <w:p>
      <w:pPr>
        <w:pStyle w:val="TextBody"/>
        <w:bidi w:val="0"/>
        <w:spacing w:before="0" w:after="0"/>
        <w:jc w:val="right"/>
        <w:rPr>
          <w:b/>
          <w:sz w:val="20"/>
        </w:rPr>
      </w:pPr>
      <w:bookmarkStart w:id="23" w:name="ex10C_3.htm"/>
      <w:bookmarkStart w:id="24" w:name="ksex10C_3"/>
      <w:bookmarkEnd w:id="23"/>
      <w:bookmarkEnd w:id="24"/>
      <w:r>
        <w:rPr>
          <w:b/>
          <w:sz w:val="20"/>
        </w:rPr>
        <w:t>Exhibit 10(c)</w:t>
      </w:r>
      <w:r>
        <w:br w:type="page"/>
      </w:r>
    </w:p>
    <w:p>
      <w:pPr>
        <w:pStyle w:val="TextBody"/>
        <w:bidi w:val="0"/>
        <w:spacing w:before="0" w:after="0"/>
        <w:jc w:val="left"/>
        <w:rPr/>
      </w:pPr>
      <w:r>
        <w:rPr/>
        <w:t> </w:t>
      </w:r>
    </w:p>
    <w:p>
      <w:pPr>
        <w:pStyle w:val="TextBody"/>
        <w:bidi w:val="0"/>
        <w:spacing w:before="0" w:after="0"/>
        <w:jc w:val="center"/>
        <w:rPr>
          <w:sz w:val="20"/>
        </w:rPr>
      </w:pPr>
      <w:r>
        <w:rPr>
          <w:b/>
          <w:sz w:val="20"/>
        </w:rPr>
        <w:t>2020 HOVNANIAN ENTERPRISES, INC.</w:t>
      </w:r>
      <w:r>
        <w:rPr>
          <w:sz w:val="20"/>
        </w:rPr>
        <w:br/>
      </w:r>
      <w:r>
        <w:rPr>
          <w:b/>
          <w:sz w:val="20"/>
        </w:rPr>
        <w:t>FOURTH AMENDED AND RESTATED STOCK INCENTIVE PLAN</w:t>
      </w:r>
    </w:p>
    <w:p>
      <w:pPr>
        <w:pStyle w:val="TextBody"/>
        <w:bidi w:val="0"/>
        <w:spacing w:before="0" w:after="0"/>
        <w:jc w:val="left"/>
        <w:rPr/>
      </w:pPr>
      <w:r>
        <w:rPr/>
        <w:t> </w:t>
      </w:r>
    </w:p>
    <w:p>
      <w:pPr>
        <w:pStyle w:val="TextBody"/>
        <w:bidi w:val="0"/>
        <w:spacing w:before="0" w:after="0"/>
        <w:jc w:val="center"/>
        <w:rPr>
          <w:b/>
          <w:sz w:val="20"/>
        </w:rPr>
      </w:pPr>
      <w:r>
        <w:rPr>
          <w:b/>
          <w:sz w:val="20"/>
        </w:rPr>
        <w:t>PERFORMANCE SHARE UNIT AGREEMENT</w:t>
      </w:r>
    </w:p>
    <w:p>
      <w:pPr>
        <w:pStyle w:val="TextBody"/>
        <w:bidi w:val="0"/>
        <w:spacing w:before="0" w:after="0"/>
        <w:jc w:val="center"/>
        <w:rPr>
          <w:b/>
          <w:sz w:val="20"/>
        </w:rPr>
      </w:pPr>
      <w:r>
        <w:rPr>
          <w:b/>
          <w:sz w:val="20"/>
        </w:rPr>
        <w:t>(EBIT ROI Performance Vesting)</w:t>
      </w:r>
    </w:p>
    <w:p>
      <w:pPr>
        <w:pStyle w:val="TextBody"/>
        <w:bidi w:val="0"/>
        <w:spacing w:before="0" w:after="0"/>
        <w:jc w:val="left"/>
        <w:rPr/>
      </w:pPr>
      <w:r>
        <w:rPr/>
        <w:t> </w:t>
      </w:r>
    </w:p>
    <w:tbl>
      <w:tblPr>
        <w:tblW w:w="5108" w:type="dxa"/>
        <w:jc w:val="left"/>
        <w:tblInd w:w="0" w:type="dxa"/>
        <w:tblLayout w:type="fixed"/>
        <w:tblCellMar>
          <w:top w:w="0" w:type="dxa"/>
          <w:left w:w="0" w:type="dxa"/>
          <w:bottom w:w="0" w:type="dxa"/>
          <w:right w:w="0" w:type="dxa"/>
        </w:tblCellMar>
      </w:tblPr>
      <w:tblGrid>
        <w:gridCol w:w="2612"/>
        <w:gridCol w:w="77"/>
        <w:gridCol w:w="60"/>
        <w:gridCol w:w="2176"/>
        <w:gridCol w:w="108"/>
        <w:gridCol w:w="75"/>
      </w:tblGrid>
      <w:tr>
        <w:trPr/>
        <w:tc>
          <w:tcPr>
            <w:tcW w:w="2612" w:type="dxa"/>
            <w:tcBorders/>
            <w:vAlign w:val="center"/>
          </w:tcPr>
          <w:p>
            <w:pPr>
              <w:pStyle w:val="TableContents"/>
              <w:widowControl w:val="false"/>
              <w:bidi w:val="0"/>
              <w:spacing w:before="0" w:after="0"/>
              <w:jc w:val="left"/>
              <w:rPr>
                <w:i/>
                <w:sz w:val="20"/>
              </w:rPr>
            </w:pPr>
            <w:r>
              <w:rPr>
                <w:i/>
                <w:sz w:val="20"/>
              </w:rPr>
              <w:t>Participant:</w:t>
            </w:r>
          </w:p>
        </w:tc>
        <w:tc>
          <w:tcPr>
            <w:tcW w:w="77"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i/>
                <w:sz w:val="20"/>
              </w:rPr>
            </w:pPr>
            <w:r>
              <w:rPr>
                <w:i/>
                <w:sz w:val="20"/>
              </w:rPr>
              <w:t>Date of Grant:</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77"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108"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77"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108"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vAlign w:val="center"/>
          </w:tcPr>
          <w:p>
            <w:pPr>
              <w:pStyle w:val="TableContents"/>
              <w:widowControl w:val="false"/>
              <w:bidi w:val="0"/>
              <w:spacing w:before="0" w:after="0"/>
              <w:jc w:val="left"/>
              <w:rPr/>
            </w:pPr>
            <w:r>
              <w:rPr/>
              <w:t> </w:t>
            </w:r>
          </w:p>
        </w:tc>
        <w:tc>
          <w:tcPr>
            <w:tcW w:w="77"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pPr>
            <w:r>
              <w:rPr/>
              <w:t> </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vAlign w:val="center"/>
          </w:tcPr>
          <w:p>
            <w:pPr>
              <w:pStyle w:val="TableContents"/>
              <w:widowControl w:val="false"/>
              <w:bidi w:val="0"/>
              <w:spacing w:before="0" w:after="0"/>
              <w:jc w:val="left"/>
              <w:rPr>
                <w:i/>
                <w:sz w:val="20"/>
              </w:rPr>
            </w:pPr>
            <w:r>
              <w:rPr>
                <w:i/>
                <w:sz w:val="20"/>
              </w:rPr>
              <w:t>Target Number of PSUs:</w:t>
            </w:r>
          </w:p>
        </w:tc>
        <w:tc>
          <w:tcPr>
            <w:tcW w:w="77"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60"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pPr>
            <w:r>
              <w:rPr/>
              <w:t> </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vAlign w:val="center"/>
          </w:tcPr>
          <w:p>
            <w:pPr>
              <w:pStyle w:val="TableContents"/>
              <w:widowControl w:val="false"/>
              <w:bidi w:val="0"/>
              <w:spacing w:before="0" w:after="0"/>
              <w:jc w:val="left"/>
              <w:rPr/>
            </w:pPr>
            <w:r>
              <w:rPr/>
              <w:t> </w:t>
            </w:r>
          </w:p>
        </w:tc>
        <w:tc>
          <w:tcPr>
            <w:tcW w:w="77"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60"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pPr>
            <w:r>
              <w:rPr/>
              <w:t> </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vAlign w:val="center"/>
          </w:tcPr>
          <w:p>
            <w:pPr>
              <w:pStyle w:val="TableContents"/>
              <w:widowControl w:val="false"/>
              <w:bidi w:val="0"/>
              <w:spacing w:before="0" w:after="0"/>
              <w:jc w:val="left"/>
              <w:rPr/>
            </w:pPr>
            <w:r>
              <w:rPr/>
              <w:t> </w:t>
            </w:r>
          </w:p>
        </w:tc>
        <w:tc>
          <w:tcPr>
            <w:tcW w:w="77"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pPr>
            <w:r>
              <w:rPr/>
              <w:t> </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89" w:type="dxa"/>
            <w:gridSpan w:val="2"/>
            <w:tcBorders/>
            <w:vAlign w:val="center"/>
          </w:tcPr>
          <w:p>
            <w:pPr>
              <w:pStyle w:val="TableContents"/>
              <w:widowControl w:val="false"/>
              <w:bidi w:val="0"/>
              <w:spacing w:before="0" w:after="0"/>
              <w:jc w:val="left"/>
              <w:rPr>
                <w:i/>
                <w:sz w:val="20"/>
              </w:rPr>
            </w:pPr>
            <w:r>
              <w:rPr>
                <w:i/>
                <w:sz w:val="20"/>
              </w:rPr>
              <w:t>Date of Vesting of Earned PSUs:</w:t>
            </w:r>
          </w:p>
        </w:tc>
        <w:tc>
          <w:tcPr>
            <w:tcW w:w="60" w:type="dxa"/>
            <w:tcBorders/>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pPr>
            <w:r>
              <w:rPr/>
              <w:t> </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vAlign w:val="center"/>
          </w:tcPr>
          <w:p>
            <w:pPr>
              <w:pStyle w:val="TableContents"/>
              <w:widowControl w:val="false"/>
              <w:bidi w:val="0"/>
              <w:spacing w:before="0" w:after="0"/>
              <w:jc w:val="left"/>
              <w:rPr/>
            </w:pPr>
            <w:r>
              <w:rPr/>
              <w:t> </w:t>
            </w:r>
          </w:p>
        </w:tc>
        <w:tc>
          <w:tcPr>
            <w:tcW w:w="77"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pPr>
            <w:r>
              <w:rPr/>
              <w:t> </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vAlign w:val="center"/>
          </w:tcPr>
          <w:p>
            <w:pPr>
              <w:pStyle w:val="TableContents"/>
              <w:widowControl w:val="false"/>
              <w:bidi w:val="0"/>
              <w:spacing w:before="0" w:after="0"/>
              <w:jc w:val="left"/>
              <w:rPr>
                <w:i/>
                <w:sz w:val="20"/>
                <w:u w:val="single"/>
              </w:rPr>
            </w:pPr>
            <w:r>
              <w:rPr>
                <w:i/>
                <w:sz w:val="20"/>
                <w:u w:val="single"/>
              </w:rPr>
              <w:t>Date</w:t>
            </w:r>
          </w:p>
        </w:tc>
        <w:tc>
          <w:tcPr>
            <w:tcW w:w="77"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284" w:type="dxa"/>
            <w:gridSpan w:val="2"/>
            <w:tcBorders/>
            <w:vAlign w:val="center"/>
          </w:tcPr>
          <w:p>
            <w:pPr>
              <w:pStyle w:val="TableContents"/>
              <w:widowControl w:val="false"/>
              <w:bidi w:val="0"/>
              <w:spacing w:before="0" w:after="0"/>
              <w:jc w:val="left"/>
              <w:rPr>
                <w:i/>
                <w:sz w:val="20"/>
                <w:u w:val="single"/>
              </w:rPr>
            </w:pPr>
            <w:r>
              <w:rPr>
                <w:i/>
                <w:sz w:val="20"/>
                <w:u w:val="single"/>
              </w:rPr>
              <w:t>Percentage of Earned PSUs</w:t>
            </w:r>
          </w:p>
        </w:tc>
        <w:tc>
          <w:tcPr>
            <w:tcW w:w="75" w:type="dxa"/>
            <w:tcBorders/>
            <w:vAlign w:val="center"/>
          </w:tcPr>
          <w:p>
            <w:pPr>
              <w:pStyle w:val="TableContents"/>
              <w:widowControl w:val="false"/>
              <w:bidi w:val="0"/>
              <w:spacing w:before="0" w:after="0"/>
              <w:jc w:val="left"/>
              <w:rPr/>
            </w:pPr>
            <w:r>
              <w:rPr/>
              <w:t> </w:t>
            </w:r>
          </w:p>
        </w:tc>
      </w:tr>
      <w:tr>
        <w:trPr/>
        <w:tc>
          <w:tcPr>
            <w:tcW w:w="2612" w:type="dxa"/>
            <w:tcBorders/>
            <w:vAlign w:val="center"/>
          </w:tcPr>
          <w:p>
            <w:pPr>
              <w:pStyle w:val="TableContents"/>
              <w:widowControl w:val="false"/>
              <w:bidi w:val="0"/>
              <w:spacing w:before="0" w:after="0"/>
              <w:jc w:val="left"/>
              <w:rPr/>
            </w:pPr>
            <w:r>
              <w:rPr/>
              <w:t> </w:t>
            </w:r>
          </w:p>
        </w:tc>
        <w:tc>
          <w:tcPr>
            <w:tcW w:w="77"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pPr>
            <w:r>
              <w:rPr/>
              <w:t> </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bottom w:val="single" w:sz="6" w:space="0" w:color="000000"/>
            </w:tcBorders>
            <w:tcMar>
              <w:bottom w:w="28" w:type="dxa"/>
            </w:tcMar>
            <w:vAlign w:val="center"/>
          </w:tcPr>
          <w:p>
            <w:pPr>
              <w:pStyle w:val="TableContents"/>
              <w:widowControl w:val="false"/>
              <w:bidi w:val="0"/>
              <w:spacing w:before="0" w:after="0"/>
              <w:jc w:val="center"/>
              <w:rPr>
                <w:sz w:val="20"/>
              </w:rPr>
            </w:pPr>
            <w:r>
              <w:rPr>
                <w:sz w:val="20"/>
              </w:rPr>
              <w:t>[Date]</w:t>
            </w:r>
          </w:p>
        </w:tc>
        <w:tc>
          <w:tcPr>
            <w:tcW w:w="77"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bottom w:val="single" w:sz="6" w:space="0" w:color="000000"/>
            </w:tcBorders>
            <w:tcMar>
              <w:bottom w:w="28" w:type="dxa"/>
            </w:tcMar>
            <w:vAlign w:val="center"/>
          </w:tcPr>
          <w:p>
            <w:pPr>
              <w:pStyle w:val="TableContents"/>
              <w:widowControl w:val="false"/>
              <w:bidi w:val="0"/>
              <w:spacing w:before="0" w:after="0"/>
              <w:jc w:val="center"/>
              <w:rPr>
                <w:sz w:val="20"/>
              </w:rPr>
            </w:pPr>
            <w:r>
              <w:rPr>
                <w:sz w:val="20"/>
              </w:rPr>
              <w:t>100%</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bl>
    <w:p>
      <w:pPr>
        <w:pStyle w:val="TextBody"/>
        <w:bidi w:val="0"/>
        <w:spacing w:before="0" w:after="0"/>
        <w:jc w:val="left"/>
        <w:rPr/>
      </w:pPr>
      <w:r>
        <w:rPr/>
        <w:t> </w:t>
      </w:r>
    </w:p>
    <w:p>
      <w:pPr>
        <w:pStyle w:val="Heading1"/>
        <w:bidi w:val="0"/>
        <w:spacing w:before="0" w:after="200"/>
        <w:ind w:left="0" w:right="0" w:firstLine="1440"/>
        <w:jc w:val="both"/>
        <w:rPr>
          <w:sz w:val="20"/>
        </w:rPr>
      </w:pPr>
      <w:r>
        <w:rPr>
          <w:b w:val="false"/>
          <w:sz w:val="20"/>
        </w:rPr>
        <w:t>1.</w:t>
      </w:r>
      <w:r>
        <w:rPr>
          <w:caps w:val="false"/>
          <w:smallCaps w:val="false"/>
          <w:sz w:val="20"/>
        </w:rPr>
        <w:t xml:space="preserve">          </w:t>
      </w:r>
      <w:r>
        <w:rPr>
          <w:b w:val="false"/>
          <w:sz w:val="20"/>
          <w:u w:val="single"/>
        </w:rPr>
        <w:t>Grant of PSUs</w:t>
      </w:r>
      <w:r>
        <w:rPr>
          <w:b w:val="false"/>
          <w:sz w:val="20"/>
        </w:rPr>
        <w:t>.</w:t>
      </w:r>
      <w:r>
        <w:rPr>
          <w:sz w:val="20"/>
        </w:rPr>
        <w:t xml:space="preserve">  </w:t>
      </w:r>
      <w:r>
        <w:rPr>
          <w:b w:val="false"/>
          <w:sz w:val="20"/>
        </w:rPr>
        <w:t>For valuable consideration, receipt of which is hereby acknowledged, Hovnanian Enterprises, Inc., a Delaware Corporation (the "Company"), hereby grants the target number (“Target Number”) of performance share units ("PSUs") listed above to the Participant, on the terms and conditions hereinafter set forth.</w:t>
      </w:r>
      <w:r>
        <w:rPr>
          <w:sz w:val="20"/>
        </w:rPr>
        <w:t xml:space="preserve">  </w:t>
      </w:r>
      <w:r>
        <w:rPr>
          <w:b w:val="false"/>
          <w:sz w:val="20"/>
        </w:rPr>
        <w:t>This grant is made pursuant to the terms and conditions of the 2020 Company Fourth Amended and Restated Stock Incentive Plan (the "Plan"), which Plan, as amended from time to time, is incorporated herein by reference and made a part of this Agreement.</w:t>
      </w:r>
      <w:r>
        <w:rPr>
          <w:sz w:val="20"/>
        </w:rPr>
        <w:t xml:space="preserve">  </w:t>
      </w:r>
      <w:r>
        <w:rPr>
          <w:b w:val="false"/>
          <w:sz w:val="20"/>
        </w:rPr>
        <w:t>The actual number of PSUs, if any, that the Participant will be eligible to earn with respect to this Agreement (the “Earned PSUs”), subject to meeting the applicable service and performance vesting requirements, will equal the Target Number multiplied by the applicable “Performance Multiplier” as defined in Exhibit A hereto.</w:t>
      </w:r>
      <w:r>
        <w:rPr>
          <w:sz w:val="20"/>
        </w:rPr>
        <w:t xml:space="preserve">  </w:t>
      </w:r>
      <w:r>
        <w:rPr>
          <w:b w:val="false"/>
          <w:sz w:val="20"/>
        </w:rPr>
        <w:t>Each Earned PSU represents the unfunded, unsecured right of the Participant to receive a Share on the date(s) specified herein.</w:t>
      </w:r>
      <w:r>
        <w:rPr>
          <w:sz w:val="20"/>
        </w:rPr>
        <w:t xml:space="preserve">  </w:t>
      </w:r>
      <w:r>
        <w:rPr>
          <w:b w:val="false"/>
          <w:sz w:val="20"/>
        </w:rPr>
        <w:t>Capitalized terms not otherwise defined herein shall have the same meanings as in the Plan.</w:t>
      </w:r>
    </w:p>
    <w:p>
      <w:pPr>
        <w:pStyle w:val="TextBody"/>
        <w:bidi w:val="0"/>
        <w:spacing w:before="0" w:after="200"/>
        <w:ind w:left="0" w:right="0" w:firstLine="1440"/>
        <w:jc w:val="both"/>
        <w:rPr>
          <w:sz w:val="20"/>
        </w:rPr>
      </w:pPr>
      <w:r>
        <w:rPr>
          <w:sz w:val="20"/>
        </w:rPr>
        <w:t>2.</w:t>
      </w:r>
      <w:r>
        <w:rPr>
          <w:caps w:val="false"/>
          <w:smallCaps w:val="false"/>
          <w:sz w:val="20"/>
        </w:rPr>
        <w:t xml:space="preserve">          </w:t>
      </w:r>
      <w:r>
        <w:rPr>
          <w:sz w:val="20"/>
          <w:u w:val="single"/>
        </w:rPr>
        <w:t>Vesting and Timing of Transfer</w:t>
      </w:r>
      <w:r>
        <w:rPr>
          <w:sz w:val="20"/>
        </w:rPr>
        <w:t>.</w:t>
      </w:r>
    </w:p>
    <w:p>
      <w:pPr>
        <w:pStyle w:val="TextBody"/>
        <w:bidi w:val="0"/>
        <w:spacing w:before="0" w:after="200"/>
        <w:ind w:left="0" w:right="0" w:firstLine="1890"/>
        <w:jc w:val="both"/>
        <w:rPr>
          <w:sz w:val="20"/>
        </w:rPr>
      </w:pPr>
      <w:r>
        <w:rPr>
          <w:sz w:val="20"/>
        </w:rPr>
        <w:t>(a)</w:t>
      </w:r>
      <w:r>
        <w:rPr>
          <w:caps w:val="false"/>
          <w:smallCaps w:val="false"/>
          <w:sz w:val="20"/>
        </w:rPr>
        <w:t xml:space="preserve">        </w:t>
      </w:r>
      <w:r>
        <w:rPr>
          <w:sz w:val="20"/>
        </w:rPr>
        <w:t xml:space="preserve">The Participant will become vested in the Earned PSUs in accordance with the schedule set forth above (each such vesting date, a “Vesting Date”); </w:t>
      </w:r>
      <w:r>
        <w:rPr>
          <w:sz w:val="20"/>
          <w:u w:val="single"/>
        </w:rPr>
        <w:t>provided</w:t>
      </w:r>
      <w:r>
        <w:rPr>
          <w:sz w:val="20"/>
        </w:rPr>
        <w:t xml:space="preserve">, </w:t>
      </w:r>
      <w:r>
        <w:rPr>
          <w:sz w:val="20"/>
          <w:u w:val="single"/>
        </w:rPr>
        <w:t>however</w:t>
      </w:r>
      <w:r>
        <w:rPr>
          <w:sz w:val="20"/>
        </w:rPr>
        <w:t xml:space="preserve">, that upon the occurrence of a Change in Control that results in the Company's Shares ceasing to be publicly traded on a national securities exchange, the Earned PSUs shall immediately become fully vested (subject to any delay in Share delivery required pursuant to Sections 2(b) and 16 hereof). </w:t>
      </w:r>
    </w:p>
    <w:p>
      <w:pPr>
        <w:pStyle w:val="TextBody"/>
        <w:bidi w:val="0"/>
        <w:spacing w:before="0" w:after="200"/>
        <w:ind w:left="0" w:right="0" w:firstLine="1890"/>
        <w:jc w:val="both"/>
        <w:rPr>
          <w:sz w:val="20"/>
        </w:rPr>
      </w:pPr>
      <w:r>
        <w:rPr>
          <w:sz w:val="20"/>
        </w:rPr>
        <w:t>(b)</w:t>
      </w:r>
      <w:r>
        <w:rPr>
          <w:caps w:val="false"/>
          <w:smallCaps w:val="false"/>
          <w:sz w:val="20"/>
        </w:rPr>
        <w:t xml:space="preserve">       </w:t>
      </w:r>
      <w:r>
        <w:rPr>
          <w:sz w:val="20"/>
        </w:rPr>
        <w:t xml:space="preserve">The Company shall transfer to the Participant, as soon as practicable but not later than 60 days after an applicable “Delivery Date” (as defined below), a number of Class A Shares equal to the number of Earned PSUs that became vested on the corresponding Vesting Date (rounded up to the next whole share), </w:t>
      </w:r>
      <w:r>
        <w:rPr>
          <w:sz w:val="20"/>
          <w:u w:val="single"/>
        </w:rPr>
        <w:t>provided</w:t>
      </w:r>
      <w:r>
        <w:rPr>
          <w:sz w:val="20"/>
        </w:rPr>
        <w:t xml:space="preserve">, </w:t>
      </w:r>
      <w:r>
        <w:rPr>
          <w:sz w:val="20"/>
          <w:u w:val="single"/>
        </w:rPr>
        <w:t>however</w:t>
      </w:r>
      <w:r>
        <w:rPr>
          <w:sz w:val="20"/>
        </w:rPr>
        <w:t>, that upon the final transfer of Shares to the Participant (i) such number of Shares shall be reduced to the extent necessary to reflect any previous rounding up pursuant to this sentence.  If the Participant is eligible to participate in, and has elected to defer the transfer of Shares pursuant to the terms of a nonqualified deferred compensation plan maintained by the Company, such Shares shall be so deferred, and any such deferral, when paid, shall be paid in Shares.  Once the transfer of any Shares is deferred, the rights and privileges of the Participant with respect to such Shares shall be determined solely pursuant to the terms of the applicable plan, and not pursuant to the terms and conditions of this Agreement.  For purposes of this Agreement, the “Delivery Date” with respect to each Vesting Date shall mean the date that is the earlier of (i) the second anniversary of such Vesting Date or (ii) the second anniversary of the date of the Participant’s Qualified Termination (as defined below), if applicable.</w:t>
      </w:r>
    </w:p>
    <w:p>
      <w:pPr>
        <w:pStyle w:val="TextBody"/>
        <w:bidi w:val="0"/>
        <w:spacing w:before="0" w:after="0"/>
        <w:ind w:left="0" w:right="0" w:firstLine="1890"/>
        <w:jc w:val="both"/>
        <w:rPr>
          <w:sz w:val="20"/>
        </w:rPr>
      </w:pPr>
      <w:r>
        <w:rPr>
          <w:sz w:val="20"/>
        </w:rPr>
        <w:t>(c)</w:t>
      </w:r>
      <w:r>
        <w:rPr>
          <w:caps w:val="false"/>
          <w:smallCaps w:val="false"/>
          <w:sz w:val="20"/>
        </w:rPr>
        <w:t xml:space="preserve">        </w:t>
      </w:r>
      <w:r>
        <w:rPr>
          <w:sz w:val="20"/>
        </w:rPr>
        <w:t xml:space="preserve">Notwithstanding Sections 2(a) and 2(b) of this Agreement, if the Participant's employment with the Company and its Affiliates terminates due to (i) death, (ii) Disability or (iii) Retirement, (any such termination, a “Qualified Termination”), then (A) any previously unvested Earned PSUs shall become fully vested, (B) if such Qualified Termination occurs prior to the determination of the number of Earned PSUs in accordance with Exhibit A hereto, the PSUs granted hereunder shall remaining outstanding and eligible to become Earned PSUs in accordance with such Exhibit A and (C) the Shares underlying all of the Participant’s Earned PSUs, if any, shall be delivered to the Participant as soon as practicable but not later than 60 days after the corresponding Delivery Date(s) subject to Section 16 of this Agreement.  In the event of the death of the Participant, the transfer of Shares under this Section 2(c) shall be made in accordance with the beneficiary designation form on file with the Company; </w:t>
      </w:r>
      <w:r>
        <w:rPr>
          <w:sz w:val="20"/>
          <w:u w:val="single"/>
        </w:rPr>
        <w:t>provided</w:t>
      </w:r>
      <w:r>
        <w:rPr>
          <w:sz w:val="20"/>
        </w:rPr>
        <w:t xml:space="preserve">, </w:t>
      </w:r>
      <w:r>
        <w:rPr>
          <w:sz w:val="20"/>
          <w:u w:val="single"/>
        </w:rPr>
        <w:t>however</w:t>
      </w:r>
      <w:r>
        <w:rPr>
          <w:sz w:val="20"/>
        </w:rPr>
        <w:t>, that, in the absence of any such beneficiary designation form, the transfer of Shares under this Section 2(c) shall be made to the person or persons to whom the Participant's rights under the Agreement shall pass by will or by the applicable laws of descent and distribution.  For purposes of this Agreement, "Disability" shall mean "Disability" as defined in the Plan, and "Retirement" shall mean termination of employment on or after age 60, or on or after age 58 with at least 15 years of "Service" to the Company and its Subsidiaries immediately preceding such termination of employment.  For this purpose, "Service" means the period of employment immediately preceding Retirement, plus any prior periods of employment with the Company and its Subsidiaries of one or more years' duration, unless they were succeeded by a period of non-employment with the Company and its Subsidiaries of more than three years' duration.</w:t>
      </w:r>
    </w:p>
    <w:p>
      <w:pPr>
        <w:pStyle w:val="TextBody"/>
        <w:bidi w:val="0"/>
        <w:spacing w:before="0" w:after="0"/>
        <w:jc w:val="left"/>
        <w:rPr/>
      </w:pPr>
      <w:r>
        <w:rPr/>
        <w:t> </w:t>
      </w:r>
    </w:p>
    <w:p>
      <w:pPr>
        <w:pStyle w:val="TextBody"/>
        <w:bidi w:val="0"/>
        <w:spacing w:before="0" w:after="0"/>
        <w:jc w:val="center"/>
        <w:rPr>
          <w:sz w:val="20"/>
        </w:rPr>
      </w:pPr>
      <w:r>
        <w:rPr>
          <w:sz w:val="20"/>
        </w:rPr>
        <w:t>1</w:t>
      </w:r>
    </w:p>
    <w:p>
      <w:pPr>
        <w:pStyle w:val="HorizontalLine"/>
        <w:pBdr>
          <w:bottom w:val="double" w:sz="2" w:space="0" w:color="808080"/>
        </w:pBdr>
        <w:bidi w:val="0"/>
        <w:jc w:val="center"/>
        <w:rPr/>
      </w:pPr>
      <w:r>
        <w:rPr/>
      </w:r>
    </w:p>
    <w:p>
      <w:pPr>
        <w:pStyle w:val="Heading2"/>
        <w:bidi w:val="0"/>
        <w:spacing w:before="0" w:after="200"/>
        <w:ind w:left="0" w:right="0" w:firstLine="1886"/>
        <w:jc w:val="both"/>
        <w:rPr>
          <w:sz w:val="20"/>
        </w:rPr>
      </w:pPr>
      <w:r>
        <w:rPr>
          <w:b w:val="false"/>
          <w:sz w:val="20"/>
        </w:rPr>
        <w:t>(d)</w:t>
      </w:r>
      <w:r>
        <w:rPr>
          <w:caps w:val="false"/>
          <w:smallCaps w:val="false"/>
          <w:sz w:val="20"/>
        </w:rPr>
        <w:t xml:space="preserve">        </w:t>
      </w:r>
      <w:r>
        <w:rPr>
          <w:b w:val="false"/>
          <w:sz w:val="20"/>
        </w:rPr>
        <w:t>Upon each transfer or deferral of Shares in accordance with Sections 2(a), 2(b) and 2(c) of this Agreement, a number of Earned PSUs equal to the number of Shares transferred to the Participant or deferred shall be extinguished.</w:t>
      </w:r>
    </w:p>
    <w:p>
      <w:pPr>
        <w:pStyle w:val="TextBody"/>
        <w:bidi w:val="0"/>
        <w:spacing w:before="0" w:after="200"/>
        <w:ind w:left="0" w:right="0" w:firstLine="1890"/>
        <w:jc w:val="both"/>
        <w:rPr>
          <w:sz w:val="20"/>
        </w:rPr>
      </w:pPr>
      <w:r>
        <w:rPr>
          <w:sz w:val="20"/>
        </w:rPr>
        <w:t>(e)</w:t>
      </w:r>
      <w:r>
        <w:rPr>
          <w:caps w:val="false"/>
          <w:smallCaps w:val="false"/>
          <w:sz w:val="20"/>
        </w:rPr>
        <w:t xml:space="preserve">        </w:t>
      </w:r>
      <w:r>
        <w:rPr>
          <w:sz w:val="20"/>
        </w:rPr>
        <w:t>Notwithstanding Sections 2(a), 2(b) and 2(c) of this Agreement, upon the Participant's termination of employment for any reason other than (i) death, Disability or Retirement or (ii) under the circumstances described in clause (f) below, any unvested PSUs (including, without limitation, any Earned PSUs) shall immediately terminate for no further consideration.</w:t>
      </w:r>
    </w:p>
    <w:p>
      <w:pPr>
        <w:pStyle w:val="TextBody"/>
        <w:bidi w:val="0"/>
        <w:spacing w:before="0" w:after="200"/>
        <w:ind w:left="0" w:right="0" w:firstLine="1890"/>
        <w:jc w:val="both"/>
        <w:rPr>
          <w:sz w:val="20"/>
        </w:rPr>
      </w:pPr>
      <w:r>
        <w:rPr>
          <w:sz w:val="20"/>
        </w:rPr>
        <w:t>(f)</w:t>
      </w:r>
      <w:r>
        <w:rPr>
          <w:caps w:val="false"/>
          <w:smallCaps w:val="false"/>
          <w:sz w:val="20"/>
        </w:rPr>
        <w:t xml:space="preserve">         </w:t>
      </w:r>
      <w:r>
        <w:rPr>
          <w:sz w:val="20"/>
          <w:u w:val="single"/>
        </w:rPr>
        <w:t>Termination without Cause or for Good Reason within Two Years Following a Change in Control</w:t>
      </w:r>
      <w:r>
        <w:rPr>
          <w:sz w:val="20"/>
        </w:rPr>
        <w:t>.  In the event of the Participant's Qualifying Termination or involuntary termination of employment with the Company or a subsidiary thereof without "Cause" or for "Good Reason", in each case, within two years following a Change in Control, the Earned PSUs, to the extent not previously vested and settled, shall immediately become fully vested and settled in Shares.  For purposes of this Agreement, "Cause" shall mean the occurrence of any of the following: (a) the willful and continued failure of the Participant to perform substantially all of his or her duties with the Company (other than any such failure resulting from incapacity due to physical or mental illness) for a period of 10 days following a written demand for substantial performance that is delivered to such Participant by the Company, which specifically identifies the manner in which the Company believes the Participant has not substantially performed his or her duties; (b) dishonesty in the performance of the Participant's duties with the Company; (c) the Participant's conviction of, or plea of guilty or nolo contendere to, a crime under the laws of the United States or any state thereof constituting a felony or a misdemeanor involving moral turpitude; (d) the Participant's willful malfeasance or willful misconduct in connection with the Participant's duties with the Company or any act or omission which is injurious to the financial condition or business reputation of the Company or its affiliates; or (e) the Participant's breach of the provisions of Section 11 of this Agreement.  For purposes of this Agreement, "Good Reason" shall mean the occurrence of any of the following, without the Participant's express written consent:  (a) any material diminution in the Participant's duties, titles or responsibilities with the Company from those in effect immediately prior to a Change in Control or (b) any reduction in the Participant's annual base salary or any material reduction in the Participant's annual bonus opportunity, annual equity awards or long-term incentive program awards from the Participant's annual base salary or annual bonus opportunity, annual equity awards or long-term incentive program awards in effect immediately prior to a Change in Control.  Notwithstanding the foregoing, no event shall constitute Good Reason unless the Participant provides the Company with written notice of such event within 60 days after the occurrence thereof and the Company fails to cure or resolve the behavior otherwise constituting Good Reason within 30 days of its receipt of such notice.</w:t>
      </w:r>
    </w:p>
    <w:p>
      <w:pPr>
        <w:pStyle w:val="TextBody"/>
        <w:bidi w:val="0"/>
        <w:spacing w:before="0" w:after="200"/>
        <w:ind w:left="0" w:right="0" w:firstLine="1890"/>
        <w:jc w:val="both"/>
        <w:rPr>
          <w:sz w:val="20"/>
        </w:rPr>
      </w:pPr>
      <w:r>
        <w:rPr>
          <w:sz w:val="20"/>
        </w:rPr>
        <w:t>(g)</w:t>
      </w:r>
      <w:r>
        <w:rPr>
          <w:caps w:val="false"/>
          <w:smallCaps w:val="false"/>
          <w:sz w:val="20"/>
        </w:rPr>
        <w:t xml:space="preserve">       </w:t>
      </w:r>
      <w:r>
        <w:rPr>
          <w:sz w:val="20"/>
        </w:rPr>
        <w:t>Any portion of the PSUs granted pursuant to this Agreement which do not become Earned PSUs in accordance with Exhibit A hereto shall be forfeited for no further consideration.</w:t>
      </w:r>
    </w:p>
    <w:p>
      <w:pPr>
        <w:pStyle w:val="TextBody"/>
        <w:bidi w:val="0"/>
        <w:spacing w:before="0" w:after="200"/>
        <w:ind w:left="0" w:right="0" w:firstLine="1440"/>
        <w:jc w:val="both"/>
        <w:rPr>
          <w:sz w:val="20"/>
        </w:rPr>
      </w:pPr>
      <w:r>
        <w:rPr>
          <w:sz w:val="20"/>
        </w:rPr>
        <w:t>3.</w:t>
      </w:r>
      <w:r>
        <w:rPr>
          <w:caps w:val="false"/>
          <w:smallCaps w:val="false"/>
          <w:sz w:val="20"/>
        </w:rPr>
        <w:t xml:space="preserve">          </w:t>
      </w:r>
      <w:r>
        <w:rPr>
          <w:sz w:val="20"/>
          <w:u w:val="single"/>
        </w:rPr>
        <w:t>Dividends</w:t>
      </w:r>
      <w:r>
        <w:rPr>
          <w:sz w:val="20"/>
        </w:rPr>
        <w:t>.  If on any date while PSUs are outstanding hereunder the Company shall pay any dividend on the Shares (other than a dividend payable in Shares), the number of PSUs granted to the Participant shall, as of such dividend payment date, be increased by a number of PSUs equal to: (a) the product of (x) the number of PSUs held by the Participant as of the related dividend record date, multiplied by (y) the per Share amount of any cash dividend (or, in the case of any dividend payable in whole or in part other than in cash, the per Share value of such dividend, as determined in good faith by the Committee), divided by (b) the Fair Market Value of a Share on the payment date of such dividend.  In the case of any dividend declared on Shares that is payable in the form of Shares, the number of PSUs granted to the Participant shall be increased by a number equal to the product of (a) the PSUs that are held by the Participant on the related dividend record date, multiplied by (b) the number of Shares (including any fraction thereof) payable as a dividend on a Share.  Any PSUs attributable to dividends under this Section 3 shall be subject to the vesting provisions provided in Section 2 and the performance conditions set forth in Exhibit A.</w:t>
      </w:r>
    </w:p>
    <w:p>
      <w:pPr>
        <w:pStyle w:val="TextBody"/>
        <w:bidi w:val="0"/>
        <w:spacing w:before="0" w:after="200"/>
        <w:ind w:left="0" w:right="0" w:firstLine="1440"/>
        <w:jc w:val="both"/>
        <w:rPr>
          <w:sz w:val="20"/>
        </w:rPr>
      </w:pPr>
      <w:r>
        <w:rPr>
          <w:sz w:val="20"/>
        </w:rPr>
        <w:t>4.</w:t>
      </w:r>
      <w:r>
        <w:rPr>
          <w:caps w:val="false"/>
          <w:smallCaps w:val="false"/>
          <w:sz w:val="20"/>
        </w:rPr>
        <w:t xml:space="preserve">          </w:t>
      </w:r>
      <w:r>
        <w:rPr>
          <w:sz w:val="20"/>
          <w:u w:val="single"/>
        </w:rPr>
        <w:t>Adjustments Upon Certain Events</w:t>
      </w:r>
      <w:r>
        <w:rPr>
          <w:sz w:val="20"/>
        </w:rPr>
        <w:t>.  Subject to the terms of the Plan, in the event of any change in the outstanding Shares by reason of any Share dividend or split, reorganization, recapitalization, merger, consolidation, amalgamation, spin-off or combination transaction or exchange of Shares or other similar events (collectively, an "Adjustment Event"), the Committee shall, in its sole discretion, make an appropriate and equitable adjustment in the number of PSUs subject to this Agreement to reflect such Adjustment Event.  Any such adjustment made by the Committee shall be final and binding upon the Participant, the Company and all other interested persons.</w:t>
      </w:r>
    </w:p>
    <w:p>
      <w:pPr>
        <w:pStyle w:val="TextBody"/>
        <w:bidi w:val="0"/>
        <w:spacing w:before="0" w:after="200"/>
        <w:ind w:left="0" w:right="0" w:firstLine="1440"/>
        <w:jc w:val="both"/>
        <w:rPr>
          <w:sz w:val="20"/>
        </w:rPr>
      </w:pPr>
      <w:r>
        <w:rPr>
          <w:sz w:val="20"/>
        </w:rPr>
        <w:t>5.</w:t>
      </w:r>
      <w:r>
        <w:rPr>
          <w:caps w:val="false"/>
          <w:smallCaps w:val="false"/>
          <w:sz w:val="20"/>
        </w:rPr>
        <w:t xml:space="preserve">          </w:t>
      </w:r>
      <w:r>
        <w:rPr>
          <w:sz w:val="20"/>
          <w:u w:val="single"/>
        </w:rPr>
        <w:t>No Right to Continued Employment</w:t>
      </w:r>
      <w:r>
        <w:rPr>
          <w:sz w:val="20"/>
        </w:rPr>
        <w:t>.  Neither the Plan nor this Agreement shall be construed as giving the Participant the right to be retained in the employ of, or in any consulting relationship to, the Company or any Affiliate.  Further, the Company or an Affiliate may at any time dismiss the Participant, free from any liability or any claim under the Plan or this Agreement, except as otherwise expressly provided herein.</w:t>
      </w:r>
    </w:p>
    <w:p>
      <w:pPr>
        <w:pStyle w:val="TextBody"/>
        <w:bidi w:val="0"/>
        <w:spacing w:before="0" w:after="200"/>
        <w:ind w:left="0" w:right="0" w:firstLine="1440"/>
        <w:jc w:val="both"/>
        <w:rPr>
          <w:sz w:val="20"/>
        </w:rPr>
      </w:pPr>
      <w:r>
        <w:rPr>
          <w:sz w:val="20"/>
        </w:rPr>
        <w:t>6.</w:t>
      </w:r>
      <w:r>
        <w:rPr>
          <w:caps w:val="false"/>
          <w:smallCaps w:val="false"/>
          <w:sz w:val="20"/>
        </w:rPr>
        <w:t xml:space="preserve">          </w:t>
      </w:r>
      <w:r>
        <w:rPr>
          <w:sz w:val="20"/>
          <w:u w:val="single"/>
        </w:rPr>
        <w:t>No Acquired Rights</w:t>
      </w:r>
      <w:r>
        <w:rPr>
          <w:sz w:val="20"/>
        </w:rPr>
        <w:t>.  In participating in the Plan, the Participant acknowledges and accepts that the Board has the power to amend or terminate the Plan, to the extent permitted thereunder, at any time and that the opportunity given to the Participant to participate in the Plan is entirely at the discretion of the Committee and does not obligate the Company or any of its Affiliates to offer such participation in the future (whether on the same or different terms).  The Participant further acknowledges and accepts that such Participant's participation in the Plan is not to be considered part of any normal or expected compensation and that the termination of the Participant's employment under any circumstances whatsoever will give the Participant no claim or right of action against the Company or its Affiliates in respect of any loss of rights under this Agreement or the Plan that may arise as a result of such termination of employment.</w:t>
      </w:r>
    </w:p>
    <w:p>
      <w:pPr>
        <w:pStyle w:val="TextBody"/>
        <w:bidi w:val="0"/>
        <w:spacing w:before="0" w:after="0"/>
        <w:ind w:left="0" w:right="0" w:firstLine="1440"/>
        <w:jc w:val="both"/>
        <w:rPr>
          <w:sz w:val="20"/>
        </w:rPr>
      </w:pPr>
      <w:r>
        <w:rPr>
          <w:sz w:val="20"/>
        </w:rPr>
        <w:t>7.</w:t>
      </w:r>
      <w:r>
        <w:rPr>
          <w:caps w:val="false"/>
          <w:smallCaps w:val="false"/>
          <w:sz w:val="20"/>
        </w:rPr>
        <w:t xml:space="preserve">          </w:t>
      </w:r>
      <w:r>
        <w:rPr>
          <w:sz w:val="20"/>
          <w:u w:val="single"/>
        </w:rPr>
        <w:t>No Rights of a Shareholder</w:t>
      </w:r>
      <w:r>
        <w:rPr>
          <w:sz w:val="20"/>
        </w:rPr>
        <w:t>.  The Participant shall not have any rights or privileges as a shareholder of the Company until the Shares in question have been registered in the Company's register of shareholders.</w:t>
      </w:r>
    </w:p>
    <w:p>
      <w:pPr>
        <w:pStyle w:val="TextBody"/>
        <w:bidi w:val="0"/>
        <w:spacing w:before="0" w:after="0"/>
        <w:jc w:val="left"/>
        <w:rPr/>
      </w:pPr>
      <w:r>
        <w:rPr/>
        <w:t> </w:t>
      </w:r>
    </w:p>
    <w:p>
      <w:pPr>
        <w:pStyle w:val="TextBody"/>
        <w:bidi w:val="0"/>
        <w:spacing w:before="0" w:after="0"/>
        <w:jc w:val="center"/>
        <w:rPr>
          <w:sz w:val="20"/>
        </w:rPr>
      </w:pPr>
      <w:r>
        <w:rPr>
          <w:sz w:val="20"/>
        </w:rPr>
        <w:t>2</w:t>
      </w:r>
    </w:p>
    <w:p>
      <w:pPr>
        <w:pStyle w:val="HorizontalLine"/>
        <w:pBdr>
          <w:bottom w:val="double" w:sz="2" w:space="0" w:color="808080"/>
        </w:pBdr>
        <w:bidi w:val="0"/>
        <w:jc w:val="center"/>
        <w:rPr/>
      </w:pPr>
      <w:r>
        <w:rPr/>
      </w:r>
    </w:p>
    <w:p>
      <w:pPr>
        <w:pStyle w:val="Heading1"/>
        <w:bidi w:val="0"/>
        <w:spacing w:before="0" w:after="200"/>
        <w:ind w:left="0" w:right="0" w:firstLine="1440"/>
        <w:jc w:val="both"/>
        <w:rPr>
          <w:sz w:val="20"/>
        </w:rPr>
      </w:pPr>
      <w:r>
        <w:rPr>
          <w:b w:val="false"/>
          <w:sz w:val="20"/>
        </w:rPr>
        <w:t>8.</w:t>
      </w:r>
      <w:r>
        <w:rPr>
          <w:caps w:val="false"/>
          <w:smallCaps w:val="false"/>
          <w:sz w:val="20"/>
        </w:rPr>
        <w:t xml:space="preserve">          </w:t>
      </w:r>
      <w:r>
        <w:rPr>
          <w:b w:val="false"/>
          <w:sz w:val="20"/>
          <w:u w:val="single"/>
        </w:rPr>
        <w:t>Legend on Certificates</w:t>
      </w:r>
      <w:r>
        <w:rPr>
          <w:b w:val="false"/>
          <w:sz w:val="20"/>
        </w:rPr>
        <w:t>.</w:t>
      </w:r>
      <w:r>
        <w:rPr>
          <w:sz w:val="20"/>
        </w:rPr>
        <w:t xml:space="preserve">  </w:t>
      </w:r>
      <w:r>
        <w:rPr>
          <w:b w:val="false"/>
          <w:sz w:val="20"/>
        </w:rPr>
        <w:t>Any Shares issued or transferred to the Participant pursuant to Section 2 of this Agreement shall be subject to such stop transfer orders and other restrictions as the Committee may deem advisable under the Plan or the rules, regulations, and other requirements of the Securities and Exchange Commission, any stock exchange upon which such Shares are listed, and any applicable Federal or state laws or relevant securities laws of the jurisdiction of the domicile of the Participant, and the Committee may cause a legend or legends to be put on any certificates representing such Shares to make appropriate reference to such restrictions.</w:t>
      </w:r>
      <w:r>
        <w:rPr>
          <w:sz w:val="20"/>
        </w:rPr>
        <w:t xml:space="preserve">  </w:t>
      </w:r>
      <w:r>
        <w:rPr>
          <w:b w:val="false"/>
          <w:sz w:val="20"/>
        </w:rPr>
        <w:t>Whenever reference in this Agreement is made to the issuance or delivery of certificates representing Shares, the Company may elect to issue or deliver such Shares in book entry form in lieu of certificates.</w:t>
      </w:r>
    </w:p>
    <w:p>
      <w:pPr>
        <w:pStyle w:val="TextBody"/>
        <w:bidi w:val="0"/>
        <w:spacing w:before="0" w:after="200"/>
        <w:ind w:left="0" w:right="0" w:firstLine="1440"/>
        <w:jc w:val="both"/>
        <w:rPr>
          <w:sz w:val="20"/>
        </w:rPr>
      </w:pPr>
      <w:r>
        <w:rPr>
          <w:sz w:val="20"/>
        </w:rPr>
        <w:t>9.</w:t>
      </w:r>
      <w:r>
        <w:rPr>
          <w:caps w:val="false"/>
          <w:smallCaps w:val="false"/>
          <w:sz w:val="20"/>
        </w:rPr>
        <w:t xml:space="preserve">          </w:t>
      </w:r>
      <w:r>
        <w:rPr>
          <w:sz w:val="20"/>
          <w:u w:val="single"/>
        </w:rPr>
        <w:t>Transferability</w:t>
      </w:r>
      <w:r>
        <w:rPr>
          <w:sz w:val="20"/>
        </w:rPr>
        <w:t>.  PSUs may not be assigned, alienated, pledged, attached, sold or otherwise transferred or encumbered by the Participant otherwise than by will or by the laws of descent and distribution, and any purported assignment, alienation, pledge, attachment, sale, transfer or encumbrance not permitted by this Section 9 shall be void and unenforceable against the Company or any Affiliate.</w:t>
      </w:r>
    </w:p>
    <w:p>
      <w:pPr>
        <w:pStyle w:val="TextBody"/>
        <w:bidi w:val="0"/>
        <w:spacing w:before="0" w:after="200"/>
        <w:ind w:left="0" w:right="0" w:firstLine="1440"/>
        <w:jc w:val="both"/>
        <w:rPr>
          <w:sz w:val="20"/>
        </w:rPr>
      </w:pPr>
      <w:r>
        <w:rPr>
          <w:sz w:val="20"/>
        </w:rPr>
        <w:t>10.</w:t>
      </w:r>
      <w:r>
        <w:rPr>
          <w:caps w:val="false"/>
          <w:smallCaps w:val="false"/>
          <w:sz w:val="20"/>
        </w:rPr>
        <w:t xml:space="preserve">       </w:t>
      </w:r>
      <w:r>
        <w:rPr>
          <w:sz w:val="20"/>
          <w:u w:val="single"/>
        </w:rPr>
        <w:t>Withholding</w:t>
      </w:r>
      <w:r>
        <w:rPr>
          <w:sz w:val="20"/>
        </w:rPr>
        <w:t>.  The Participant may be required to pay to the Company or any Affiliate and the Company or any Affiliate shall have the right and is hereby authorized to withhold from any transfer due under this Agreement or under the Plan or from any compensation or other amount owing to the Participant, applicable withholding taxes with respect to any transfer under this Agreement or under the Plan and to take such action as may be necessary in the opinion of the Company to satisfy all obligations for the payment of such taxes.</w:t>
      </w:r>
    </w:p>
    <w:p>
      <w:pPr>
        <w:pStyle w:val="TextBody"/>
        <w:bidi w:val="0"/>
        <w:spacing w:before="0" w:after="200"/>
        <w:ind w:left="1440" w:right="0" w:hanging="0"/>
        <w:jc w:val="both"/>
        <w:rPr/>
      </w:pPr>
      <w:r>
        <w:rPr>
          <w:b/>
          <w:sz w:val="20"/>
        </w:rPr>
        <w:t xml:space="preserve">11. </w:t>
      </w:r>
      <w:r>
        <w:rPr/>
        <w:t xml:space="preserve">   </w:t>
      </w:r>
      <w:r>
        <w:rPr>
          <w:b/>
          <w:sz w:val="20"/>
          <w:u w:val="single"/>
        </w:rPr>
        <w:t>Non-Solicitation Covenants.</w:t>
      </w:r>
      <w:r>
        <w:rPr/>
        <w:t xml:space="preserve">  </w:t>
      </w:r>
    </w:p>
    <w:p>
      <w:pPr>
        <w:pStyle w:val="TextBody"/>
        <w:bidi w:val="0"/>
        <w:spacing w:before="0" w:after="200"/>
        <w:ind w:left="0" w:right="0" w:firstLine="1890"/>
        <w:jc w:val="both"/>
        <w:rPr>
          <w:sz w:val="20"/>
        </w:rPr>
      </w:pPr>
      <w:r>
        <w:rPr>
          <w:b/>
          <w:sz w:val="20"/>
        </w:rPr>
        <w:t>(a)</w:t>
      </w:r>
      <w:r>
        <w:rPr>
          <w:caps w:val="false"/>
          <w:smallCaps w:val="false"/>
          <w:sz w:val="20"/>
        </w:rPr>
        <w:t xml:space="preserve">       </w:t>
      </w:r>
      <w:r>
        <w:rPr>
          <w:b/>
          <w:sz w:val="20"/>
        </w:rPr>
        <w:t>The Participant acknowledges and agrees that, during the Participant's employment with the Company and its Affiliates and upon the Participant's termination of Employment with the Company and its Affiliates for any reason, for a period commencing on the termination of such Employment and ending on the second anniversary of such termination, the Participant shall not, whether on Participant's own behalf or on behalf of or in conjunction with any person, company, business entity or other organization whatsoever, directly or indirectly:</w:t>
      </w:r>
    </w:p>
    <w:p>
      <w:pPr>
        <w:pStyle w:val="TextBody"/>
        <w:bidi w:val="0"/>
        <w:spacing w:before="0" w:after="200"/>
        <w:ind w:left="0" w:right="0" w:firstLine="2340"/>
        <w:jc w:val="both"/>
        <w:rPr>
          <w:sz w:val="20"/>
        </w:rPr>
      </w:pPr>
      <w:r>
        <w:rPr>
          <w:b/>
          <w:sz w:val="20"/>
        </w:rPr>
        <w:t>(i)</w:t>
      </w:r>
      <w:r>
        <w:rPr>
          <w:caps w:val="false"/>
          <w:smallCaps w:val="false"/>
          <w:sz w:val="20"/>
        </w:rPr>
        <w:t xml:space="preserve">            </w:t>
      </w:r>
      <w:r>
        <w:rPr>
          <w:b/>
          <w:sz w:val="20"/>
        </w:rPr>
        <w:t>solicit any employee of the Company or its Affiliates with whom the Participant had any contact during the last two years of the Participant's employment, or who worked in the same business segment or division as the Participant during that period to terminate employment with the Company or its Affiliates;</w:t>
      </w:r>
    </w:p>
    <w:p>
      <w:pPr>
        <w:pStyle w:val="TextBody"/>
        <w:bidi w:val="0"/>
        <w:spacing w:before="0" w:after="200"/>
        <w:ind w:left="0" w:right="0" w:firstLine="2340"/>
        <w:jc w:val="both"/>
        <w:rPr>
          <w:sz w:val="20"/>
        </w:rPr>
      </w:pPr>
      <w:r>
        <w:rPr>
          <w:b/>
          <w:sz w:val="20"/>
        </w:rPr>
        <w:t>(ii)</w:t>
      </w:r>
      <w:r>
        <w:rPr>
          <w:caps w:val="false"/>
          <w:smallCaps w:val="false"/>
          <w:sz w:val="20"/>
        </w:rPr>
        <w:t xml:space="preserve">          </w:t>
      </w:r>
      <w:r>
        <w:rPr>
          <w:b/>
          <w:sz w:val="20"/>
        </w:rPr>
        <w:t>solicit the employment or services of, or hire, any such employee whose employment with the Company or its Affiliates terminated coincident with, or within twelve (12) months prior to or after the termination of Participant's employment with the Company and its Affiliates;</w:t>
      </w:r>
    </w:p>
    <w:p>
      <w:pPr>
        <w:pStyle w:val="TextBody"/>
        <w:bidi w:val="0"/>
        <w:spacing w:before="0" w:after="200"/>
        <w:ind w:left="0" w:right="0" w:firstLine="2340"/>
        <w:jc w:val="both"/>
        <w:rPr>
          <w:sz w:val="20"/>
        </w:rPr>
      </w:pPr>
      <w:r>
        <w:rPr>
          <w:b/>
          <w:sz w:val="20"/>
        </w:rPr>
        <w:t>(iii)</w:t>
      </w:r>
      <w:r>
        <w:rPr>
          <w:caps w:val="false"/>
          <w:smallCaps w:val="false"/>
          <w:sz w:val="20"/>
        </w:rPr>
        <w:t xml:space="preserve">        </w:t>
      </w:r>
      <w:r>
        <w:rPr>
          <w:b/>
          <w:sz w:val="20"/>
        </w:rPr>
        <w:t>directly or indirectly, solicit to cease to work with the Company or its Affiliates any consultant then under contract with the Company or its Affiliates.</w:t>
      </w:r>
    </w:p>
    <w:p>
      <w:pPr>
        <w:pStyle w:val="TextBody"/>
        <w:bidi w:val="0"/>
        <w:spacing w:before="0" w:after="200"/>
        <w:ind w:left="0" w:right="0" w:firstLine="1890"/>
        <w:jc w:val="both"/>
        <w:rPr>
          <w:sz w:val="20"/>
        </w:rPr>
      </w:pPr>
      <w:r>
        <w:rPr>
          <w:b/>
          <w:sz w:val="20"/>
        </w:rPr>
        <w:t>(b)</w:t>
      </w:r>
      <w:r>
        <w:rPr>
          <w:caps w:val="false"/>
          <w:smallCaps w:val="false"/>
          <w:sz w:val="20"/>
        </w:rPr>
        <w:t xml:space="preserve">       </w:t>
      </w:r>
      <w:r>
        <w:rPr>
          <w:b/>
          <w:sz w:val="20"/>
        </w:rPr>
        <w:t>It is expressly understood and agreed that although the Participant and the Company consider the restrictions contained in this Section 11 to be reasonable, if a final judicial determination is made by a court of competent jurisdiction that the time or any other restriction contained in this Agreement is an unenforceable restriction against the Participant, the provisions of this Agreement shall not be rendered void but shall be deemed amended to apply as to such maximum time and terri</w:t>
        <w:softHyphen/>
        <w:t>tory and to such maximum extent as such court may judicially determine or indicate to be enforceable.</w:t>
      </w:r>
      <w:r>
        <w:rPr>
          <w:sz w:val="20"/>
        </w:rPr>
        <w:t xml:space="preserve">  </w:t>
      </w:r>
      <w:r>
        <w:rPr>
          <w:b/>
          <w:sz w:val="20"/>
        </w:rPr>
        <w:t>Alternatively, if any court of competent jurisdiction finds that any restric</w:t>
        <w:softHyphen/>
        <w:t>tion contained in this Agreement is unenforceable, and such restriction cannot be amended so as to make it enforceable, such finding shall not affect the enforceability of any of the other restrictions contained herein.</w:t>
      </w:r>
    </w:p>
    <w:p>
      <w:pPr>
        <w:pStyle w:val="TextBody"/>
        <w:bidi w:val="0"/>
        <w:spacing w:before="0" w:after="240"/>
        <w:ind w:left="0" w:right="0" w:firstLine="1440"/>
        <w:jc w:val="both"/>
        <w:rPr>
          <w:sz w:val="20"/>
        </w:rPr>
      </w:pPr>
      <w:r>
        <w:rPr>
          <w:b/>
          <w:sz w:val="20"/>
        </w:rPr>
        <w:t>12.</w:t>
      </w:r>
      <w:r>
        <w:rPr>
          <w:sz w:val="20"/>
        </w:rPr>
        <w:t xml:space="preserve">  </w:t>
      </w:r>
      <w:r>
        <w:rPr>
          <w:b/>
          <w:sz w:val="20"/>
          <w:u w:val="single"/>
        </w:rPr>
        <w:t>Specific Performance</w:t>
      </w:r>
      <w:r>
        <w:rPr>
          <w:b/>
          <w:sz w:val="20"/>
        </w:rPr>
        <w:t>.</w:t>
      </w:r>
      <w:r>
        <w:rPr>
          <w:sz w:val="20"/>
        </w:rPr>
        <w:t xml:space="preserve">  </w:t>
      </w:r>
      <w:r>
        <w:rPr>
          <w:b/>
          <w:sz w:val="20"/>
        </w:rPr>
        <w:t>The Participant acknowledges and agrees that the Company's remedies at law for a breach or threatened breach of any of the provisions of Section 11 would be inadequate and the Company would suffer irreparable damages as a result of such breach or threatened breach.</w:t>
      </w:r>
      <w:r>
        <w:rPr>
          <w:sz w:val="20"/>
        </w:rPr>
        <w:t xml:space="preserve">  </w:t>
      </w:r>
      <w:r>
        <w:rPr>
          <w:b/>
          <w:sz w:val="20"/>
        </w:rPr>
        <w:t>In recognition of this fact, the Participant agrees that, in the event of such a breach or threatened breach, in addition to any remedies at law, the Company, without posting any bond, shall be entitled to cease making any payments or providing any benefit otherwise required by this Agreement and obtain equitable relief in the form of specific performance, temporary restraining order, temporary or permanent injunction or any other equitable remedy which may then be available.</w:t>
      </w:r>
    </w:p>
    <w:p>
      <w:pPr>
        <w:pStyle w:val="TextBody"/>
        <w:bidi w:val="0"/>
        <w:spacing w:before="0" w:after="240"/>
        <w:ind w:left="0" w:right="0" w:firstLine="1440"/>
        <w:jc w:val="both"/>
        <w:rPr>
          <w:sz w:val="20"/>
        </w:rPr>
      </w:pPr>
      <w:r>
        <w:rPr>
          <w:b/>
          <w:sz w:val="20"/>
        </w:rPr>
        <w:t xml:space="preserve">13. </w:t>
      </w:r>
      <w:r>
        <w:rPr>
          <w:b/>
          <w:sz w:val="20"/>
          <w:u w:val="single"/>
        </w:rPr>
        <w:t>Choice of Law</w:t>
      </w:r>
      <w:r>
        <w:rPr>
          <w:b/>
          <w:sz w:val="20"/>
        </w:rPr>
        <w:t>.</w:t>
      </w:r>
      <w:r>
        <w:rPr>
          <w:sz w:val="20"/>
        </w:rPr>
        <w:t xml:space="preserve">  </w:t>
      </w:r>
      <w:r>
        <w:rPr>
          <w:b/>
          <w:sz w:val="20"/>
        </w:rPr>
        <w:t>THE INTERPRETATION, PERFORMANCE AND ENFORCEMENT OF THIS AGREEMENT SHALL BE GOVERNED BY THE LAWS OF THE STATE OF DELAWARE WITHOUT REGARD TO PRINCIPLES OF CONFLICTS OF LAW.</w:t>
      </w:r>
    </w:p>
    <w:p>
      <w:pPr>
        <w:pStyle w:val="TextBody"/>
        <w:bidi w:val="0"/>
        <w:spacing w:before="0" w:after="0"/>
        <w:ind w:left="0" w:right="0" w:firstLine="1440"/>
        <w:jc w:val="both"/>
        <w:rPr>
          <w:sz w:val="20"/>
        </w:rPr>
      </w:pPr>
      <w:r>
        <w:rPr>
          <w:sz w:val="20"/>
        </w:rPr>
        <w:t>14.</w:t>
      </w:r>
      <w:r>
        <w:rPr>
          <w:caps w:val="false"/>
          <w:smallCaps w:val="false"/>
          <w:sz w:val="20"/>
        </w:rPr>
        <w:t xml:space="preserve">    </w:t>
      </w:r>
      <w:r>
        <w:rPr>
          <w:sz w:val="20"/>
          <w:u w:val="single"/>
        </w:rPr>
        <w:t>RSUs Subject to Plan</w:t>
      </w:r>
      <w:r>
        <w:rPr>
          <w:sz w:val="20"/>
        </w:rPr>
        <w:t>.  By entering into this Agreement, the Participant agrees and acknowledges that the Participant has received and read a copy of the Plan.  All PSUs are subject to the Plan.  In the event of a conflict between any term or provision contained herein and a term or provision of the Plan, the applicable terms and provisions of the Plan will govern and prevail.</w:t>
      </w:r>
    </w:p>
    <w:p>
      <w:pPr>
        <w:pStyle w:val="TextBody"/>
        <w:bidi w:val="0"/>
        <w:spacing w:before="0" w:after="0"/>
        <w:jc w:val="left"/>
        <w:rPr/>
      </w:pPr>
      <w:r>
        <w:rPr/>
        <w:t> </w:t>
      </w:r>
    </w:p>
    <w:p>
      <w:pPr>
        <w:pStyle w:val="TextBody"/>
        <w:bidi w:val="0"/>
        <w:spacing w:before="0" w:after="0"/>
        <w:jc w:val="center"/>
        <w:rPr>
          <w:sz w:val="20"/>
        </w:rPr>
      </w:pPr>
      <w:r>
        <w:rPr>
          <w:sz w:val="20"/>
        </w:rPr>
        <w:t>3</w:t>
      </w:r>
    </w:p>
    <w:p>
      <w:pPr>
        <w:pStyle w:val="HorizontalLine"/>
        <w:pBdr>
          <w:bottom w:val="double" w:sz="2" w:space="0" w:color="808080"/>
        </w:pBdr>
        <w:bidi w:val="0"/>
        <w:jc w:val="center"/>
        <w:rPr/>
      </w:pPr>
      <w:r>
        <w:rPr/>
      </w:r>
    </w:p>
    <w:p>
      <w:pPr>
        <w:pStyle w:val="Heading1"/>
        <w:bidi w:val="0"/>
        <w:spacing w:before="0" w:after="200"/>
        <w:ind w:left="0" w:right="0" w:firstLine="1440"/>
        <w:jc w:val="both"/>
        <w:rPr>
          <w:sz w:val="20"/>
        </w:rPr>
      </w:pPr>
      <w:r>
        <w:rPr>
          <w:b w:val="false"/>
          <w:sz w:val="20"/>
        </w:rPr>
        <w:t>15.</w:t>
      </w:r>
      <w:r>
        <w:rPr>
          <w:caps w:val="false"/>
          <w:smallCaps w:val="false"/>
          <w:sz w:val="20"/>
        </w:rPr>
        <w:t xml:space="preserve">       </w:t>
      </w:r>
      <w:r>
        <w:rPr>
          <w:b w:val="false"/>
          <w:sz w:val="20"/>
          <w:u w:val="single"/>
        </w:rPr>
        <w:t>Signature in Counterparts</w:t>
      </w:r>
      <w:r>
        <w:rPr>
          <w:b w:val="false"/>
          <w:sz w:val="20"/>
        </w:rPr>
        <w:t>.</w:t>
      </w:r>
      <w:r>
        <w:rPr>
          <w:sz w:val="20"/>
        </w:rPr>
        <w:t xml:space="preserve">  </w:t>
      </w:r>
      <w:r>
        <w:rPr>
          <w:b w:val="false"/>
          <w:sz w:val="20"/>
        </w:rPr>
        <w:t>This Agreement may be signed in counterparts, each of which shall be an original, with the same effect as if the signatures thereto and hereto were upon the same instrument.</w:t>
      </w:r>
    </w:p>
    <w:p>
      <w:pPr>
        <w:pStyle w:val="TextBody"/>
        <w:bidi w:val="0"/>
        <w:spacing w:before="0" w:after="200"/>
        <w:ind w:left="0" w:right="0" w:firstLine="1440"/>
        <w:jc w:val="both"/>
        <w:rPr>
          <w:sz w:val="20"/>
        </w:rPr>
      </w:pPr>
      <w:r>
        <w:rPr>
          <w:sz w:val="20"/>
        </w:rPr>
        <w:t>16.</w:t>
      </w:r>
      <w:r>
        <w:rPr>
          <w:caps w:val="false"/>
          <w:smallCaps w:val="false"/>
          <w:sz w:val="20"/>
        </w:rPr>
        <w:t xml:space="preserve">       </w:t>
      </w:r>
      <w:r>
        <w:rPr>
          <w:sz w:val="20"/>
          <w:u w:val="single"/>
        </w:rPr>
        <w:t>409A</w:t>
      </w:r>
      <w:r>
        <w:rPr>
          <w:sz w:val="20"/>
        </w:rPr>
        <w:t>.  Notwithstanding any other provisions of this Agreement or the Plan, the PSUs covered by this Agreement shall not be deferred, accelerated, extended, paid out or modified in a manner that would result in the imposition of an additional tax under Section 409A of the Code upon the Participant.  In the event it is reasonably determined by the Committee that, as a result of Section 409A of the Code, the transfer of Class A Shares under this Agreement may not be made at the time contemplated hereunder without causing the Participant to be subject to taxation under Section 409A of the Code (including due to the Participant's status as a "specified employee" within the meaning of Section 409A of the Code), the Company will make such payment on the first day that would not result in the Participant incurring any tax liability under Section 409A of the Code.</w:t>
      </w:r>
    </w:p>
    <w:p>
      <w:pPr>
        <w:pStyle w:val="TextBody"/>
        <w:bidi w:val="0"/>
        <w:spacing w:before="0" w:after="0"/>
        <w:ind w:left="0" w:right="0" w:firstLine="1440"/>
        <w:jc w:val="left"/>
        <w:rPr>
          <w:sz w:val="20"/>
        </w:rPr>
      </w:pPr>
      <w:r>
        <w:rPr>
          <w:sz w:val="20"/>
        </w:rPr>
        <w:t>IN WITNESS WHEREOF, the parties hereto have executed this Agreement.</w:t>
      </w:r>
    </w:p>
    <w:p>
      <w:pPr>
        <w:pStyle w:val="TextBody"/>
        <w:bidi w:val="0"/>
        <w:spacing w:before="0" w:after="0"/>
        <w:jc w:val="left"/>
        <w:rPr/>
      </w:pPr>
      <w:r>
        <w:rPr/>
        <w:t> </w:t>
      </w:r>
    </w:p>
    <w:tbl>
      <w:tblPr>
        <w:tblW w:w="3019" w:type="dxa"/>
        <w:jc w:val="left"/>
        <w:tblInd w:w="0" w:type="dxa"/>
        <w:tblLayout w:type="fixed"/>
        <w:tblCellMar>
          <w:top w:w="0" w:type="dxa"/>
          <w:left w:w="0" w:type="dxa"/>
          <w:bottom w:w="0" w:type="dxa"/>
          <w:right w:w="0" w:type="dxa"/>
        </w:tblCellMar>
      </w:tblPr>
      <w:tblGrid>
        <w:gridCol w:w="75"/>
        <w:gridCol w:w="2285"/>
        <w:gridCol w:w="659"/>
      </w:tblGrid>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0" w:after="0"/>
              <w:jc w:val="left"/>
              <w:rPr>
                <w:sz w:val="20"/>
              </w:rPr>
            </w:pPr>
            <w:r>
              <w:rPr>
                <w:sz w:val="20"/>
              </w:rPr>
              <w:t>HOVNANIAN ENTERPRISES, INC.</w:t>
            </w:r>
          </w:p>
        </w:tc>
      </w:tr>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sz w:val="20"/>
              </w:rPr>
            </w:pPr>
            <w:r>
              <w:rPr>
                <w:sz w:val="20"/>
              </w:rPr>
              <w:t>By:</w:t>
            </w:r>
          </w:p>
        </w:tc>
        <w:tc>
          <w:tcPr>
            <w:tcW w:w="659" w:type="dxa"/>
            <w:tcBorders>
              <w:bottom w:val="single" w:sz="6" w:space="0" w:color="000000"/>
            </w:tcBorders>
            <w:tcMar>
              <w:bottom w:w="28" w:type="dxa"/>
            </w:tcMar>
            <w:vAlign w:val="center"/>
          </w:tcPr>
          <w:p>
            <w:pPr>
              <w:pStyle w:val="TableContents"/>
              <w:widowControl w:val="false"/>
              <w:bidi w:val="0"/>
              <w:spacing w:before="0" w:after="6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top w:val="single" w:sz="6" w:space="0" w:color="000000"/>
            </w:tcBorders>
            <w:tcMar>
              <w:top w:w="28" w:type="dxa"/>
            </w:tcMar>
            <w:vAlign w:val="center"/>
          </w:tcPr>
          <w:p>
            <w:pPr>
              <w:pStyle w:val="TableContents"/>
              <w:widowControl w:val="false"/>
              <w:bidi w:val="0"/>
              <w:spacing w:before="2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120" w:after="0"/>
              <w:jc w:val="left"/>
              <w:rPr>
                <w:sz w:val="20"/>
              </w:rPr>
            </w:pPr>
            <w:r>
              <w:rPr>
                <w:sz w:val="20"/>
              </w:rPr>
              <w:t>PARTICIPANT</w:t>
            </w:r>
            <w:r>
              <w:rPr>
                <w:sz w:val="13"/>
              </w:rPr>
              <w:t>1</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sz w:val="20"/>
              </w:rPr>
            </w:pPr>
            <w:r>
              <w:rPr>
                <w:sz w:val="20"/>
              </w:rPr>
              <w:t>By:</w:t>
            </w:r>
          </w:p>
        </w:tc>
        <w:tc>
          <w:tcPr>
            <w:tcW w:w="659"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top w:val="single" w:sz="6" w:space="0" w:color="000000"/>
            </w:tcBorders>
            <w:tcMar>
              <w:top w:w="28" w:type="dxa"/>
            </w:tcMar>
            <w:vAlign w:val="center"/>
          </w:tcPr>
          <w:p>
            <w:pPr>
              <w:pStyle w:val="TableContents"/>
              <w:widowControl w:val="false"/>
              <w:bidi w:val="0"/>
              <w:spacing w:before="2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28" w:type="dxa"/>
          <w:right w:w="0" w:type="dxa"/>
        </w:tblCellMar>
      </w:tblPr>
      <w:tblGrid>
        <w:gridCol w:w="164"/>
        <w:gridCol w:w="4457"/>
        <w:gridCol w:w="5584"/>
      </w:tblGrid>
      <w:tr>
        <w:trPr/>
        <w:tc>
          <w:tcPr>
            <w:tcW w:w="164" w:type="dxa"/>
            <w:tcBorders>
              <w:bottom w:val="single" w:sz="6" w:space="0" w:color="000000"/>
            </w:tcBorders>
            <w:vAlign w:val="center"/>
          </w:tcPr>
          <w:p>
            <w:pPr>
              <w:pStyle w:val="TableContents"/>
              <w:widowControl w:val="false"/>
              <w:bidi w:val="0"/>
              <w:spacing w:before="0" w:after="0"/>
              <w:jc w:val="left"/>
              <w:rPr/>
            </w:pPr>
            <w:r>
              <w:rPr/>
              <w:t> </w:t>
            </w:r>
          </w:p>
        </w:tc>
        <w:tc>
          <w:tcPr>
            <w:tcW w:w="4457" w:type="dxa"/>
            <w:tcBorders>
              <w:bottom w:val="single" w:sz="6" w:space="0" w:color="000000"/>
            </w:tcBorders>
            <w:vAlign w:val="center"/>
          </w:tcPr>
          <w:p>
            <w:pPr>
              <w:pStyle w:val="TableContents"/>
              <w:widowControl w:val="false"/>
              <w:bidi w:val="0"/>
              <w:spacing w:before="0" w:after="0"/>
              <w:jc w:val="left"/>
              <w:rPr/>
            </w:pPr>
            <w:r>
              <w:rPr/>
              <w:t> </w:t>
            </w:r>
          </w:p>
        </w:tc>
        <w:tc>
          <w:tcPr>
            <w:tcW w:w="5584" w:type="dxa"/>
            <w:tcBorders/>
            <w:tcMar>
              <w:bottom w:w="0" w:type="dxa"/>
            </w:tcMar>
            <w:vAlign w:val="center"/>
          </w:tcPr>
          <w:p>
            <w:pPr>
              <w:pStyle w:val="TableContents"/>
              <w:widowControl w:val="false"/>
              <w:bidi w:val="0"/>
              <w:spacing w:before="0" w:after="0"/>
              <w:jc w:val="left"/>
              <w:rPr/>
            </w:pPr>
            <w:r>
              <w:rPr/>
              <w:t> </w:t>
            </w:r>
          </w:p>
        </w:tc>
      </w:tr>
      <w:tr>
        <w:trPr/>
        <w:tc>
          <w:tcPr>
            <w:tcW w:w="164" w:type="dxa"/>
            <w:tcBorders/>
            <w:tcMar>
              <w:bottom w:w="0" w:type="dxa"/>
            </w:tcMar>
            <w:vAlign w:val="center"/>
          </w:tcPr>
          <w:p>
            <w:pPr>
              <w:pStyle w:val="TableContents"/>
              <w:widowControl w:val="false"/>
              <w:bidi w:val="0"/>
              <w:spacing w:before="80" w:after="0"/>
              <w:jc w:val="left"/>
              <w:rPr>
                <w:sz w:val="20"/>
              </w:rPr>
            </w:pPr>
            <w:r>
              <w:rPr>
                <w:sz w:val="20"/>
              </w:rPr>
              <w:t>1.</w:t>
            </w:r>
          </w:p>
        </w:tc>
        <w:tc>
          <w:tcPr>
            <w:tcW w:w="10041" w:type="dxa"/>
            <w:gridSpan w:val="2"/>
            <w:tcBorders/>
            <w:tcMar>
              <w:bottom w:w="0" w:type="dxa"/>
            </w:tcMar>
            <w:vAlign w:val="center"/>
          </w:tcPr>
          <w:p>
            <w:pPr>
              <w:pStyle w:val="TableContents"/>
              <w:widowControl w:val="false"/>
              <w:bidi w:val="0"/>
              <w:spacing w:before="80" w:after="0"/>
              <w:jc w:val="both"/>
              <w:rPr>
                <w:sz w:val="20"/>
              </w:rPr>
            </w:pPr>
            <w:r>
              <w:rPr>
                <w:sz w:val="20"/>
              </w:rPr>
              <w:t>To the extent that the Company has established, either itself or through a third-party plan administrator, the ability to accept this award electronically, such acceptance shall constitute the Participant’s signature hereof.</w:t>
            </w:r>
          </w:p>
        </w:tc>
      </w:tr>
    </w:tbl>
    <w:p>
      <w:pPr>
        <w:pStyle w:val="TextBody"/>
        <w:bidi w:val="0"/>
        <w:spacing w:before="0" w:after="0"/>
        <w:jc w:val="left"/>
        <w:rPr/>
      </w:pPr>
      <w:r>
        <w:rPr/>
        <w:t> </w:t>
      </w:r>
    </w:p>
    <w:p>
      <w:pPr>
        <w:pStyle w:val="TextBody"/>
        <w:bidi w:val="0"/>
        <w:spacing w:before="0" w:after="0"/>
        <w:jc w:val="center"/>
        <w:rPr>
          <w:sz w:val="20"/>
        </w:rPr>
      </w:pPr>
      <w:r>
        <w:rPr>
          <w:sz w:val="20"/>
        </w:rPr>
        <w:t>4</w:t>
      </w:r>
    </w:p>
    <w:p>
      <w:pPr>
        <w:pStyle w:val="HorizontalLine"/>
        <w:pBdr>
          <w:bottom w:val="double" w:sz="2" w:space="0" w:color="808080"/>
        </w:pBdr>
        <w:bidi w:val="0"/>
        <w:jc w:val="center"/>
        <w:rPr/>
      </w:pPr>
      <w:r>
        <w:rPr/>
      </w:r>
    </w:p>
    <w:p>
      <w:pPr>
        <w:pStyle w:val="TextBody"/>
        <w:bidi w:val="0"/>
        <w:spacing w:before="0" w:after="0"/>
        <w:jc w:val="center"/>
        <w:rPr>
          <w:b/>
          <w:sz w:val="20"/>
          <w:u w:val="single"/>
        </w:rPr>
      </w:pPr>
      <w:r>
        <w:rPr>
          <w:b/>
          <w:sz w:val="20"/>
          <w:u w:val="single"/>
        </w:rPr>
        <w:t>Exhibit A</w:t>
      </w:r>
    </w:p>
    <w:p>
      <w:pPr>
        <w:pStyle w:val="TextBody"/>
        <w:bidi w:val="0"/>
        <w:spacing w:before="0" w:after="0"/>
        <w:jc w:val="center"/>
        <w:rPr>
          <w:b/>
          <w:sz w:val="20"/>
        </w:rPr>
      </w:pPr>
      <w:r>
        <w:rPr>
          <w:b/>
          <w:sz w:val="20"/>
        </w:rPr>
        <w:t>[Insert Performance Metrics for Determining Earned PSUs]</w:t>
      </w:r>
    </w:p>
    <w:p>
      <w:pPr>
        <w:pStyle w:val="TextBody"/>
        <w:bidi w:val="0"/>
        <w:spacing w:before="0" w:after="0"/>
        <w:jc w:val="left"/>
        <w:rPr/>
      </w:pPr>
      <w:r>
        <w:rPr/>
        <w:t> </w:t>
      </w:r>
    </w:p>
    <w:p>
      <w:pPr>
        <w:pStyle w:val="TextBody"/>
        <w:bidi w:val="0"/>
        <w:spacing w:before="0" w:after="0"/>
        <w:jc w:val="center"/>
        <w:rPr>
          <w:sz w:val="20"/>
        </w:rPr>
      </w:pPr>
      <w:r>
        <w:rPr>
          <w:sz w:val="20"/>
        </w:rPr>
        <w:t>5</w:t>
      </w:r>
    </w:p>
    <w:p>
      <w:pPr>
        <w:pStyle w:val="HorizontalLine"/>
        <w:pBdr>
          <w:bottom w:val="double" w:sz="2" w:space="0" w:color="808080"/>
        </w:pBdr>
        <w:bidi w:val="0"/>
        <w:jc w:val="center"/>
        <w:rPr/>
      </w:pPr>
      <w:r>
        <w:rPr/>
      </w:r>
    </w:p>
    <w:p>
      <w:pPr>
        <w:pStyle w:val="TextBody"/>
        <w:bidi w:val="0"/>
        <w:spacing w:before="0" w:after="0"/>
        <w:jc w:val="right"/>
        <w:rPr>
          <w:b/>
          <w:sz w:val="20"/>
        </w:rPr>
      </w:pPr>
      <w:bookmarkStart w:id="25" w:name="ex10D_4.htm"/>
      <w:bookmarkStart w:id="26" w:name="ksex10D_4"/>
      <w:bookmarkEnd w:id="25"/>
      <w:bookmarkEnd w:id="26"/>
      <w:r>
        <w:rPr>
          <w:b/>
          <w:sz w:val="20"/>
        </w:rPr>
        <w:t>Exhibit 10(d)</w:t>
      </w:r>
      <w:r>
        <w:br w:type="page"/>
      </w:r>
    </w:p>
    <w:p>
      <w:pPr>
        <w:pStyle w:val="TextBody"/>
        <w:bidi w:val="0"/>
        <w:spacing w:before="0" w:after="0"/>
        <w:jc w:val="left"/>
        <w:rPr/>
      </w:pPr>
      <w:r>
        <w:rPr/>
        <w:t> </w:t>
      </w:r>
    </w:p>
    <w:p>
      <w:pPr>
        <w:pStyle w:val="TextBody"/>
        <w:bidi w:val="0"/>
        <w:spacing w:before="0" w:after="0"/>
        <w:jc w:val="center"/>
        <w:rPr>
          <w:sz w:val="20"/>
        </w:rPr>
      </w:pPr>
      <w:r>
        <w:rPr>
          <w:b/>
          <w:sz w:val="20"/>
        </w:rPr>
        <w:t>2020 HOVNANIAN ENTERPRISES, INC.</w:t>
      </w:r>
      <w:r>
        <w:rPr>
          <w:sz w:val="20"/>
        </w:rPr>
        <w:br/>
      </w:r>
      <w:r>
        <w:rPr>
          <w:b/>
          <w:sz w:val="20"/>
        </w:rPr>
        <w:t>FOURTH AMENDED AND RESTATED STOCK INCENTIVE PLAN</w:t>
      </w:r>
    </w:p>
    <w:p>
      <w:pPr>
        <w:pStyle w:val="TextBody"/>
        <w:bidi w:val="0"/>
        <w:spacing w:before="0" w:after="0"/>
        <w:jc w:val="left"/>
        <w:rPr/>
      </w:pPr>
      <w:r>
        <w:rPr/>
        <w:t> </w:t>
      </w:r>
    </w:p>
    <w:p>
      <w:pPr>
        <w:pStyle w:val="TextBody"/>
        <w:bidi w:val="0"/>
        <w:spacing w:before="0" w:after="0"/>
        <w:jc w:val="center"/>
        <w:rPr>
          <w:b/>
          <w:sz w:val="20"/>
        </w:rPr>
      </w:pPr>
      <w:r>
        <w:rPr>
          <w:b/>
          <w:sz w:val="20"/>
        </w:rPr>
        <w:t>PERFORMANCE SHARE UNIT AGREEMENT</w:t>
      </w:r>
    </w:p>
    <w:p>
      <w:pPr>
        <w:pStyle w:val="TextBody"/>
        <w:bidi w:val="0"/>
        <w:spacing w:before="0" w:after="0"/>
        <w:jc w:val="center"/>
        <w:rPr>
          <w:b/>
          <w:sz w:val="20"/>
        </w:rPr>
      </w:pPr>
      <w:r>
        <w:rPr>
          <w:b/>
          <w:sz w:val="20"/>
        </w:rPr>
        <w:t>(EBIT ROI Performance Vesting)</w:t>
      </w:r>
    </w:p>
    <w:p>
      <w:pPr>
        <w:pStyle w:val="TextBody"/>
        <w:bidi w:val="0"/>
        <w:spacing w:before="0" w:after="0"/>
        <w:jc w:val="left"/>
        <w:rPr/>
      </w:pPr>
      <w:r>
        <w:rPr/>
        <w:t> </w:t>
      </w:r>
    </w:p>
    <w:tbl>
      <w:tblPr>
        <w:tblW w:w="5108" w:type="dxa"/>
        <w:jc w:val="left"/>
        <w:tblInd w:w="0" w:type="dxa"/>
        <w:tblLayout w:type="fixed"/>
        <w:tblCellMar>
          <w:top w:w="0" w:type="dxa"/>
          <w:left w:w="0" w:type="dxa"/>
          <w:bottom w:w="0" w:type="dxa"/>
          <w:right w:w="0" w:type="dxa"/>
        </w:tblCellMar>
      </w:tblPr>
      <w:tblGrid>
        <w:gridCol w:w="2612"/>
        <w:gridCol w:w="77"/>
        <w:gridCol w:w="60"/>
        <w:gridCol w:w="2176"/>
        <w:gridCol w:w="108"/>
        <w:gridCol w:w="75"/>
      </w:tblGrid>
      <w:tr>
        <w:trPr/>
        <w:tc>
          <w:tcPr>
            <w:tcW w:w="2612" w:type="dxa"/>
            <w:tcBorders/>
            <w:vAlign w:val="center"/>
          </w:tcPr>
          <w:p>
            <w:pPr>
              <w:pStyle w:val="TableContents"/>
              <w:widowControl w:val="false"/>
              <w:bidi w:val="0"/>
              <w:spacing w:before="0" w:after="0"/>
              <w:jc w:val="left"/>
              <w:rPr>
                <w:i/>
                <w:sz w:val="20"/>
              </w:rPr>
            </w:pPr>
            <w:r>
              <w:rPr>
                <w:i/>
                <w:sz w:val="20"/>
              </w:rPr>
              <w:t>Participant:</w:t>
            </w:r>
          </w:p>
        </w:tc>
        <w:tc>
          <w:tcPr>
            <w:tcW w:w="77"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i/>
                <w:sz w:val="20"/>
              </w:rPr>
            </w:pPr>
            <w:r>
              <w:rPr>
                <w:i/>
                <w:sz w:val="20"/>
              </w:rPr>
              <w:t>Date of Grant:</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77"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108"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77"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108"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vAlign w:val="center"/>
          </w:tcPr>
          <w:p>
            <w:pPr>
              <w:pStyle w:val="TableContents"/>
              <w:widowControl w:val="false"/>
              <w:bidi w:val="0"/>
              <w:spacing w:before="0" w:after="0"/>
              <w:jc w:val="left"/>
              <w:rPr/>
            </w:pPr>
            <w:r>
              <w:rPr/>
              <w:t> </w:t>
            </w:r>
          </w:p>
        </w:tc>
        <w:tc>
          <w:tcPr>
            <w:tcW w:w="77"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pPr>
            <w:r>
              <w:rPr/>
              <w:t> </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vAlign w:val="center"/>
          </w:tcPr>
          <w:p>
            <w:pPr>
              <w:pStyle w:val="TableContents"/>
              <w:widowControl w:val="false"/>
              <w:bidi w:val="0"/>
              <w:spacing w:before="0" w:after="0"/>
              <w:jc w:val="left"/>
              <w:rPr>
                <w:i/>
                <w:sz w:val="20"/>
              </w:rPr>
            </w:pPr>
            <w:r>
              <w:rPr>
                <w:i/>
                <w:sz w:val="20"/>
              </w:rPr>
              <w:t>Target Number of PSUs:</w:t>
            </w:r>
          </w:p>
        </w:tc>
        <w:tc>
          <w:tcPr>
            <w:tcW w:w="77"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60"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pPr>
            <w:r>
              <w:rPr/>
              <w:t> </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vAlign w:val="center"/>
          </w:tcPr>
          <w:p>
            <w:pPr>
              <w:pStyle w:val="TableContents"/>
              <w:widowControl w:val="false"/>
              <w:bidi w:val="0"/>
              <w:spacing w:before="0" w:after="0"/>
              <w:jc w:val="left"/>
              <w:rPr/>
            </w:pPr>
            <w:r>
              <w:rPr/>
              <w:t> </w:t>
            </w:r>
          </w:p>
        </w:tc>
        <w:tc>
          <w:tcPr>
            <w:tcW w:w="77"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60"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pPr>
            <w:r>
              <w:rPr/>
              <w:t> </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vAlign w:val="center"/>
          </w:tcPr>
          <w:p>
            <w:pPr>
              <w:pStyle w:val="TableContents"/>
              <w:widowControl w:val="false"/>
              <w:bidi w:val="0"/>
              <w:spacing w:before="0" w:after="0"/>
              <w:jc w:val="left"/>
              <w:rPr/>
            </w:pPr>
            <w:r>
              <w:rPr/>
              <w:t> </w:t>
            </w:r>
          </w:p>
        </w:tc>
        <w:tc>
          <w:tcPr>
            <w:tcW w:w="77"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pPr>
            <w:r>
              <w:rPr/>
              <w:t> </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89" w:type="dxa"/>
            <w:gridSpan w:val="2"/>
            <w:tcBorders/>
            <w:vAlign w:val="center"/>
          </w:tcPr>
          <w:p>
            <w:pPr>
              <w:pStyle w:val="TableContents"/>
              <w:widowControl w:val="false"/>
              <w:bidi w:val="0"/>
              <w:spacing w:before="0" w:after="0"/>
              <w:jc w:val="left"/>
              <w:rPr>
                <w:i/>
                <w:sz w:val="20"/>
              </w:rPr>
            </w:pPr>
            <w:r>
              <w:rPr>
                <w:i/>
                <w:sz w:val="20"/>
              </w:rPr>
              <w:t>Date of Vesting of Earned PSUs:</w:t>
            </w:r>
          </w:p>
        </w:tc>
        <w:tc>
          <w:tcPr>
            <w:tcW w:w="60" w:type="dxa"/>
            <w:tcBorders/>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pPr>
            <w:r>
              <w:rPr/>
              <w:t> </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vAlign w:val="center"/>
          </w:tcPr>
          <w:p>
            <w:pPr>
              <w:pStyle w:val="TableContents"/>
              <w:widowControl w:val="false"/>
              <w:bidi w:val="0"/>
              <w:spacing w:before="0" w:after="0"/>
              <w:jc w:val="left"/>
              <w:rPr/>
            </w:pPr>
            <w:r>
              <w:rPr/>
              <w:t> </w:t>
            </w:r>
          </w:p>
        </w:tc>
        <w:tc>
          <w:tcPr>
            <w:tcW w:w="77"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pPr>
            <w:r>
              <w:rPr/>
              <w:t> </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vAlign w:val="center"/>
          </w:tcPr>
          <w:p>
            <w:pPr>
              <w:pStyle w:val="TableContents"/>
              <w:widowControl w:val="false"/>
              <w:bidi w:val="0"/>
              <w:spacing w:before="0" w:after="0"/>
              <w:jc w:val="left"/>
              <w:rPr>
                <w:i/>
                <w:sz w:val="20"/>
                <w:u w:val="single"/>
              </w:rPr>
            </w:pPr>
            <w:r>
              <w:rPr>
                <w:i/>
                <w:sz w:val="20"/>
                <w:u w:val="single"/>
              </w:rPr>
              <w:t>Date</w:t>
            </w:r>
          </w:p>
        </w:tc>
        <w:tc>
          <w:tcPr>
            <w:tcW w:w="77"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284" w:type="dxa"/>
            <w:gridSpan w:val="2"/>
            <w:tcBorders/>
            <w:vAlign w:val="center"/>
          </w:tcPr>
          <w:p>
            <w:pPr>
              <w:pStyle w:val="TableContents"/>
              <w:widowControl w:val="false"/>
              <w:bidi w:val="0"/>
              <w:spacing w:before="0" w:after="0"/>
              <w:jc w:val="left"/>
              <w:rPr>
                <w:i/>
                <w:sz w:val="20"/>
                <w:u w:val="single"/>
              </w:rPr>
            </w:pPr>
            <w:r>
              <w:rPr>
                <w:i/>
                <w:sz w:val="20"/>
                <w:u w:val="single"/>
              </w:rPr>
              <w:t>Percentage of Earned PSUs</w:t>
            </w:r>
          </w:p>
        </w:tc>
        <w:tc>
          <w:tcPr>
            <w:tcW w:w="75" w:type="dxa"/>
            <w:tcBorders/>
            <w:vAlign w:val="center"/>
          </w:tcPr>
          <w:p>
            <w:pPr>
              <w:pStyle w:val="TableContents"/>
              <w:widowControl w:val="false"/>
              <w:bidi w:val="0"/>
              <w:spacing w:before="0" w:after="0"/>
              <w:jc w:val="left"/>
              <w:rPr/>
            </w:pPr>
            <w:r>
              <w:rPr/>
              <w:t> </w:t>
            </w:r>
          </w:p>
        </w:tc>
      </w:tr>
      <w:tr>
        <w:trPr/>
        <w:tc>
          <w:tcPr>
            <w:tcW w:w="2612" w:type="dxa"/>
            <w:tcBorders/>
            <w:vAlign w:val="center"/>
          </w:tcPr>
          <w:p>
            <w:pPr>
              <w:pStyle w:val="TableContents"/>
              <w:widowControl w:val="false"/>
              <w:bidi w:val="0"/>
              <w:spacing w:before="0" w:after="0"/>
              <w:jc w:val="left"/>
              <w:rPr/>
            </w:pPr>
            <w:r>
              <w:rPr/>
              <w:t> </w:t>
            </w:r>
          </w:p>
        </w:tc>
        <w:tc>
          <w:tcPr>
            <w:tcW w:w="77"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vAlign w:val="center"/>
          </w:tcPr>
          <w:p>
            <w:pPr>
              <w:pStyle w:val="TableContents"/>
              <w:widowControl w:val="false"/>
              <w:bidi w:val="0"/>
              <w:spacing w:before="0" w:after="0"/>
              <w:jc w:val="left"/>
              <w:rPr/>
            </w:pPr>
            <w:r>
              <w:rPr/>
              <w:t> </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612" w:type="dxa"/>
            <w:tcBorders>
              <w:bottom w:val="single" w:sz="6" w:space="0" w:color="000000"/>
            </w:tcBorders>
            <w:tcMar>
              <w:bottom w:w="28" w:type="dxa"/>
            </w:tcMar>
            <w:vAlign w:val="center"/>
          </w:tcPr>
          <w:p>
            <w:pPr>
              <w:pStyle w:val="TableContents"/>
              <w:widowControl w:val="false"/>
              <w:bidi w:val="0"/>
              <w:spacing w:before="0" w:after="0"/>
              <w:jc w:val="center"/>
              <w:rPr>
                <w:sz w:val="20"/>
              </w:rPr>
            </w:pPr>
            <w:r>
              <w:rPr>
                <w:sz w:val="20"/>
              </w:rPr>
              <w:t>[Date]</w:t>
            </w:r>
          </w:p>
        </w:tc>
        <w:tc>
          <w:tcPr>
            <w:tcW w:w="77"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176" w:type="dxa"/>
            <w:tcBorders>
              <w:bottom w:val="single" w:sz="6" w:space="0" w:color="000000"/>
            </w:tcBorders>
            <w:tcMar>
              <w:bottom w:w="28" w:type="dxa"/>
            </w:tcMar>
            <w:vAlign w:val="center"/>
          </w:tcPr>
          <w:p>
            <w:pPr>
              <w:pStyle w:val="TableContents"/>
              <w:widowControl w:val="false"/>
              <w:bidi w:val="0"/>
              <w:spacing w:before="0" w:after="0"/>
              <w:jc w:val="center"/>
              <w:rPr>
                <w:sz w:val="20"/>
              </w:rPr>
            </w:pPr>
            <w:r>
              <w:rPr>
                <w:sz w:val="20"/>
              </w:rPr>
              <w:t>100%</w:t>
            </w:r>
          </w:p>
        </w:tc>
        <w:tc>
          <w:tcPr>
            <w:tcW w:w="108"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bl>
    <w:p>
      <w:pPr>
        <w:pStyle w:val="TextBody"/>
        <w:bidi w:val="0"/>
        <w:spacing w:before="0" w:after="0"/>
        <w:jc w:val="left"/>
        <w:rPr/>
      </w:pPr>
      <w:r>
        <w:rPr/>
        <w:t> </w:t>
      </w:r>
    </w:p>
    <w:p>
      <w:pPr>
        <w:pStyle w:val="Heading1"/>
        <w:bidi w:val="0"/>
        <w:spacing w:before="0" w:after="200"/>
        <w:ind w:left="0" w:right="0" w:firstLine="1440"/>
        <w:jc w:val="both"/>
        <w:rPr>
          <w:sz w:val="20"/>
        </w:rPr>
      </w:pPr>
      <w:r>
        <w:rPr>
          <w:b w:val="false"/>
          <w:sz w:val="20"/>
        </w:rPr>
        <w:t>1.</w:t>
      </w:r>
      <w:r>
        <w:rPr>
          <w:caps w:val="false"/>
          <w:smallCaps w:val="false"/>
          <w:sz w:val="20"/>
        </w:rPr>
        <w:t xml:space="preserve">          </w:t>
      </w:r>
      <w:r>
        <w:rPr>
          <w:b w:val="false"/>
          <w:sz w:val="20"/>
          <w:u w:val="single"/>
        </w:rPr>
        <w:t>Grant of PSUs</w:t>
      </w:r>
      <w:r>
        <w:rPr>
          <w:b w:val="false"/>
          <w:sz w:val="20"/>
        </w:rPr>
        <w:t>.</w:t>
      </w:r>
      <w:r>
        <w:rPr>
          <w:sz w:val="20"/>
        </w:rPr>
        <w:t xml:space="preserve">  </w:t>
      </w:r>
      <w:r>
        <w:rPr>
          <w:b w:val="false"/>
          <w:sz w:val="20"/>
        </w:rPr>
        <w:t>For valuable consideration, receipt of which is hereby acknowledged, Hovnanian Enterprises, Inc., a Delaware Corporation (the "Company"), hereby grants the target number (“Target Number”) of performance share units ("PSUs") listed above to the Participant, on the terms and conditions hereinafter set forth.</w:t>
      </w:r>
      <w:r>
        <w:rPr>
          <w:sz w:val="20"/>
        </w:rPr>
        <w:t xml:space="preserve">  </w:t>
      </w:r>
      <w:r>
        <w:rPr>
          <w:b w:val="false"/>
          <w:sz w:val="20"/>
        </w:rPr>
        <w:t>This grant is made pursuant to the terms and conditions of the 2020 Company Fourth Amended and Restated Stock Incentive Plan (the "Plan"), which Plan, as amended from time to time, is incorporated herein by reference and made a part of this Agreement.</w:t>
      </w:r>
      <w:r>
        <w:rPr>
          <w:sz w:val="20"/>
        </w:rPr>
        <w:t xml:space="preserve">  </w:t>
      </w:r>
      <w:r>
        <w:rPr>
          <w:b w:val="false"/>
          <w:sz w:val="20"/>
        </w:rPr>
        <w:t>The actual number of PSUs, if any, that the Participant will be eligible to earn with respect to this Agreement (the “Earned PSUs”), subject to meeting the applicable service and performance vesting requirements, will equal the Target Number multiplied by the applicable “Performance Multiplier” as defined in Exhibit A hereto.</w:t>
      </w:r>
      <w:r>
        <w:rPr>
          <w:sz w:val="20"/>
        </w:rPr>
        <w:t xml:space="preserve">  </w:t>
      </w:r>
      <w:r>
        <w:rPr>
          <w:b w:val="false"/>
          <w:sz w:val="20"/>
        </w:rPr>
        <w:t>Each Earned PSU represents the unfunded, unsecured right of the Participant to receive a Share on the date(s) specified herein.</w:t>
      </w:r>
      <w:r>
        <w:rPr>
          <w:sz w:val="20"/>
        </w:rPr>
        <w:t xml:space="preserve">  </w:t>
      </w:r>
      <w:r>
        <w:rPr>
          <w:b w:val="false"/>
          <w:sz w:val="20"/>
        </w:rPr>
        <w:t>Capitalized terms not otherwise defined herein shall have the same meanings as in the Plan.</w:t>
      </w:r>
    </w:p>
    <w:p>
      <w:pPr>
        <w:pStyle w:val="TextBody"/>
        <w:bidi w:val="0"/>
        <w:spacing w:before="0" w:after="200"/>
        <w:ind w:left="0" w:right="0" w:firstLine="1440"/>
        <w:jc w:val="both"/>
        <w:rPr>
          <w:sz w:val="20"/>
        </w:rPr>
      </w:pPr>
      <w:r>
        <w:rPr>
          <w:sz w:val="20"/>
        </w:rPr>
        <w:t>2.</w:t>
      </w:r>
      <w:r>
        <w:rPr>
          <w:caps w:val="false"/>
          <w:smallCaps w:val="false"/>
          <w:sz w:val="20"/>
        </w:rPr>
        <w:t xml:space="preserve">          </w:t>
      </w:r>
      <w:r>
        <w:rPr>
          <w:sz w:val="20"/>
          <w:u w:val="single"/>
        </w:rPr>
        <w:t>Vesting and Timing of Transfer</w:t>
      </w:r>
      <w:r>
        <w:rPr>
          <w:sz w:val="20"/>
        </w:rPr>
        <w:t>.</w:t>
      </w:r>
    </w:p>
    <w:p>
      <w:pPr>
        <w:pStyle w:val="TextBody"/>
        <w:bidi w:val="0"/>
        <w:spacing w:before="0" w:after="200"/>
        <w:ind w:left="0" w:right="0" w:firstLine="1890"/>
        <w:jc w:val="both"/>
        <w:rPr>
          <w:sz w:val="20"/>
        </w:rPr>
      </w:pPr>
      <w:r>
        <w:rPr>
          <w:sz w:val="20"/>
        </w:rPr>
        <w:t>(a)</w:t>
      </w:r>
      <w:r>
        <w:rPr>
          <w:caps w:val="false"/>
          <w:smallCaps w:val="false"/>
          <w:sz w:val="20"/>
        </w:rPr>
        <w:t xml:space="preserve">        </w:t>
      </w:r>
      <w:r>
        <w:rPr>
          <w:sz w:val="20"/>
        </w:rPr>
        <w:t xml:space="preserve">The Participant will become vested in the Earned PSUs in accordance with the schedule set forth above (each such vesting date, a “Vesting Date”); </w:t>
      </w:r>
      <w:r>
        <w:rPr>
          <w:sz w:val="20"/>
          <w:u w:val="single"/>
        </w:rPr>
        <w:t>provided</w:t>
      </w:r>
      <w:r>
        <w:rPr>
          <w:sz w:val="20"/>
        </w:rPr>
        <w:t xml:space="preserve">, </w:t>
      </w:r>
      <w:r>
        <w:rPr>
          <w:sz w:val="20"/>
          <w:u w:val="single"/>
        </w:rPr>
        <w:t>however</w:t>
      </w:r>
      <w:r>
        <w:rPr>
          <w:sz w:val="20"/>
        </w:rPr>
        <w:t xml:space="preserve">, that upon the occurrence of a Change in Control that results in the Company's Shares ceasing to be publicly traded on a national securities exchange, the Earned PSUs shall immediately become fully vested (subject to any delay in Share delivery required pursuant to Sections 2(b) and 16 hereof). </w:t>
      </w:r>
    </w:p>
    <w:p>
      <w:pPr>
        <w:pStyle w:val="TextBody"/>
        <w:bidi w:val="0"/>
        <w:spacing w:before="0" w:after="200"/>
        <w:ind w:left="0" w:right="0" w:firstLine="1890"/>
        <w:jc w:val="both"/>
        <w:rPr>
          <w:sz w:val="20"/>
        </w:rPr>
      </w:pPr>
      <w:r>
        <w:rPr>
          <w:sz w:val="20"/>
        </w:rPr>
        <w:t>(b)</w:t>
      </w:r>
      <w:r>
        <w:rPr>
          <w:caps w:val="false"/>
          <w:smallCaps w:val="false"/>
          <w:sz w:val="20"/>
        </w:rPr>
        <w:t xml:space="preserve">       </w:t>
      </w:r>
      <w:r>
        <w:rPr>
          <w:sz w:val="20"/>
        </w:rPr>
        <w:t xml:space="preserve">The Company shall transfer to the Participant, as soon as practicable but not later than 60 days after an applicable “Delivery Date” (as defined below), a number of Class B Shares equal to the number of Earned PSUs that became vested on the corresponding Vesting Date (rounded up to the next whole share), </w:t>
      </w:r>
      <w:r>
        <w:rPr>
          <w:sz w:val="20"/>
          <w:u w:val="single"/>
        </w:rPr>
        <w:t>provided</w:t>
      </w:r>
      <w:r>
        <w:rPr>
          <w:sz w:val="20"/>
        </w:rPr>
        <w:t xml:space="preserve">, </w:t>
      </w:r>
      <w:r>
        <w:rPr>
          <w:sz w:val="20"/>
          <w:u w:val="single"/>
        </w:rPr>
        <w:t>however</w:t>
      </w:r>
      <w:r>
        <w:rPr>
          <w:sz w:val="20"/>
        </w:rPr>
        <w:t>, that upon the final transfer of Shares to the Participant (i) such number of Shares shall be reduced to the extent necessary to reflect any previous rounding up pursuant to this sentence.  If the Participant is eligible to participate in, and has elected to defer the transfer of Shares pursuant to the terms of a nonqualified deferred compensation plan maintained by the Company, such Shares shall be so deferred, and any such deferral, when paid, shall be paid in Shares.  Once the transfer of any Shares is deferred, the rights and privileges of the Participant with respect to such Shares shall be determined solely pursuant to the terms of the applicable plan, and not pursuant to the terms and conditions of this Agreement.  For purposes of this Agreement, the “Delivery Date” with respect to each Vesting Date shall mean the date that is the earlier of (i) the second anniversary of such Vesting Date or (ii) the second anniversary of the date of the Participant’s Qualified Termination (as defined below), if applicable.</w:t>
      </w:r>
    </w:p>
    <w:p>
      <w:pPr>
        <w:pStyle w:val="TextBody"/>
        <w:bidi w:val="0"/>
        <w:spacing w:before="0" w:after="0"/>
        <w:ind w:left="0" w:right="0" w:firstLine="1890"/>
        <w:jc w:val="both"/>
        <w:rPr>
          <w:sz w:val="20"/>
        </w:rPr>
      </w:pPr>
      <w:r>
        <w:rPr>
          <w:sz w:val="20"/>
        </w:rPr>
        <w:t>(c)</w:t>
      </w:r>
      <w:r>
        <w:rPr>
          <w:caps w:val="false"/>
          <w:smallCaps w:val="false"/>
          <w:sz w:val="20"/>
        </w:rPr>
        <w:t xml:space="preserve">        </w:t>
      </w:r>
      <w:r>
        <w:rPr>
          <w:sz w:val="20"/>
        </w:rPr>
        <w:t xml:space="preserve">Notwithstanding Sections 2(a) and 2(b) of this Agreement, if the Participant's employment with the Company and its Affiliates terminates due to (i) death, (ii) Disability or (iii) Retirement, (any such termination, a “Qualified Termination”), then (A) any previously unvested Earned PSUs shall become fully vested, (B) if such Qualified Termination occurs prior to the determination of the number of Earned PSUs in accordance with Exhibit A hereto, the PSUs granted hereunder shall remaining outstanding and eligible to become Earned PSUs in accordance with such Exhibit A and (C) the Shares underlying all of the Participant’s Earned PSUs, if any, shall be delivered to the Participant as soon as practicable but not later than 60 days after the corresponding Delivery Date(s) subject to Section 16 of this Agreement.  In the event of the death of the Participant, the transfer of Shares under this Section 2(c) shall be made in accordance with the beneficiary designation form on file with the Company; </w:t>
      </w:r>
      <w:r>
        <w:rPr>
          <w:sz w:val="20"/>
          <w:u w:val="single"/>
        </w:rPr>
        <w:t>provided</w:t>
      </w:r>
      <w:r>
        <w:rPr>
          <w:sz w:val="20"/>
        </w:rPr>
        <w:t xml:space="preserve">, </w:t>
      </w:r>
      <w:r>
        <w:rPr>
          <w:sz w:val="20"/>
          <w:u w:val="single"/>
        </w:rPr>
        <w:t>however</w:t>
      </w:r>
      <w:r>
        <w:rPr>
          <w:sz w:val="20"/>
        </w:rPr>
        <w:t>, that, in the absence of any such beneficiary designation form, the transfer of Shares under this Section 2(c) shall be made to the person or persons to whom the Participant's rights under the Agreement shall pass by will or by the applicable laws of descent and distribution.  For purposes of this Agreement, "Disability" shall mean "Disability" as defined in the Plan, and "Retirement" shall mean termination of employment on or after age 60, or on or after age 58 with at least 15 years of "Service" to the Company and its Subsidiaries immediately preceding such termination of employment.  For this purpose, "Service" means the period of employment immediately preceding Retirement, plus any prior periods of employment with the Company and its Subsidiaries of one or more years' duration, unless they were succeeded by a period of non-employment with the Company and its Subsidiaries of more than three years' duration.</w:t>
      </w:r>
    </w:p>
    <w:p>
      <w:pPr>
        <w:pStyle w:val="TextBody"/>
        <w:bidi w:val="0"/>
        <w:spacing w:before="0" w:after="0"/>
        <w:jc w:val="left"/>
        <w:rPr/>
      </w:pPr>
      <w:r>
        <w:rPr/>
        <w:t> </w:t>
      </w:r>
    </w:p>
    <w:p>
      <w:pPr>
        <w:pStyle w:val="TextBody"/>
        <w:bidi w:val="0"/>
        <w:spacing w:before="0" w:after="0"/>
        <w:jc w:val="center"/>
        <w:rPr>
          <w:sz w:val="20"/>
        </w:rPr>
      </w:pPr>
      <w:r>
        <w:rPr>
          <w:sz w:val="20"/>
        </w:rPr>
        <w:t>1</w:t>
      </w:r>
    </w:p>
    <w:p>
      <w:pPr>
        <w:pStyle w:val="HorizontalLine"/>
        <w:pBdr>
          <w:bottom w:val="double" w:sz="2" w:space="0" w:color="808080"/>
        </w:pBdr>
        <w:bidi w:val="0"/>
        <w:jc w:val="center"/>
        <w:rPr/>
      </w:pPr>
      <w:r>
        <w:rPr/>
      </w:r>
    </w:p>
    <w:p>
      <w:pPr>
        <w:pStyle w:val="Heading2"/>
        <w:bidi w:val="0"/>
        <w:spacing w:before="0" w:after="200"/>
        <w:ind w:left="0" w:right="0" w:firstLine="1886"/>
        <w:jc w:val="both"/>
        <w:rPr>
          <w:sz w:val="20"/>
        </w:rPr>
      </w:pPr>
      <w:r>
        <w:rPr>
          <w:b w:val="false"/>
          <w:sz w:val="20"/>
        </w:rPr>
        <w:t>(d)</w:t>
      </w:r>
      <w:r>
        <w:rPr>
          <w:caps w:val="false"/>
          <w:smallCaps w:val="false"/>
          <w:sz w:val="20"/>
        </w:rPr>
        <w:t xml:space="preserve">        </w:t>
      </w:r>
      <w:r>
        <w:rPr>
          <w:b w:val="false"/>
          <w:sz w:val="20"/>
        </w:rPr>
        <w:t>Upon each transfer or deferral of Shares in accordance with Sections 2(a), 2(b) and 2(c) of this Agreement, a number of Earned PSUs equal to the number of Shares transferred to the Participant or deferred shall be extinguished.</w:t>
      </w:r>
    </w:p>
    <w:p>
      <w:pPr>
        <w:pStyle w:val="TextBody"/>
        <w:bidi w:val="0"/>
        <w:spacing w:before="0" w:after="200"/>
        <w:ind w:left="0" w:right="0" w:firstLine="1890"/>
        <w:jc w:val="both"/>
        <w:rPr>
          <w:sz w:val="20"/>
        </w:rPr>
      </w:pPr>
      <w:r>
        <w:rPr>
          <w:sz w:val="20"/>
        </w:rPr>
        <w:t>(e)</w:t>
      </w:r>
      <w:r>
        <w:rPr>
          <w:caps w:val="false"/>
          <w:smallCaps w:val="false"/>
          <w:sz w:val="20"/>
        </w:rPr>
        <w:t xml:space="preserve">        </w:t>
      </w:r>
      <w:r>
        <w:rPr>
          <w:sz w:val="20"/>
        </w:rPr>
        <w:t>Notwithstanding Sections 2(a), 2(b) and 2(c) of this Agreement, upon the Participant's termination of employment for any reason other than (i) death, Disability or Retirement or (ii) under the circumstances described in clause (f) below, any unvested PSUs (including, without limitation, any Earned PSUs) shall immediately terminate for no further consideration.</w:t>
      </w:r>
    </w:p>
    <w:p>
      <w:pPr>
        <w:pStyle w:val="TextBody"/>
        <w:bidi w:val="0"/>
        <w:spacing w:before="0" w:after="200"/>
        <w:ind w:left="0" w:right="0" w:firstLine="1890"/>
        <w:jc w:val="both"/>
        <w:rPr>
          <w:sz w:val="20"/>
        </w:rPr>
      </w:pPr>
      <w:r>
        <w:rPr>
          <w:sz w:val="20"/>
        </w:rPr>
        <w:t>(f)</w:t>
      </w:r>
      <w:r>
        <w:rPr>
          <w:caps w:val="false"/>
          <w:smallCaps w:val="false"/>
          <w:sz w:val="20"/>
        </w:rPr>
        <w:t xml:space="preserve">         </w:t>
      </w:r>
      <w:r>
        <w:rPr>
          <w:sz w:val="20"/>
          <w:u w:val="single"/>
        </w:rPr>
        <w:t>Termination without Cause or for Good Reason within Two Years Following a Change in Control</w:t>
      </w:r>
      <w:r>
        <w:rPr>
          <w:sz w:val="20"/>
        </w:rPr>
        <w:t>.  In the event of the Participant's Qualifying Termination or involuntary termination of employment with the Company or a subsidiary thereof without "Cause" or for "Good Reason", in each case, within two years following a Change in Control, the Earned PSUs, to the extent not previously vested and settled, shall immediately become fully vested and settled in Shares.  For purposes of this Agreement, "Cause" shall mean the occurrence of any of the following: (a) the willful and continued failure of the Participant to perform substantially all of his or her duties with the Company (other than any such failure resulting from incapacity due to physical or mental illness) for a period of 10 days following a written demand for substantial performance that is delivered to such Participant by the Company, which specifically identifies the manner in which the Company believes the Participant has not substantially performed his or her duties; (b) dishonesty in the performance of the Participant's duties with the Company; (c) the Participant's conviction of, or plea of guilty or nolo contendere to, a crime under the laws of the United States or any state thereof constituting a felony or a misdemeanor involving moral turpitude; (d) the Participant's willful malfeasance or willful misconduct in connection with the Participant's duties with the Company or any act or omission which is injurious to the financial condition or business reputation of the Company or its affiliates; or (e) the Participant's breach of the provisions of Section 11 of this Agreement.  For purposes of this Agreement, "Good Reason" shall mean the occurrence of any of the following, without the Participant's express written consent:  (a) any material diminution in the Participant's duties, titles or responsibilities with the Company from those in effect immediately prior to a Change in Control or (b) any reduction in the Participant's annual base salary or any material reduction in the Participant's annual bonus opportunity, annual equity awards or long-term incentive program awards from the Participant's annual base salary or annual bonus opportunity, annual equity awards or long-term incentive program awards in effect immediately prior to a Change in Control.  Notwithstanding the foregoing, no event shall constitute Good Reason unless the Participant provides the Company with written notice of such event within 60 days after the occurrence thereof and the Company fails to cure or resolve the behavior otherwise constituting Good Reason within 30 days of its receipt of such notice.</w:t>
      </w:r>
    </w:p>
    <w:p>
      <w:pPr>
        <w:pStyle w:val="TextBody"/>
        <w:bidi w:val="0"/>
        <w:spacing w:before="0" w:after="200"/>
        <w:ind w:left="0" w:right="0" w:firstLine="1890"/>
        <w:jc w:val="both"/>
        <w:rPr>
          <w:sz w:val="20"/>
        </w:rPr>
      </w:pPr>
      <w:r>
        <w:rPr>
          <w:sz w:val="20"/>
        </w:rPr>
        <w:t>(g)</w:t>
      </w:r>
      <w:r>
        <w:rPr>
          <w:caps w:val="false"/>
          <w:smallCaps w:val="false"/>
          <w:sz w:val="20"/>
        </w:rPr>
        <w:t xml:space="preserve">       </w:t>
      </w:r>
      <w:r>
        <w:rPr>
          <w:sz w:val="20"/>
        </w:rPr>
        <w:t>Any portion of the PSUs granted pursuant to this Agreement which do not become Earned PSUs in accordance with Exhibit A hereto shall be forfeited for no further consideration.</w:t>
      </w:r>
    </w:p>
    <w:p>
      <w:pPr>
        <w:pStyle w:val="TextBody"/>
        <w:bidi w:val="0"/>
        <w:spacing w:before="0" w:after="200"/>
        <w:ind w:left="0" w:right="0" w:firstLine="1440"/>
        <w:jc w:val="both"/>
        <w:rPr>
          <w:sz w:val="20"/>
        </w:rPr>
      </w:pPr>
      <w:r>
        <w:rPr>
          <w:sz w:val="20"/>
        </w:rPr>
        <w:t>3.</w:t>
      </w:r>
      <w:r>
        <w:rPr>
          <w:caps w:val="false"/>
          <w:smallCaps w:val="false"/>
          <w:sz w:val="20"/>
        </w:rPr>
        <w:t xml:space="preserve">          </w:t>
      </w:r>
      <w:r>
        <w:rPr>
          <w:sz w:val="20"/>
          <w:u w:val="single"/>
        </w:rPr>
        <w:t>Dividends</w:t>
      </w:r>
      <w:r>
        <w:rPr>
          <w:sz w:val="20"/>
        </w:rPr>
        <w:t>.  If on any date while PSUs are outstanding hereunder the Company shall pay any dividend on the Shares (other than a dividend payable in Shares), the number of PSUs granted to the Participant shall, as of such dividend payment date, be increased by a number of PSUs equal to: (a) the product of (x) the number of PSUs held by the Participant as of the related dividend record date, multiplied by (y) the per Share amount of any cash dividend (or, in the case of any dividend payable in whole or in part other than in cash, the per Share value of such dividend, as determined in good faith by the Committee), divided by (b) the Fair Market Value of a Share on the payment date of such dividend.  In the case of any dividend declared on Shares that is payable in the form of Shares, the number of PSUs granted to the Participant shall be increased by a number equal to the product of (a) the PSUs that are held by the Participant on the related dividend record date, multiplied by (b) the number of Shares (including any fraction thereof) payable as a dividend on a Share.  Any PSUs attributable to dividends under this Section 3 shall be subject to the vesting provisions provided in Section 2 and the performance conditions set forth in Exhibit A.</w:t>
      </w:r>
    </w:p>
    <w:p>
      <w:pPr>
        <w:pStyle w:val="TextBody"/>
        <w:bidi w:val="0"/>
        <w:spacing w:before="0" w:after="200"/>
        <w:ind w:left="0" w:right="0" w:firstLine="1440"/>
        <w:jc w:val="both"/>
        <w:rPr>
          <w:sz w:val="20"/>
        </w:rPr>
      </w:pPr>
      <w:r>
        <w:rPr>
          <w:sz w:val="20"/>
        </w:rPr>
        <w:t>4.</w:t>
      </w:r>
      <w:r>
        <w:rPr>
          <w:caps w:val="false"/>
          <w:smallCaps w:val="false"/>
          <w:sz w:val="20"/>
        </w:rPr>
        <w:t xml:space="preserve">          </w:t>
      </w:r>
      <w:r>
        <w:rPr>
          <w:sz w:val="20"/>
          <w:u w:val="single"/>
        </w:rPr>
        <w:t>Adjustments Upon Certain Events</w:t>
      </w:r>
      <w:r>
        <w:rPr>
          <w:sz w:val="20"/>
        </w:rPr>
        <w:t>.  Subject to the terms of the Plan, in the event of any change in the outstanding Shares by reason of any Share dividend or split, reorganization, recapitalization, merger, consolidation, amalgamation, spin-off or combination transaction or exchange of Shares or other similar events (collectively, an "Adjustment Event"), the Committee shall, in its sole discretion, make an appropriate and equitable adjustment in the number of PSUs subject to this Agreement to reflect such Adjustment Event.  Any such adjustment made by the Committee shall be final and binding upon the Participant, the Company and all other interested persons.</w:t>
      </w:r>
    </w:p>
    <w:p>
      <w:pPr>
        <w:pStyle w:val="TextBody"/>
        <w:bidi w:val="0"/>
        <w:spacing w:before="0" w:after="200"/>
        <w:ind w:left="0" w:right="0" w:firstLine="1440"/>
        <w:jc w:val="both"/>
        <w:rPr>
          <w:sz w:val="20"/>
        </w:rPr>
      </w:pPr>
      <w:r>
        <w:rPr>
          <w:sz w:val="20"/>
        </w:rPr>
        <w:t>5.</w:t>
      </w:r>
      <w:r>
        <w:rPr>
          <w:caps w:val="false"/>
          <w:smallCaps w:val="false"/>
          <w:sz w:val="20"/>
        </w:rPr>
        <w:t xml:space="preserve">          </w:t>
      </w:r>
      <w:r>
        <w:rPr>
          <w:sz w:val="20"/>
          <w:u w:val="single"/>
        </w:rPr>
        <w:t>No Right to Continued Employment</w:t>
      </w:r>
      <w:r>
        <w:rPr>
          <w:sz w:val="20"/>
        </w:rPr>
        <w:t>.  Neither the Plan nor this Agreement shall be construed as giving the Participant the right to be retained in the employ of, or in any consulting relationship to, the Company or any Affiliate.  Further, the Company or an Affiliate may at any time dismiss the Participant, free from any liability or any claim under the Plan or this Agreement, except as otherwise expressly provided herein.</w:t>
      </w:r>
    </w:p>
    <w:p>
      <w:pPr>
        <w:pStyle w:val="TextBody"/>
        <w:bidi w:val="0"/>
        <w:spacing w:before="0" w:after="200"/>
        <w:ind w:left="0" w:right="0" w:firstLine="1440"/>
        <w:jc w:val="both"/>
        <w:rPr>
          <w:sz w:val="20"/>
        </w:rPr>
      </w:pPr>
      <w:r>
        <w:rPr>
          <w:sz w:val="20"/>
        </w:rPr>
        <w:t>6.</w:t>
      </w:r>
      <w:r>
        <w:rPr>
          <w:caps w:val="false"/>
          <w:smallCaps w:val="false"/>
          <w:sz w:val="20"/>
        </w:rPr>
        <w:t xml:space="preserve">          </w:t>
      </w:r>
      <w:r>
        <w:rPr>
          <w:sz w:val="20"/>
          <w:u w:val="single"/>
        </w:rPr>
        <w:t>No Acquired Rights</w:t>
      </w:r>
      <w:r>
        <w:rPr>
          <w:sz w:val="20"/>
        </w:rPr>
        <w:t>.  In participating in the Plan, the Participant acknowledges and accepts that the Board has the power to amend or terminate the Plan, to the extent permitted thereunder, at any time and that the opportunity given to the Participant to participate in the Plan is entirely at the discretion of the Committee and does not obligate the Company or any of its Affiliates to offer such participation in the future (whether on the same or different terms).  The Participant further acknowledges and accepts that such Participant's participation in the Plan is not to be considered part of any normal or expected compensation and that the termination of the Participant's employment under any circumstances whatsoever will give the Participant no claim or right of action against the Company or its Affiliates in respect of any loss of rights under this Agreement or the Plan that may arise as a result of such termination of employment.</w:t>
      </w:r>
    </w:p>
    <w:p>
      <w:pPr>
        <w:pStyle w:val="TextBody"/>
        <w:bidi w:val="0"/>
        <w:spacing w:before="0" w:after="0"/>
        <w:ind w:left="0" w:right="0" w:firstLine="1440"/>
        <w:jc w:val="both"/>
        <w:rPr>
          <w:sz w:val="20"/>
        </w:rPr>
      </w:pPr>
      <w:r>
        <w:rPr>
          <w:sz w:val="20"/>
        </w:rPr>
        <w:t>7.</w:t>
      </w:r>
      <w:r>
        <w:rPr>
          <w:caps w:val="false"/>
          <w:smallCaps w:val="false"/>
          <w:sz w:val="20"/>
        </w:rPr>
        <w:t xml:space="preserve">          </w:t>
      </w:r>
      <w:r>
        <w:rPr>
          <w:sz w:val="20"/>
          <w:u w:val="single"/>
        </w:rPr>
        <w:t>No Rights of a Shareholder</w:t>
      </w:r>
      <w:r>
        <w:rPr>
          <w:sz w:val="20"/>
        </w:rPr>
        <w:t>.  The Participant shall not have any rights or privileges as a shareholder of the Company until the Shares in question have been registered in the Company's register of shareholders.</w:t>
      </w:r>
    </w:p>
    <w:p>
      <w:pPr>
        <w:pStyle w:val="TextBody"/>
        <w:bidi w:val="0"/>
        <w:spacing w:before="0" w:after="0"/>
        <w:jc w:val="left"/>
        <w:rPr/>
      </w:pPr>
      <w:r>
        <w:rPr/>
        <w:t> </w:t>
      </w:r>
    </w:p>
    <w:p>
      <w:pPr>
        <w:pStyle w:val="TextBody"/>
        <w:bidi w:val="0"/>
        <w:spacing w:before="0" w:after="0"/>
        <w:jc w:val="center"/>
        <w:rPr>
          <w:sz w:val="20"/>
        </w:rPr>
      </w:pPr>
      <w:r>
        <w:rPr>
          <w:sz w:val="20"/>
        </w:rPr>
        <w:t>2</w:t>
      </w:r>
    </w:p>
    <w:p>
      <w:pPr>
        <w:pStyle w:val="HorizontalLine"/>
        <w:pBdr>
          <w:bottom w:val="double" w:sz="2" w:space="0" w:color="808080"/>
        </w:pBdr>
        <w:bidi w:val="0"/>
        <w:jc w:val="center"/>
        <w:rPr/>
      </w:pPr>
      <w:r>
        <w:rPr/>
      </w:r>
    </w:p>
    <w:p>
      <w:pPr>
        <w:pStyle w:val="Heading1"/>
        <w:bidi w:val="0"/>
        <w:spacing w:before="0" w:after="200"/>
        <w:ind w:left="0" w:right="0" w:firstLine="1440"/>
        <w:jc w:val="both"/>
        <w:rPr>
          <w:sz w:val="20"/>
        </w:rPr>
      </w:pPr>
      <w:r>
        <w:rPr>
          <w:b w:val="false"/>
          <w:sz w:val="20"/>
        </w:rPr>
        <w:t>8.</w:t>
      </w:r>
      <w:r>
        <w:rPr>
          <w:caps w:val="false"/>
          <w:smallCaps w:val="false"/>
          <w:sz w:val="20"/>
        </w:rPr>
        <w:t xml:space="preserve">          </w:t>
      </w:r>
      <w:r>
        <w:rPr>
          <w:b w:val="false"/>
          <w:sz w:val="20"/>
          <w:u w:val="single"/>
        </w:rPr>
        <w:t>Legend on Certificates</w:t>
      </w:r>
      <w:r>
        <w:rPr>
          <w:b w:val="false"/>
          <w:sz w:val="20"/>
        </w:rPr>
        <w:t>.</w:t>
      </w:r>
      <w:r>
        <w:rPr>
          <w:sz w:val="20"/>
        </w:rPr>
        <w:t xml:space="preserve">  </w:t>
      </w:r>
      <w:r>
        <w:rPr>
          <w:b w:val="false"/>
          <w:sz w:val="20"/>
        </w:rPr>
        <w:t>Any Shares issued or transferred to the Participant pursuant to Section 2 of this Agreement shall be subject to such stop transfer orders and other restrictions as the Committee may deem advisable under the Plan or the rules, regulations, and other requirements of the Securities and Exchange Commission, any stock exchange upon which such Shares are listed, and any applicable Federal or state laws or relevant securities laws of the jurisdiction of the domicile of the Participant, and the Committee may cause a legend or legends to be put on any certificates representing such Shares to make appropriate reference to such restrictions.</w:t>
      </w:r>
      <w:r>
        <w:rPr>
          <w:sz w:val="20"/>
        </w:rPr>
        <w:t xml:space="preserve">  </w:t>
      </w:r>
      <w:r>
        <w:rPr>
          <w:b w:val="false"/>
          <w:sz w:val="20"/>
        </w:rPr>
        <w:t>Whenever reference in this Agreement is made to the issuance or delivery of certificates representing Shares, the Company may elect to issue or deliver such Shares in book entry form in lieu of certificates.</w:t>
      </w:r>
    </w:p>
    <w:p>
      <w:pPr>
        <w:pStyle w:val="TextBody"/>
        <w:bidi w:val="0"/>
        <w:spacing w:before="0" w:after="200"/>
        <w:ind w:left="0" w:right="0" w:firstLine="1440"/>
        <w:jc w:val="both"/>
        <w:rPr>
          <w:sz w:val="20"/>
        </w:rPr>
      </w:pPr>
      <w:r>
        <w:rPr>
          <w:sz w:val="20"/>
        </w:rPr>
        <w:t>9.</w:t>
      </w:r>
      <w:r>
        <w:rPr>
          <w:caps w:val="false"/>
          <w:smallCaps w:val="false"/>
          <w:sz w:val="20"/>
        </w:rPr>
        <w:t xml:space="preserve">          </w:t>
      </w:r>
      <w:r>
        <w:rPr>
          <w:sz w:val="20"/>
          <w:u w:val="single"/>
        </w:rPr>
        <w:t>Transferability</w:t>
      </w:r>
      <w:r>
        <w:rPr>
          <w:sz w:val="20"/>
        </w:rPr>
        <w:t>.  PSUs may not be assigned, alienated, pledged, attached, sold or otherwise transferred or encumbered by the Participant otherwise than by will or by the laws of descent and distribution, and any purported assignment, alienation, pledge, attachment, sale, transfer or encumbrance not permitted by this Section 9 shall be void and unenforceable against the Company or any Affiliate.</w:t>
      </w:r>
    </w:p>
    <w:p>
      <w:pPr>
        <w:pStyle w:val="TextBody"/>
        <w:bidi w:val="0"/>
        <w:spacing w:before="0" w:after="200"/>
        <w:ind w:left="0" w:right="0" w:firstLine="1440"/>
        <w:jc w:val="both"/>
        <w:rPr>
          <w:sz w:val="20"/>
        </w:rPr>
      </w:pPr>
      <w:r>
        <w:rPr>
          <w:sz w:val="20"/>
        </w:rPr>
        <w:t>10.</w:t>
      </w:r>
      <w:r>
        <w:rPr>
          <w:caps w:val="false"/>
          <w:smallCaps w:val="false"/>
          <w:sz w:val="20"/>
        </w:rPr>
        <w:t xml:space="preserve">       </w:t>
      </w:r>
      <w:r>
        <w:rPr>
          <w:sz w:val="20"/>
          <w:u w:val="single"/>
        </w:rPr>
        <w:t>Withholding</w:t>
      </w:r>
      <w:r>
        <w:rPr>
          <w:sz w:val="20"/>
        </w:rPr>
        <w:t xml:space="preserve">.  The Participant may be required to pay to the Company or any Affiliate and the Company or any Affiliate shall have the right and is hereby authorized to withhold from any transfer due under this Agreement or under the Plan or from any compensation or other amount owing to the Participant, applicable withholding taxes with respect to any transfer under this Agreement or under the Plan and to take such action as may be necessary in the opinion of the Company to satisfy all obligations for the payment of such taxes.  </w:t>
      </w:r>
    </w:p>
    <w:p>
      <w:pPr>
        <w:pStyle w:val="TextBody"/>
        <w:bidi w:val="0"/>
        <w:spacing w:before="0" w:after="240"/>
        <w:ind w:left="0" w:right="0" w:firstLine="1440"/>
        <w:jc w:val="left"/>
        <w:rPr>
          <w:sz w:val="20"/>
        </w:rPr>
      </w:pPr>
      <w:r>
        <w:rPr>
          <w:b/>
          <w:sz w:val="20"/>
        </w:rPr>
        <w:t>11.</w:t>
      </w:r>
      <w:r>
        <w:rPr>
          <w:sz w:val="20"/>
        </w:rPr>
        <w:t xml:space="preserve">    </w:t>
      </w:r>
      <w:r>
        <w:rPr>
          <w:b/>
          <w:sz w:val="20"/>
          <w:u w:val="single"/>
        </w:rPr>
        <w:t>Non-Solicitation Covenants</w:t>
      </w:r>
      <w:r>
        <w:rPr>
          <w:b/>
          <w:sz w:val="20"/>
        </w:rPr>
        <w:t>.</w:t>
      </w:r>
      <w:r>
        <w:rPr>
          <w:sz w:val="20"/>
        </w:rPr>
        <w:t xml:space="preserve">  </w:t>
      </w:r>
    </w:p>
    <w:p>
      <w:pPr>
        <w:pStyle w:val="TextBody"/>
        <w:bidi w:val="0"/>
        <w:spacing w:before="0" w:after="200"/>
        <w:ind w:left="0" w:right="0" w:firstLine="1890"/>
        <w:jc w:val="both"/>
        <w:rPr>
          <w:sz w:val="20"/>
        </w:rPr>
      </w:pPr>
      <w:r>
        <w:rPr>
          <w:b/>
          <w:sz w:val="20"/>
        </w:rPr>
        <w:t>(a)</w:t>
      </w:r>
      <w:r>
        <w:rPr>
          <w:caps w:val="false"/>
          <w:smallCaps w:val="false"/>
          <w:sz w:val="20"/>
        </w:rPr>
        <w:t xml:space="preserve">       </w:t>
      </w:r>
      <w:r>
        <w:rPr>
          <w:b/>
          <w:sz w:val="20"/>
        </w:rPr>
        <w:t>The Participant acknowledges and agrees that, during the Participant's employment with the Company and its Affiliates and upon the Participant's termination of Employment with the Company and its Affiliates for any reason, for a period commencing on the termination of such Employment and ending on the second anniversary of such termination, the Participant shall not, whether on Participant's own behalf or on behalf of or in conjunction with any person, company, business entity or other organization whatsoever, directly or indirectly:</w:t>
      </w:r>
    </w:p>
    <w:p>
      <w:pPr>
        <w:pStyle w:val="TextBody"/>
        <w:bidi w:val="0"/>
        <w:spacing w:before="0" w:after="200"/>
        <w:ind w:left="0" w:right="0" w:firstLine="2340"/>
        <w:jc w:val="both"/>
        <w:rPr>
          <w:sz w:val="20"/>
        </w:rPr>
      </w:pPr>
      <w:r>
        <w:rPr>
          <w:b/>
          <w:sz w:val="20"/>
        </w:rPr>
        <w:t>(i)</w:t>
      </w:r>
      <w:r>
        <w:rPr>
          <w:caps w:val="false"/>
          <w:smallCaps w:val="false"/>
          <w:sz w:val="20"/>
        </w:rPr>
        <w:t xml:space="preserve">            </w:t>
      </w:r>
      <w:r>
        <w:rPr>
          <w:b/>
          <w:sz w:val="20"/>
        </w:rPr>
        <w:t>solicit any employee of the Company or its Affiliates with whom the Participant had any contact during the last two years of the Participant's employment, or who worked in the same business segment or division as the Participant during that period to terminate employment with the Company or its Affiliates;</w:t>
      </w:r>
    </w:p>
    <w:p>
      <w:pPr>
        <w:pStyle w:val="TextBody"/>
        <w:bidi w:val="0"/>
        <w:spacing w:before="0" w:after="200"/>
        <w:ind w:left="0" w:right="0" w:firstLine="2340"/>
        <w:jc w:val="both"/>
        <w:rPr>
          <w:sz w:val="20"/>
        </w:rPr>
      </w:pPr>
      <w:r>
        <w:rPr>
          <w:b/>
          <w:sz w:val="20"/>
        </w:rPr>
        <w:t>(ii)</w:t>
      </w:r>
      <w:r>
        <w:rPr>
          <w:caps w:val="false"/>
          <w:smallCaps w:val="false"/>
          <w:sz w:val="20"/>
        </w:rPr>
        <w:t xml:space="preserve">          </w:t>
      </w:r>
      <w:r>
        <w:rPr>
          <w:b/>
          <w:sz w:val="20"/>
        </w:rPr>
        <w:t>solicit the employment or services of, or hire, any such employee whose employment with the Company or its Affiliates terminated coincident with, or within twelve (12) months prior to or after the termination of Participant's employment with the Company and its Affiliates;</w:t>
      </w:r>
    </w:p>
    <w:p>
      <w:pPr>
        <w:pStyle w:val="TextBody"/>
        <w:bidi w:val="0"/>
        <w:spacing w:before="0" w:after="200"/>
        <w:ind w:left="0" w:right="0" w:firstLine="2340"/>
        <w:jc w:val="both"/>
        <w:rPr>
          <w:sz w:val="20"/>
        </w:rPr>
      </w:pPr>
      <w:r>
        <w:rPr>
          <w:b/>
          <w:sz w:val="20"/>
        </w:rPr>
        <w:t>(iii)</w:t>
      </w:r>
      <w:r>
        <w:rPr>
          <w:caps w:val="false"/>
          <w:smallCaps w:val="false"/>
          <w:sz w:val="20"/>
        </w:rPr>
        <w:t xml:space="preserve">        </w:t>
      </w:r>
      <w:r>
        <w:rPr>
          <w:b/>
          <w:sz w:val="20"/>
        </w:rPr>
        <w:t>directly or indirectly, solicit to cease to work with the Company or its Affiliates any consultant then under contract with the Company or its Affiliates.</w:t>
      </w:r>
    </w:p>
    <w:p>
      <w:pPr>
        <w:pStyle w:val="TextBody"/>
        <w:bidi w:val="0"/>
        <w:spacing w:before="0" w:after="200"/>
        <w:ind w:left="0" w:right="0" w:firstLine="1890"/>
        <w:jc w:val="both"/>
        <w:rPr>
          <w:sz w:val="20"/>
        </w:rPr>
      </w:pPr>
      <w:r>
        <w:rPr>
          <w:b/>
          <w:sz w:val="20"/>
        </w:rPr>
        <w:t>(b)</w:t>
      </w:r>
      <w:r>
        <w:rPr>
          <w:caps w:val="false"/>
          <w:smallCaps w:val="false"/>
          <w:sz w:val="20"/>
        </w:rPr>
        <w:t xml:space="preserve">       </w:t>
      </w:r>
      <w:r>
        <w:rPr>
          <w:b/>
          <w:sz w:val="20"/>
        </w:rPr>
        <w:t>It is expressly understood and agreed that although the Participant and the Company consider the restrictions contained in this Section 11 to be reasonable, if a final judicial determination is made by a court of competent jurisdiction that the time or any other restriction contained in this Agreement is an unenforceable restriction against the Participant, the provisions of this Agreement shall not be rendered void but shall be deemed amended to apply as to such maximum time and terri</w:t>
        <w:softHyphen/>
        <w:t>tory and to such maximum extent as such court may judicially determine or indicate to be enforceable.</w:t>
      </w:r>
      <w:r>
        <w:rPr>
          <w:sz w:val="20"/>
        </w:rPr>
        <w:t xml:space="preserve">  </w:t>
      </w:r>
      <w:r>
        <w:rPr>
          <w:b/>
          <w:sz w:val="20"/>
        </w:rPr>
        <w:t>Alternatively, if any court of competent jurisdiction finds that any restric</w:t>
        <w:softHyphen/>
        <w:t>tion contained in this Agreement is unenforceable, and such restriction cannot be amended so as to make it enforceable, such finding shall not affect the enforceability of any of the other restrictions contained herein.</w:t>
      </w:r>
    </w:p>
    <w:p>
      <w:pPr>
        <w:pStyle w:val="TextBody"/>
        <w:bidi w:val="0"/>
        <w:spacing w:before="0" w:after="240"/>
        <w:ind w:left="0" w:right="0" w:firstLine="1440"/>
        <w:jc w:val="both"/>
        <w:rPr>
          <w:sz w:val="20"/>
        </w:rPr>
      </w:pPr>
      <w:r>
        <w:rPr>
          <w:b/>
          <w:sz w:val="20"/>
        </w:rPr>
        <w:t>12.</w:t>
      </w:r>
      <w:r>
        <w:rPr>
          <w:sz w:val="20"/>
        </w:rPr>
        <w:t xml:space="preserve">  </w:t>
      </w:r>
      <w:r>
        <w:rPr>
          <w:b/>
          <w:sz w:val="20"/>
          <w:u w:val="single"/>
        </w:rPr>
        <w:t>Specific Performance</w:t>
      </w:r>
      <w:r>
        <w:rPr>
          <w:b/>
          <w:sz w:val="20"/>
        </w:rPr>
        <w:t>.</w:t>
      </w:r>
      <w:r>
        <w:rPr>
          <w:sz w:val="20"/>
        </w:rPr>
        <w:t xml:space="preserve">  </w:t>
      </w:r>
      <w:r>
        <w:rPr>
          <w:b/>
          <w:sz w:val="20"/>
        </w:rPr>
        <w:t>The Participant acknowledges and agrees that the Company's remedies at law for a breach or threatened breach of any of the provisions of Section 11 would be inadequate and the Company would suffer irreparable damages as a result of such breach or threatened breach.</w:t>
      </w:r>
      <w:r>
        <w:rPr>
          <w:sz w:val="20"/>
        </w:rPr>
        <w:t xml:space="preserve">  </w:t>
      </w:r>
      <w:r>
        <w:rPr>
          <w:b/>
          <w:sz w:val="20"/>
        </w:rPr>
        <w:t>In recognition of this fact, the Participant agrees that, in the event of such a breach or threatened breach, in addition to any remedies at law, the Company, without posting any bond, shall be entitled to cease making any payments or providing any benefit otherwise required by this Agreement and obtain equitable relief in the form of specific performance, temporary restraining order, temporary or permanent injunction or any other equitable remedy which may then be available.</w:t>
      </w:r>
    </w:p>
    <w:p>
      <w:pPr>
        <w:pStyle w:val="TextBody"/>
        <w:bidi w:val="0"/>
        <w:spacing w:before="0" w:after="240"/>
        <w:ind w:left="0" w:right="0" w:firstLine="1440"/>
        <w:jc w:val="both"/>
        <w:rPr>
          <w:sz w:val="20"/>
        </w:rPr>
      </w:pPr>
      <w:r>
        <w:rPr>
          <w:b/>
          <w:sz w:val="20"/>
        </w:rPr>
        <w:t>13.</w:t>
      </w:r>
      <w:r>
        <w:rPr>
          <w:caps w:val="false"/>
          <w:smallCaps w:val="false"/>
          <w:sz w:val="20"/>
        </w:rPr>
        <w:t xml:space="preserve">    </w:t>
      </w:r>
      <w:r>
        <w:rPr>
          <w:b/>
          <w:sz w:val="20"/>
          <w:u w:val="single"/>
        </w:rPr>
        <w:t>Choice of Law</w:t>
      </w:r>
      <w:r>
        <w:rPr>
          <w:b/>
          <w:sz w:val="20"/>
        </w:rPr>
        <w:t>.</w:t>
      </w:r>
      <w:r>
        <w:rPr>
          <w:sz w:val="20"/>
        </w:rPr>
        <w:t xml:space="preserve">  </w:t>
      </w:r>
      <w:r>
        <w:rPr>
          <w:b/>
          <w:sz w:val="20"/>
        </w:rPr>
        <w:t>THE INTERPRETATION, PERFORMANCE AND ENFORCEMENT OF THIS AGREEMENT SHALL BE GOVERNED BY THE LAWS OF THE STATE OF DELAWARE WITHOUT REGARD TO PRINCIPLES OF CONFLICTS OF LAW.</w:t>
      </w:r>
    </w:p>
    <w:p>
      <w:pPr>
        <w:pStyle w:val="TextBody"/>
        <w:bidi w:val="0"/>
        <w:spacing w:before="0" w:after="0"/>
        <w:ind w:left="0" w:right="0" w:firstLine="1440"/>
        <w:jc w:val="both"/>
        <w:rPr>
          <w:sz w:val="20"/>
        </w:rPr>
      </w:pPr>
      <w:r>
        <w:rPr>
          <w:sz w:val="20"/>
        </w:rPr>
        <w:t>14.</w:t>
      </w:r>
      <w:r>
        <w:rPr>
          <w:caps w:val="false"/>
          <w:smallCaps w:val="false"/>
          <w:sz w:val="20"/>
        </w:rPr>
        <w:t xml:space="preserve">    </w:t>
      </w:r>
      <w:r>
        <w:rPr>
          <w:sz w:val="20"/>
          <w:u w:val="single"/>
        </w:rPr>
        <w:t>RSUs Subject to Plan</w:t>
      </w:r>
      <w:r>
        <w:rPr>
          <w:sz w:val="20"/>
        </w:rPr>
        <w:t>.  By entering into this Agreement, the Participant agrees and acknowledges that the Participant has received and read a copy of the Plan.  All PSUs are subject to the Plan.  In the event of a conflict between any term or provision contained herein and a term or provision of the Plan, the applicable terms and provisions of the Plan will govern and prevail.</w:t>
      </w:r>
    </w:p>
    <w:p>
      <w:pPr>
        <w:pStyle w:val="TextBody"/>
        <w:bidi w:val="0"/>
        <w:spacing w:before="0" w:after="0"/>
        <w:jc w:val="left"/>
        <w:rPr/>
      </w:pPr>
      <w:r>
        <w:rPr/>
        <w:t> </w:t>
      </w:r>
    </w:p>
    <w:p>
      <w:pPr>
        <w:pStyle w:val="TextBody"/>
        <w:bidi w:val="0"/>
        <w:spacing w:before="0" w:after="0"/>
        <w:jc w:val="center"/>
        <w:rPr>
          <w:sz w:val="20"/>
        </w:rPr>
      </w:pPr>
      <w:r>
        <w:rPr>
          <w:sz w:val="20"/>
        </w:rPr>
        <w:t>3</w:t>
      </w:r>
    </w:p>
    <w:p>
      <w:pPr>
        <w:pStyle w:val="HorizontalLine"/>
        <w:pBdr>
          <w:bottom w:val="double" w:sz="2" w:space="0" w:color="808080"/>
        </w:pBdr>
        <w:bidi w:val="0"/>
        <w:jc w:val="center"/>
        <w:rPr/>
      </w:pPr>
      <w:r>
        <w:rPr/>
      </w:r>
    </w:p>
    <w:p>
      <w:pPr>
        <w:pStyle w:val="Heading1"/>
        <w:bidi w:val="0"/>
        <w:spacing w:before="0" w:after="200"/>
        <w:ind w:left="0" w:right="0" w:firstLine="1440"/>
        <w:jc w:val="both"/>
        <w:rPr>
          <w:sz w:val="20"/>
        </w:rPr>
      </w:pPr>
      <w:r>
        <w:rPr>
          <w:b w:val="false"/>
          <w:sz w:val="20"/>
        </w:rPr>
        <w:t>15.</w:t>
      </w:r>
      <w:r>
        <w:rPr>
          <w:caps w:val="false"/>
          <w:smallCaps w:val="false"/>
          <w:sz w:val="20"/>
        </w:rPr>
        <w:t xml:space="preserve">       </w:t>
      </w:r>
      <w:r>
        <w:rPr>
          <w:b w:val="false"/>
          <w:sz w:val="20"/>
          <w:u w:val="single"/>
        </w:rPr>
        <w:t>Signature in Counterparts</w:t>
      </w:r>
      <w:r>
        <w:rPr>
          <w:b w:val="false"/>
          <w:sz w:val="20"/>
        </w:rPr>
        <w:t>.</w:t>
      </w:r>
      <w:r>
        <w:rPr>
          <w:sz w:val="20"/>
        </w:rPr>
        <w:t xml:space="preserve">  </w:t>
      </w:r>
      <w:r>
        <w:rPr>
          <w:b w:val="false"/>
          <w:sz w:val="20"/>
        </w:rPr>
        <w:t>This Agreement may be signed in counterparts, each of which shall be an original, with the same effect as if the signatures thereto and hereto were upon the same instrument.</w:t>
      </w:r>
    </w:p>
    <w:p>
      <w:pPr>
        <w:pStyle w:val="TextBody"/>
        <w:bidi w:val="0"/>
        <w:spacing w:before="0" w:after="200"/>
        <w:ind w:left="0" w:right="0" w:firstLine="1440"/>
        <w:jc w:val="both"/>
        <w:rPr>
          <w:sz w:val="20"/>
        </w:rPr>
      </w:pPr>
      <w:r>
        <w:rPr>
          <w:sz w:val="20"/>
        </w:rPr>
        <w:t>16.</w:t>
      </w:r>
      <w:r>
        <w:rPr>
          <w:caps w:val="false"/>
          <w:smallCaps w:val="false"/>
          <w:sz w:val="20"/>
        </w:rPr>
        <w:t xml:space="preserve">       </w:t>
      </w:r>
      <w:r>
        <w:rPr>
          <w:sz w:val="20"/>
          <w:u w:val="single"/>
        </w:rPr>
        <w:t>409A</w:t>
      </w:r>
      <w:r>
        <w:rPr>
          <w:sz w:val="20"/>
        </w:rPr>
        <w:t>.  Notwithstanding any other provisions of this Agreement or the Plan, the PSUs covered by this Agreement shall not be deferred, accelerated, extended, paid out or modified in a manner that would result in the imposition of an additional tax under Section 409A of the Code upon the Participant.  In the event it is reasonably determined by the Committee that, as a result of Section 409A of the Code, the transfer of Class B Shares under this Agreement may not be made at the time contemplated hereunder without causing the Participant to be subject to taxation under Section 409A of the Code (including due to the Participant's status as a "specified employee" within the meaning of Section 409A of the Code), the Company will make such payment on the first day that would not result in the Participant incurring any tax liability under Section 409A of the Code.</w:t>
      </w:r>
    </w:p>
    <w:p>
      <w:pPr>
        <w:pStyle w:val="TextBody"/>
        <w:bidi w:val="0"/>
        <w:spacing w:before="0" w:after="0"/>
        <w:ind w:left="0" w:right="0" w:firstLine="1440"/>
        <w:jc w:val="left"/>
        <w:rPr>
          <w:sz w:val="20"/>
        </w:rPr>
      </w:pPr>
      <w:r>
        <w:rPr>
          <w:sz w:val="20"/>
        </w:rPr>
        <w:t>IN WITNESS WHEREOF, the parties hereto have executed this Agreement.</w:t>
      </w:r>
    </w:p>
    <w:p>
      <w:pPr>
        <w:pStyle w:val="TextBody"/>
        <w:bidi w:val="0"/>
        <w:spacing w:before="0" w:after="0"/>
        <w:jc w:val="left"/>
        <w:rPr/>
      </w:pPr>
      <w:r>
        <w:rPr/>
        <w:t> </w:t>
      </w:r>
    </w:p>
    <w:tbl>
      <w:tblPr>
        <w:tblW w:w="3019" w:type="dxa"/>
        <w:jc w:val="left"/>
        <w:tblInd w:w="0" w:type="dxa"/>
        <w:tblLayout w:type="fixed"/>
        <w:tblCellMar>
          <w:top w:w="0" w:type="dxa"/>
          <w:left w:w="0" w:type="dxa"/>
          <w:bottom w:w="0" w:type="dxa"/>
          <w:right w:w="0" w:type="dxa"/>
        </w:tblCellMar>
      </w:tblPr>
      <w:tblGrid>
        <w:gridCol w:w="75"/>
        <w:gridCol w:w="2285"/>
        <w:gridCol w:w="659"/>
      </w:tblGrid>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0" w:after="0"/>
              <w:jc w:val="left"/>
              <w:rPr>
                <w:sz w:val="20"/>
              </w:rPr>
            </w:pPr>
            <w:r>
              <w:rPr>
                <w:sz w:val="20"/>
              </w:rPr>
              <w:t>HOVNANIAN ENTERPRISES, INC.</w:t>
            </w:r>
          </w:p>
        </w:tc>
      </w:tr>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sz w:val="20"/>
              </w:rPr>
            </w:pPr>
            <w:r>
              <w:rPr>
                <w:sz w:val="20"/>
              </w:rPr>
              <w:t>By:</w:t>
            </w:r>
          </w:p>
        </w:tc>
        <w:tc>
          <w:tcPr>
            <w:tcW w:w="659" w:type="dxa"/>
            <w:tcBorders>
              <w:bottom w:val="single" w:sz="6" w:space="0" w:color="000000"/>
            </w:tcBorders>
            <w:tcMar>
              <w:bottom w:w="28" w:type="dxa"/>
            </w:tcMar>
            <w:vAlign w:val="center"/>
          </w:tcPr>
          <w:p>
            <w:pPr>
              <w:pStyle w:val="TableContents"/>
              <w:widowControl w:val="false"/>
              <w:bidi w:val="0"/>
              <w:spacing w:before="0" w:after="6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top w:val="single" w:sz="6" w:space="0" w:color="000000"/>
            </w:tcBorders>
            <w:tcMar>
              <w:top w:w="28" w:type="dxa"/>
            </w:tcMar>
            <w:vAlign w:val="center"/>
          </w:tcPr>
          <w:p>
            <w:pPr>
              <w:pStyle w:val="TableContents"/>
              <w:widowControl w:val="false"/>
              <w:bidi w:val="0"/>
              <w:spacing w:before="2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120" w:after="0"/>
              <w:jc w:val="left"/>
              <w:rPr>
                <w:sz w:val="20"/>
              </w:rPr>
            </w:pPr>
            <w:r>
              <w:rPr>
                <w:sz w:val="20"/>
              </w:rPr>
              <w:t>PARTICIPANT</w:t>
            </w:r>
            <w:r>
              <w:rPr>
                <w:sz w:val="13"/>
              </w:rPr>
              <w:t>1</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sz w:val="20"/>
              </w:rPr>
            </w:pPr>
            <w:r>
              <w:rPr>
                <w:sz w:val="20"/>
              </w:rPr>
              <w:t>By:</w:t>
            </w:r>
          </w:p>
        </w:tc>
        <w:tc>
          <w:tcPr>
            <w:tcW w:w="659"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top w:val="single" w:sz="6" w:space="0" w:color="000000"/>
            </w:tcBorders>
            <w:tcMar>
              <w:top w:w="28" w:type="dxa"/>
            </w:tcMar>
            <w:vAlign w:val="center"/>
          </w:tcPr>
          <w:p>
            <w:pPr>
              <w:pStyle w:val="TableContents"/>
              <w:widowControl w:val="false"/>
              <w:bidi w:val="0"/>
              <w:spacing w:before="2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28" w:type="dxa"/>
          <w:right w:w="0" w:type="dxa"/>
        </w:tblCellMar>
      </w:tblPr>
      <w:tblGrid>
        <w:gridCol w:w="164"/>
        <w:gridCol w:w="4457"/>
        <w:gridCol w:w="5584"/>
      </w:tblGrid>
      <w:tr>
        <w:trPr/>
        <w:tc>
          <w:tcPr>
            <w:tcW w:w="164" w:type="dxa"/>
            <w:tcBorders>
              <w:bottom w:val="single" w:sz="6" w:space="0" w:color="000000"/>
            </w:tcBorders>
            <w:vAlign w:val="center"/>
          </w:tcPr>
          <w:p>
            <w:pPr>
              <w:pStyle w:val="TableContents"/>
              <w:widowControl w:val="false"/>
              <w:bidi w:val="0"/>
              <w:spacing w:before="0" w:after="0"/>
              <w:jc w:val="left"/>
              <w:rPr/>
            </w:pPr>
            <w:r>
              <w:rPr/>
              <w:t> </w:t>
            </w:r>
          </w:p>
        </w:tc>
        <w:tc>
          <w:tcPr>
            <w:tcW w:w="4457" w:type="dxa"/>
            <w:tcBorders>
              <w:bottom w:val="single" w:sz="6" w:space="0" w:color="000000"/>
            </w:tcBorders>
            <w:vAlign w:val="center"/>
          </w:tcPr>
          <w:p>
            <w:pPr>
              <w:pStyle w:val="TableContents"/>
              <w:widowControl w:val="false"/>
              <w:bidi w:val="0"/>
              <w:spacing w:before="0" w:after="0"/>
              <w:jc w:val="left"/>
              <w:rPr/>
            </w:pPr>
            <w:r>
              <w:rPr/>
              <w:t> </w:t>
            </w:r>
          </w:p>
        </w:tc>
        <w:tc>
          <w:tcPr>
            <w:tcW w:w="5584" w:type="dxa"/>
            <w:tcBorders/>
            <w:tcMar>
              <w:bottom w:w="0" w:type="dxa"/>
            </w:tcMar>
            <w:vAlign w:val="center"/>
          </w:tcPr>
          <w:p>
            <w:pPr>
              <w:pStyle w:val="TableContents"/>
              <w:widowControl w:val="false"/>
              <w:bidi w:val="0"/>
              <w:spacing w:before="0" w:after="0"/>
              <w:jc w:val="left"/>
              <w:rPr/>
            </w:pPr>
            <w:r>
              <w:rPr/>
              <w:t> </w:t>
            </w:r>
          </w:p>
        </w:tc>
      </w:tr>
      <w:tr>
        <w:trPr/>
        <w:tc>
          <w:tcPr>
            <w:tcW w:w="164" w:type="dxa"/>
            <w:tcBorders/>
            <w:tcMar>
              <w:bottom w:w="0" w:type="dxa"/>
            </w:tcMar>
            <w:vAlign w:val="center"/>
          </w:tcPr>
          <w:p>
            <w:pPr>
              <w:pStyle w:val="TableContents"/>
              <w:widowControl w:val="false"/>
              <w:bidi w:val="0"/>
              <w:spacing w:before="80" w:after="0"/>
              <w:jc w:val="left"/>
              <w:rPr>
                <w:sz w:val="20"/>
              </w:rPr>
            </w:pPr>
            <w:r>
              <w:rPr>
                <w:sz w:val="20"/>
              </w:rPr>
              <w:t>1.</w:t>
            </w:r>
          </w:p>
        </w:tc>
        <w:tc>
          <w:tcPr>
            <w:tcW w:w="10041" w:type="dxa"/>
            <w:gridSpan w:val="2"/>
            <w:tcBorders/>
            <w:tcMar>
              <w:bottom w:w="0" w:type="dxa"/>
            </w:tcMar>
            <w:vAlign w:val="center"/>
          </w:tcPr>
          <w:p>
            <w:pPr>
              <w:pStyle w:val="TableContents"/>
              <w:widowControl w:val="false"/>
              <w:bidi w:val="0"/>
              <w:spacing w:before="80" w:after="0"/>
              <w:jc w:val="both"/>
              <w:rPr>
                <w:sz w:val="20"/>
              </w:rPr>
            </w:pPr>
            <w:r>
              <w:rPr>
                <w:sz w:val="20"/>
              </w:rPr>
              <w:t>To the extent that the Company has established, either itself or through a third-party plan administrator, the ability to accept this award electronically, such acceptance shall constitute the Participant’s signature hereof.</w:t>
            </w:r>
          </w:p>
        </w:tc>
      </w:tr>
    </w:tbl>
    <w:p>
      <w:pPr>
        <w:pStyle w:val="TextBody"/>
        <w:bidi w:val="0"/>
        <w:spacing w:before="0" w:after="0"/>
        <w:jc w:val="left"/>
        <w:rPr/>
      </w:pPr>
      <w:r>
        <w:rPr/>
        <w:t> </w:t>
      </w:r>
    </w:p>
    <w:p>
      <w:pPr>
        <w:pStyle w:val="TextBody"/>
        <w:bidi w:val="0"/>
        <w:spacing w:before="0" w:after="0"/>
        <w:jc w:val="center"/>
        <w:rPr>
          <w:sz w:val="20"/>
        </w:rPr>
      </w:pPr>
      <w:r>
        <w:rPr>
          <w:sz w:val="20"/>
        </w:rPr>
        <w:t>4</w:t>
      </w:r>
    </w:p>
    <w:p>
      <w:pPr>
        <w:pStyle w:val="HorizontalLine"/>
        <w:pBdr>
          <w:bottom w:val="double" w:sz="2" w:space="0" w:color="808080"/>
        </w:pBdr>
        <w:bidi w:val="0"/>
        <w:jc w:val="center"/>
        <w:rPr/>
      </w:pPr>
      <w:r>
        <w:rPr/>
      </w:r>
    </w:p>
    <w:p>
      <w:pPr>
        <w:pStyle w:val="TextBody"/>
        <w:bidi w:val="0"/>
        <w:spacing w:before="0" w:after="0"/>
        <w:jc w:val="center"/>
        <w:rPr>
          <w:b/>
          <w:sz w:val="20"/>
          <w:u w:val="single"/>
        </w:rPr>
      </w:pPr>
      <w:r>
        <w:rPr>
          <w:b/>
          <w:sz w:val="20"/>
          <w:u w:val="single"/>
        </w:rPr>
        <w:t>Exhibit A</w:t>
      </w:r>
    </w:p>
    <w:p>
      <w:pPr>
        <w:pStyle w:val="TextBody"/>
        <w:bidi w:val="0"/>
        <w:spacing w:before="0" w:after="0"/>
        <w:jc w:val="center"/>
        <w:rPr>
          <w:b/>
          <w:sz w:val="20"/>
        </w:rPr>
      </w:pPr>
      <w:r>
        <w:rPr>
          <w:b/>
          <w:sz w:val="20"/>
        </w:rPr>
        <w:t>[Insert Performance Metrics for Determining Earned PSUs]</w:t>
      </w:r>
    </w:p>
    <w:p>
      <w:pPr>
        <w:pStyle w:val="TextBody"/>
        <w:bidi w:val="0"/>
        <w:spacing w:before="0" w:after="0"/>
        <w:jc w:val="center"/>
        <w:rPr/>
      </w:pPr>
      <w:r>
        <w:rPr/>
        <w:t> </w:t>
      </w:r>
    </w:p>
    <w:p>
      <w:pPr>
        <w:pStyle w:val="TextBody"/>
        <w:bidi w:val="0"/>
        <w:spacing w:before="0" w:after="0"/>
        <w:jc w:val="center"/>
        <w:rPr>
          <w:sz w:val="20"/>
        </w:rPr>
      </w:pPr>
      <w:r>
        <w:rPr>
          <w:sz w:val="20"/>
        </w:rPr>
        <w:t>5</w:t>
      </w:r>
    </w:p>
    <w:p>
      <w:pPr>
        <w:pStyle w:val="HorizontalLine"/>
        <w:pBdr>
          <w:bottom w:val="double" w:sz="2" w:space="0" w:color="808080"/>
        </w:pBdr>
        <w:bidi w:val="0"/>
        <w:jc w:val="center"/>
        <w:rPr/>
      </w:pPr>
      <w:r>
        <w:rPr/>
      </w:r>
    </w:p>
    <w:p>
      <w:pPr>
        <w:pStyle w:val="TextBody"/>
        <w:bidi w:val="0"/>
        <w:spacing w:before="0" w:after="0"/>
        <w:jc w:val="right"/>
        <w:rPr>
          <w:b/>
          <w:sz w:val="20"/>
        </w:rPr>
      </w:pPr>
      <w:bookmarkStart w:id="27" w:name="ex10E_5.htm"/>
      <w:bookmarkStart w:id="28" w:name="ksex10E_5"/>
      <w:bookmarkEnd w:id="27"/>
      <w:bookmarkEnd w:id="28"/>
      <w:r>
        <w:rPr>
          <w:b/>
          <w:sz w:val="20"/>
        </w:rPr>
        <w:t>Exhibit 10(e)</w:t>
      </w:r>
      <w:r>
        <w:br w:type="page"/>
      </w:r>
    </w:p>
    <w:p>
      <w:pPr>
        <w:pStyle w:val="TextBody"/>
        <w:bidi w:val="0"/>
        <w:spacing w:before="0" w:after="0"/>
        <w:jc w:val="left"/>
        <w:rPr/>
      </w:pPr>
      <w:r>
        <w:rPr/>
        <w:t> </w:t>
      </w:r>
    </w:p>
    <w:p>
      <w:pPr>
        <w:pStyle w:val="TextBody"/>
        <w:bidi w:val="0"/>
        <w:spacing w:before="0" w:after="0"/>
        <w:jc w:val="center"/>
        <w:rPr>
          <w:b/>
          <w:sz w:val="20"/>
        </w:rPr>
      </w:pPr>
      <w:r>
        <w:rPr>
          <w:b/>
          <w:sz w:val="20"/>
        </w:rPr>
        <w:t>HOVNANIAN ENTERPRISES, INC.</w:t>
      </w:r>
    </w:p>
    <w:p>
      <w:pPr>
        <w:pStyle w:val="TextBody"/>
        <w:bidi w:val="0"/>
        <w:spacing w:before="0" w:after="0"/>
        <w:jc w:val="center"/>
        <w:rPr>
          <w:b/>
          <w:sz w:val="20"/>
        </w:rPr>
      </w:pPr>
      <w:r>
        <w:rPr>
          <w:b/>
          <w:sz w:val="20"/>
        </w:rPr>
        <w:t>PHANTOM PERFORMANCE SHARE UNIT AGREEMENT</w:t>
      </w:r>
    </w:p>
    <w:p>
      <w:pPr>
        <w:pStyle w:val="TextBody"/>
        <w:bidi w:val="0"/>
        <w:spacing w:before="0" w:after="0"/>
        <w:jc w:val="center"/>
        <w:rPr>
          <w:b/>
          <w:sz w:val="20"/>
        </w:rPr>
      </w:pPr>
      <w:r>
        <w:rPr>
          <w:b/>
          <w:sz w:val="20"/>
        </w:rPr>
        <w:t>(EBIT Performance Vesting)</w:t>
      </w:r>
    </w:p>
    <w:p>
      <w:pPr>
        <w:pStyle w:val="TextBody"/>
        <w:bidi w:val="0"/>
        <w:spacing w:before="0" w:after="0"/>
        <w:jc w:val="left"/>
        <w:rPr/>
      </w:pPr>
      <w:r>
        <w:rPr/>
        <w:t> </w:t>
      </w:r>
    </w:p>
    <w:tbl>
      <w:tblPr>
        <w:tblW w:w="5348" w:type="dxa"/>
        <w:jc w:val="left"/>
        <w:tblInd w:w="0" w:type="dxa"/>
        <w:tblLayout w:type="fixed"/>
        <w:tblCellMar>
          <w:top w:w="0" w:type="dxa"/>
          <w:left w:w="0" w:type="dxa"/>
          <w:bottom w:w="0" w:type="dxa"/>
          <w:right w:w="0" w:type="dxa"/>
        </w:tblCellMar>
      </w:tblPr>
      <w:tblGrid>
        <w:gridCol w:w="2733"/>
        <w:gridCol w:w="76"/>
        <w:gridCol w:w="60"/>
        <w:gridCol w:w="2290"/>
        <w:gridCol w:w="114"/>
        <w:gridCol w:w="75"/>
      </w:tblGrid>
      <w:tr>
        <w:trPr/>
        <w:tc>
          <w:tcPr>
            <w:tcW w:w="2733" w:type="dxa"/>
            <w:tcBorders/>
            <w:vAlign w:val="center"/>
          </w:tcPr>
          <w:p>
            <w:pPr>
              <w:pStyle w:val="TableContents"/>
              <w:widowControl w:val="false"/>
              <w:bidi w:val="0"/>
              <w:spacing w:before="0" w:after="0"/>
              <w:jc w:val="left"/>
              <w:rPr>
                <w:i/>
                <w:sz w:val="20"/>
              </w:rPr>
            </w:pPr>
            <w:r>
              <w:rPr>
                <w:i/>
                <w:sz w:val="20"/>
              </w:rPr>
              <w:t>Participant:</w:t>
            </w:r>
          </w:p>
        </w:tc>
        <w:tc>
          <w:tcPr>
            <w:tcW w:w="76"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290" w:type="dxa"/>
            <w:tcBorders/>
            <w:vAlign w:val="center"/>
          </w:tcPr>
          <w:p>
            <w:pPr>
              <w:pStyle w:val="TableContents"/>
              <w:widowControl w:val="false"/>
              <w:bidi w:val="0"/>
              <w:spacing w:before="0" w:after="0"/>
              <w:jc w:val="left"/>
              <w:rPr>
                <w:i/>
                <w:sz w:val="20"/>
              </w:rPr>
            </w:pPr>
            <w:r>
              <w:rPr>
                <w:i/>
                <w:sz w:val="20"/>
              </w:rPr>
              <w:t>Date of Grant:</w:t>
            </w:r>
          </w:p>
        </w:tc>
        <w:tc>
          <w:tcPr>
            <w:tcW w:w="11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33"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76"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290"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114"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33"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76"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290"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114"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33" w:type="dxa"/>
            <w:tcBorders/>
            <w:vAlign w:val="center"/>
          </w:tcPr>
          <w:p>
            <w:pPr>
              <w:pStyle w:val="TableContents"/>
              <w:widowControl w:val="false"/>
              <w:bidi w:val="0"/>
              <w:spacing w:before="0" w:after="0"/>
              <w:jc w:val="left"/>
              <w:rPr/>
            </w:pPr>
            <w:r>
              <w:rPr/>
              <w:t> </w:t>
            </w:r>
          </w:p>
        </w:tc>
        <w:tc>
          <w:tcPr>
            <w:tcW w:w="76"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290" w:type="dxa"/>
            <w:tcBorders/>
            <w:vAlign w:val="center"/>
          </w:tcPr>
          <w:p>
            <w:pPr>
              <w:pStyle w:val="TableContents"/>
              <w:widowControl w:val="false"/>
              <w:bidi w:val="0"/>
              <w:spacing w:before="0" w:after="0"/>
              <w:jc w:val="left"/>
              <w:rPr/>
            </w:pPr>
            <w:r>
              <w:rPr/>
              <w:t> </w:t>
            </w:r>
          </w:p>
        </w:tc>
        <w:tc>
          <w:tcPr>
            <w:tcW w:w="11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33" w:type="dxa"/>
            <w:tcBorders/>
            <w:vAlign w:val="center"/>
          </w:tcPr>
          <w:p>
            <w:pPr>
              <w:pStyle w:val="TableContents"/>
              <w:widowControl w:val="false"/>
              <w:bidi w:val="0"/>
              <w:spacing w:before="0" w:after="0"/>
              <w:jc w:val="left"/>
              <w:rPr>
                <w:i/>
                <w:sz w:val="20"/>
              </w:rPr>
            </w:pPr>
            <w:r>
              <w:rPr>
                <w:i/>
                <w:sz w:val="20"/>
              </w:rPr>
              <w:t>Target Number of PPSUs:</w:t>
            </w:r>
          </w:p>
        </w:tc>
        <w:tc>
          <w:tcPr>
            <w:tcW w:w="76"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60"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2290" w:type="dxa"/>
            <w:tcBorders/>
            <w:vAlign w:val="center"/>
          </w:tcPr>
          <w:p>
            <w:pPr>
              <w:pStyle w:val="TableContents"/>
              <w:widowControl w:val="false"/>
              <w:bidi w:val="0"/>
              <w:spacing w:before="0" w:after="0"/>
              <w:jc w:val="left"/>
              <w:rPr/>
            </w:pPr>
            <w:r>
              <w:rPr/>
              <w:t> </w:t>
            </w:r>
          </w:p>
        </w:tc>
        <w:tc>
          <w:tcPr>
            <w:tcW w:w="11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33" w:type="dxa"/>
            <w:tcBorders/>
            <w:vAlign w:val="center"/>
          </w:tcPr>
          <w:p>
            <w:pPr>
              <w:pStyle w:val="TableContents"/>
              <w:widowControl w:val="false"/>
              <w:bidi w:val="0"/>
              <w:spacing w:before="0" w:after="0"/>
              <w:jc w:val="left"/>
              <w:rPr/>
            </w:pPr>
            <w:r>
              <w:rPr/>
              <w:t> </w:t>
            </w:r>
          </w:p>
        </w:tc>
        <w:tc>
          <w:tcPr>
            <w:tcW w:w="76"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60"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2290" w:type="dxa"/>
            <w:tcBorders/>
            <w:vAlign w:val="center"/>
          </w:tcPr>
          <w:p>
            <w:pPr>
              <w:pStyle w:val="TableContents"/>
              <w:widowControl w:val="false"/>
              <w:bidi w:val="0"/>
              <w:spacing w:before="0" w:after="0"/>
              <w:jc w:val="left"/>
              <w:rPr/>
            </w:pPr>
            <w:r>
              <w:rPr/>
              <w:t> </w:t>
            </w:r>
          </w:p>
        </w:tc>
        <w:tc>
          <w:tcPr>
            <w:tcW w:w="11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33" w:type="dxa"/>
            <w:tcBorders/>
            <w:vAlign w:val="center"/>
          </w:tcPr>
          <w:p>
            <w:pPr>
              <w:pStyle w:val="TableContents"/>
              <w:widowControl w:val="false"/>
              <w:bidi w:val="0"/>
              <w:spacing w:before="0" w:after="0"/>
              <w:jc w:val="left"/>
              <w:rPr/>
            </w:pPr>
            <w:r>
              <w:rPr/>
              <w:t> </w:t>
            </w:r>
          </w:p>
        </w:tc>
        <w:tc>
          <w:tcPr>
            <w:tcW w:w="76"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290" w:type="dxa"/>
            <w:tcBorders/>
            <w:vAlign w:val="center"/>
          </w:tcPr>
          <w:p>
            <w:pPr>
              <w:pStyle w:val="TableContents"/>
              <w:widowControl w:val="false"/>
              <w:bidi w:val="0"/>
              <w:spacing w:before="0" w:after="0"/>
              <w:jc w:val="left"/>
              <w:rPr/>
            </w:pPr>
            <w:r>
              <w:rPr/>
              <w:t> </w:t>
            </w:r>
          </w:p>
        </w:tc>
        <w:tc>
          <w:tcPr>
            <w:tcW w:w="11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809" w:type="dxa"/>
            <w:gridSpan w:val="2"/>
            <w:tcBorders/>
            <w:vAlign w:val="center"/>
          </w:tcPr>
          <w:p>
            <w:pPr>
              <w:pStyle w:val="TableContents"/>
              <w:widowControl w:val="false"/>
              <w:bidi w:val="0"/>
              <w:spacing w:before="0" w:after="0"/>
              <w:jc w:val="left"/>
              <w:rPr>
                <w:i/>
                <w:sz w:val="20"/>
              </w:rPr>
            </w:pPr>
            <w:r>
              <w:rPr>
                <w:i/>
                <w:sz w:val="20"/>
              </w:rPr>
              <w:t>Date of Vesting of Earned PPSUs:</w:t>
            </w:r>
          </w:p>
        </w:tc>
        <w:tc>
          <w:tcPr>
            <w:tcW w:w="60" w:type="dxa"/>
            <w:tcBorders/>
            <w:vAlign w:val="center"/>
          </w:tcPr>
          <w:p>
            <w:pPr>
              <w:pStyle w:val="TableContents"/>
              <w:widowControl w:val="false"/>
              <w:bidi w:val="0"/>
              <w:spacing w:before="0" w:after="0"/>
              <w:jc w:val="left"/>
              <w:rPr/>
            </w:pPr>
            <w:r>
              <w:rPr/>
              <w:t> </w:t>
            </w:r>
          </w:p>
        </w:tc>
        <w:tc>
          <w:tcPr>
            <w:tcW w:w="2290" w:type="dxa"/>
            <w:tcBorders/>
            <w:vAlign w:val="center"/>
          </w:tcPr>
          <w:p>
            <w:pPr>
              <w:pStyle w:val="TableContents"/>
              <w:widowControl w:val="false"/>
              <w:bidi w:val="0"/>
              <w:spacing w:before="0" w:after="0"/>
              <w:jc w:val="left"/>
              <w:rPr/>
            </w:pPr>
            <w:r>
              <w:rPr/>
              <w:t> </w:t>
            </w:r>
          </w:p>
        </w:tc>
        <w:tc>
          <w:tcPr>
            <w:tcW w:w="11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33" w:type="dxa"/>
            <w:tcBorders/>
            <w:vAlign w:val="center"/>
          </w:tcPr>
          <w:p>
            <w:pPr>
              <w:pStyle w:val="TableContents"/>
              <w:widowControl w:val="false"/>
              <w:bidi w:val="0"/>
              <w:spacing w:before="0" w:after="0"/>
              <w:jc w:val="left"/>
              <w:rPr/>
            </w:pPr>
            <w:r>
              <w:rPr/>
              <w:t> </w:t>
            </w:r>
          </w:p>
        </w:tc>
        <w:tc>
          <w:tcPr>
            <w:tcW w:w="76"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290" w:type="dxa"/>
            <w:tcBorders/>
            <w:vAlign w:val="center"/>
          </w:tcPr>
          <w:p>
            <w:pPr>
              <w:pStyle w:val="TableContents"/>
              <w:widowControl w:val="false"/>
              <w:bidi w:val="0"/>
              <w:spacing w:before="0" w:after="0"/>
              <w:jc w:val="left"/>
              <w:rPr/>
            </w:pPr>
            <w:r>
              <w:rPr/>
              <w:t> </w:t>
            </w:r>
          </w:p>
        </w:tc>
        <w:tc>
          <w:tcPr>
            <w:tcW w:w="11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33" w:type="dxa"/>
            <w:tcBorders/>
            <w:vAlign w:val="center"/>
          </w:tcPr>
          <w:p>
            <w:pPr>
              <w:pStyle w:val="TableContents"/>
              <w:widowControl w:val="false"/>
              <w:bidi w:val="0"/>
              <w:spacing w:before="0" w:after="0"/>
              <w:jc w:val="left"/>
              <w:rPr>
                <w:i/>
                <w:sz w:val="20"/>
                <w:u w:val="single"/>
              </w:rPr>
            </w:pPr>
            <w:r>
              <w:rPr>
                <w:i/>
                <w:sz w:val="20"/>
                <w:u w:val="single"/>
              </w:rPr>
              <w:t>Date</w:t>
            </w:r>
          </w:p>
        </w:tc>
        <w:tc>
          <w:tcPr>
            <w:tcW w:w="76"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404" w:type="dxa"/>
            <w:gridSpan w:val="2"/>
            <w:tcBorders/>
            <w:vAlign w:val="center"/>
          </w:tcPr>
          <w:p>
            <w:pPr>
              <w:pStyle w:val="TableContents"/>
              <w:widowControl w:val="false"/>
              <w:bidi w:val="0"/>
              <w:spacing w:before="0" w:after="0"/>
              <w:jc w:val="left"/>
              <w:rPr>
                <w:i/>
                <w:sz w:val="20"/>
                <w:u w:val="single"/>
              </w:rPr>
            </w:pPr>
            <w:r>
              <w:rPr>
                <w:i/>
                <w:sz w:val="20"/>
                <w:u w:val="single"/>
              </w:rPr>
              <w:t>Percentage of Earned PPSUs</w:t>
            </w:r>
          </w:p>
        </w:tc>
        <w:tc>
          <w:tcPr>
            <w:tcW w:w="75" w:type="dxa"/>
            <w:tcBorders/>
            <w:vAlign w:val="center"/>
          </w:tcPr>
          <w:p>
            <w:pPr>
              <w:pStyle w:val="TableContents"/>
              <w:widowControl w:val="false"/>
              <w:bidi w:val="0"/>
              <w:spacing w:before="0" w:after="0"/>
              <w:jc w:val="left"/>
              <w:rPr/>
            </w:pPr>
            <w:r>
              <w:rPr/>
              <w:t> </w:t>
            </w:r>
          </w:p>
        </w:tc>
      </w:tr>
      <w:tr>
        <w:trPr/>
        <w:tc>
          <w:tcPr>
            <w:tcW w:w="2733" w:type="dxa"/>
            <w:tcBorders/>
            <w:vAlign w:val="center"/>
          </w:tcPr>
          <w:p>
            <w:pPr>
              <w:pStyle w:val="TableContents"/>
              <w:widowControl w:val="false"/>
              <w:bidi w:val="0"/>
              <w:spacing w:before="0" w:after="0"/>
              <w:jc w:val="left"/>
              <w:rPr/>
            </w:pPr>
            <w:r>
              <w:rPr/>
              <w:t> </w:t>
            </w:r>
          </w:p>
        </w:tc>
        <w:tc>
          <w:tcPr>
            <w:tcW w:w="76"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290" w:type="dxa"/>
            <w:tcBorders/>
            <w:vAlign w:val="center"/>
          </w:tcPr>
          <w:p>
            <w:pPr>
              <w:pStyle w:val="TableContents"/>
              <w:widowControl w:val="false"/>
              <w:bidi w:val="0"/>
              <w:spacing w:before="0" w:after="0"/>
              <w:jc w:val="left"/>
              <w:rPr/>
            </w:pPr>
            <w:r>
              <w:rPr/>
              <w:t> </w:t>
            </w:r>
          </w:p>
        </w:tc>
        <w:tc>
          <w:tcPr>
            <w:tcW w:w="11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33" w:type="dxa"/>
            <w:tcBorders>
              <w:bottom w:val="single" w:sz="6" w:space="0" w:color="000000"/>
            </w:tcBorders>
            <w:tcMar>
              <w:bottom w:w="28" w:type="dxa"/>
            </w:tcMar>
            <w:vAlign w:val="center"/>
          </w:tcPr>
          <w:p>
            <w:pPr>
              <w:pStyle w:val="TableContents"/>
              <w:widowControl w:val="false"/>
              <w:bidi w:val="0"/>
              <w:spacing w:before="0" w:after="0"/>
              <w:jc w:val="center"/>
              <w:rPr>
                <w:sz w:val="20"/>
              </w:rPr>
            </w:pPr>
            <w:r>
              <w:rPr>
                <w:sz w:val="20"/>
              </w:rPr>
              <w:t>[Date]</w:t>
            </w:r>
          </w:p>
        </w:tc>
        <w:tc>
          <w:tcPr>
            <w:tcW w:w="76"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290" w:type="dxa"/>
            <w:tcBorders>
              <w:bottom w:val="single" w:sz="6" w:space="0" w:color="000000"/>
            </w:tcBorders>
            <w:tcMar>
              <w:bottom w:w="28" w:type="dxa"/>
            </w:tcMar>
            <w:vAlign w:val="center"/>
          </w:tcPr>
          <w:p>
            <w:pPr>
              <w:pStyle w:val="TableContents"/>
              <w:widowControl w:val="false"/>
              <w:bidi w:val="0"/>
              <w:spacing w:before="0" w:after="0"/>
              <w:jc w:val="center"/>
              <w:rPr>
                <w:sz w:val="20"/>
              </w:rPr>
            </w:pPr>
            <w:r>
              <w:rPr>
                <w:sz w:val="20"/>
              </w:rPr>
              <w:t>100%</w:t>
            </w:r>
          </w:p>
        </w:tc>
        <w:tc>
          <w:tcPr>
            <w:tcW w:w="11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bl>
    <w:p>
      <w:pPr>
        <w:pStyle w:val="TextBody"/>
        <w:bidi w:val="0"/>
        <w:spacing w:before="0" w:after="0"/>
        <w:jc w:val="left"/>
        <w:rPr/>
      </w:pPr>
      <w:r>
        <w:rPr/>
        <w:t> </w:t>
      </w:r>
    </w:p>
    <w:p>
      <w:pPr>
        <w:pStyle w:val="Heading1"/>
        <w:bidi w:val="0"/>
        <w:spacing w:before="0" w:after="200"/>
        <w:ind w:left="0" w:right="0" w:firstLine="1440"/>
        <w:jc w:val="both"/>
        <w:rPr>
          <w:sz w:val="20"/>
        </w:rPr>
      </w:pPr>
      <w:r>
        <w:rPr>
          <w:b w:val="false"/>
          <w:sz w:val="20"/>
        </w:rPr>
        <w:t>1.</w:t>
      </w:r>
      <w:r>
        <w:rPr>
          <w:caps w:val="false"/>
          <w:smallCaps w:val="false"/>
          <w:sz w:val="20"/>
        </w:rPr>
        <w:t xml:space="preserve">          </w:t>
      </w:r>
      <w:r>
        <w:rPr>
          <w:b w:val="false"/>
          <w:sz w:val="20"/>
          <w:u w:val="single"/>
        </w:rPr>
        <w:t>Grant of PPSUs</w:t>
      </w:r>
      <w:r>
        <w:rPr>
          <w:b w:val="false"/>
          <w:sz w:val="20"/>
        </w:rPr>
        <w:t>.</w:t>
      </w:r>
      <w:r>
        <w:rPr>
          <w:sz w:val="20"/>
        </w:rPr>
        <w:t xml:space="preserve">  </w:t>
      </w:r>
      <w:r>
        <w:rPr>
          <w:b w:val="false"/>
          <w:sz w:val="20"/>
        </w:rPr>
        <w:t>For valuable consideration, receipt of which is hereby acknowledged, Hovnanian Enterprises, Inc., a Delaware Corporation (the "Company"), hereby grants the target number (“Target Number”) of phantom performance share units ("PPSUs") listed above to the Participant, on the terms and conditions hereinafter set forth.</w:t>
      </w:r>
      <w:r>
        <w:rPr>
          <w:sz w:val="20"/>
        </w:rPr>
        <w:t xml:space="preserve">  </w:t>
      </w:r>
      <w:r>
        <w:rPr>
          <w:b w:val="false"/>
          <w:sz w:val="20"/>
        </w:rPr>
        <w:t>The PPSUs granted hereunder is made as a standalone award, separate and apart from, and outside of, the 2020 Company Fourth Amended and Restated Stock Incentive Plan, as amended (the "Plan"), and shall not constitute an Award granted under or pursuant to that Plan. Notwithstanding the foregoing, the terms, conditions, and definitions set forth in the Plan shall apply to the PPSUs as though the PPSUs had been granted under the Plan (including but not limited to the adjustment provision contained in the Plan), and the PPSUs shall be subject to such terms, conditions and definitions which are hereby incorporated herein by reference and made a part hereof. Notwithstanding the foregoing, the PPSUs shall not be counted for purposes of calculating the aggregate number of shares that may be issued or transferred pursuant to Awards under the Plan or for purposes of calculating the Award limitations under the Plan (including pursuant to Section 3 of the Plan). The actual number of PPSUs, if any, that the Participant will be eligible to earn with respect to this Agreement (the “Earned PPSUs”), subject to meeting the applicable service and performance vesting requirements, will equal the Target Number multiplied by the applicable “Performance Multiplier” as defined in Exhibit A hereto.</w:t>
      </w:r>
      <w:r>
        <w:rPr>
          <w:sz w:val="20"/>
        </w:rPr>
        <w:t xml:space="preserve">  </w:t>
      </w:r>
      <w:r>
        <w:rPr>
          <w:b w:val="false"/>
          <w:sz w:val="20"/>
        </w:rPr>
        <w:t>Each Earned PPSU represents the unfunded, unsecured right of the Participant to receive a cash payment equal to the Fair Market Value of a Share on the date(s) specified herein.</w:t>
      </w:r>
      <w:r>
        <w:rPr>
          <w:sz w:val="20"/>
        </w:rPr>
        <w:t xml:space="preserve">  </w:t>
      </w:r>
      <w:r>
        <w:rPr>
          <w:b w:val="false"/>
          <w:sz w:val="20"/>
        </w:rPr>
        <w:t>Capitalized terms not otherwise defined herein shall have the same meanings as in the Plan.</w:t>
      </w:r>
    </w:p>
    <w:p>
      <w:pPr>
        <w:pStyle w:val="TextBody"/>
        <w:bidi w:val="0"/>
        <w:spacing w:before="0" w:after="200"/>
        <w:ind w:left="0" w:right="0" w:firstLine="1440"/>
        <w:jc w:val="both"/>
        <w:rPr>
          <w:sz w:val="20"/>
        </w:rPr>
      </w:pPr>
      <w:r>
        <w:rPr>
          <w:sz w:val="20"/>
        </w:rPr>
        <w:t>2.</w:t>
      </w:r>
      <w:r>
        <w:rPr>
          <w:caps w:val="false"/>
          <w:smallCaps w:val="false"/>
          <w:sz w:val="20"/>
        </w:rPr>
        <w:t xml:space="preserve">          </w:t>
      </w:r>
      <w:r>
        <w:rPr>
          <w:sz w:val="20"/>
          <w:u w:val="single"/>
        </w:rPr>
        <w:t>Vesting and Timing of Transfer</w:t>
      </w:r>
      <w:r>
        <w:rPr>
          <w:sz w:val="20"/>
        </w:rPr>
        <w:t>.</w:t>
      </w:r>
    </w:p>
    <w:p>
      <w:pPr>
        <w:pStyle w:val="TextBody"/>
        <w:bidi w:val="0"/>
        <w:spacing w:before="0" w:after="200"/>
        <w:ind w:left="0" w:right="0" w:firstLine="1890"/>
        <w:jc w:val="both"/>
        <w:rPr>
          <w:sz w:val="20"/>
        </w:rPr>
      </w:pPr>
      <w:r>
        <w:rPr>
          <w:sz w:val="20"/>
        </w:rPr>
        <w:t>(a)</w:t>
      </w:r>
      <w:r>
        <w:rPr>
          <w:caps w:val="false"/>
          <w:smallCaps w:val="false"/>
          <w:sz w:val="20"/>
        </w:rPr>
        <w:t xml:space="preserve">        </w:t>
      </w:r>
      <w:r>
        <w:rPr>
          <w:sz w:val="20"/>
        </w:rPr>
        <w:t xml:space="preserve">The Participant will become vested in the Earned PPSUs in accordance with the schedule set forth above (each such vesting date, a “Vesting Date”); </w:t>
      </w:r>
      <w:r>
        <w:rPr>
          <w:sz w:val="20"/>
          <w:u w:val="single"/>
        </w:rPr>
        <w:t>provided</w:t>
      </w:r>
      <w:r>
        <w:rPr>
          <w:sz w:val="20"/>
        </w:rPr>
        <w:t xml:space="preserve">, </w:t>
      </w:r>
      <w:r>
        <w:rPr>
          <w:sz w:val="20"/>
          <w:u w:val="single"/>
        </w:rPr>
        <w:t>however</w:t>
      </w:r>
      <w:r>
        <w:rPr>
          <w:sz w:val="20"/>
        </w:rPr>
        <w:t xml:space="preserve">, that upon the occurrence of a Change in Control that results in the Company's Shares ceasing to be publicly traded on a national securities exchange, the Earned PPSUs shall immediately become fully vested (subject to any delay in payment required pursuant to Sections 2(b) and 15 hereof). </w:t>
      </w:r>
    </w:p>
    <w:p>
      <w:pPr>
        <w:pStyle w:val="TextBody"/>
        <w:bidi w:val="0"/>
        <w:spacing w:before="0" w:after="200"/>
        <w:ind w:left="0" w:right="0" w:firstLine="1890"/>
        <w:jc w:val="both"/>
        <w:rPr>
          <w:sz w:val="20"/>
        </w:rPr>
      </w:pPr>
      <w:r>
        <w:rPr>
          <w:sz w:val="20"/>
        </w:rPr>
        <w:t>(b)</w:t>
      </w:r>
      <w:r>
        <w:rPr>
          <w:caps w:val="false"/>
          <w:smallCaps w:val="false"/>
          <w:sz w:val="20"/>
        </w:rPr>
        <w:t xml:space="preserve">       </w:t>
      </w:r>
      <w:r>
        <w:rPr>
          <w:sz w:val="20"/>
        </w:rPr>
        <w:t>The Company shall pay to the Participant, as soon as practicable but not later than 60 days after an applicable “Payment Date” (as defined below), a cash amount equal to the Fair Market Value (calculated as of such Payment Date) of a number of Class A Shares equal to the number of Earned PPSUs that became vested on the corresponding Vesting Date.  If the Participant is eligible to participate in, and has elected to defer the payment in respect of Earned PPSUs pursuant to the terms of a nonqualified deferred compensation plan maintained by the Company, such payment shall be so deferred, and any such deferral, when paid, shall be paid in cash.  Once the value of the Earned PPSUs is deferred, the rights and privileges of the Participant with respect to such PPSUs shall be determined solely pursuant to the terms of the applicable plan, and not pursuant to the terms and conditions of this Agreement.  For purposes of this Agreement, the “Payment Date” shall mean the earlier of (i) the Vesting Date or (ii) the date of the Participant’s Qualified Termination, as defined below, if applicable (or, if later, the last day of the Performance Period as set forth in Exhibit A).</w:t>
      </w:r>
    </w:p>
    <w:p>
      <w:pPr>
        <w:pStyle w:val="TextBody"/>
        <w:bidi w:val="0"/>
        <w:spacing w:before="0" w:after="0"/>
        <w:ind w:left="0" w:right="0" w:firstLine="1890"/>
        <w:jc w:val="both"/>
        <w:rPr>
          <w:sz w:val="20"/>
        </w:rPr>
      </w:pPr>
      <w:r>
        <w:rPr>
          <w:sz w:val="20"/>
        </w:rPr>
        <w:t>(c)</w:t>
      </w:r>
      <w:r>
        <w:rPr>
          <w:caps w:val="false"/>
          <w:smallCaps w:val="false"/>
          <w:sz w:val="20"/>
        </w:rPr>
        <w:t xml:space="preserve">        </w:t>
      </w:r>
      <w:r>
        <w:rPr>
          <w:sz w:val="20"/>
        </w:rPr>
        <w:t xml:space="preserve">Notwithstanding Sections 2(a) and 2(b) of this Agreement, if the Participant's employment with the Company and its Affiliates terminates due to (i) death, (ii) Disability or (iii) Retirement, (any such termination, a “Qualified Termination”), then (A) any previously unvested Earned PPSUs shall become fully vested, (B) if such Qualified Termination occurs prior to the determination of the number of Earned PPSUs in accordance with Exhibit A hereto, the PPSUs granted hereunder shall remaining outstanding and eligible to become Earned PPSUs in accordance with such Exhibit A and (C) the cash payment in respect of the Shares underlying all of the Participant’s Earned PPSUs, if any, shall be paid to the Participant as soon as practicable but not later than 60 days after the corresponding Payment Date(s) subject to Section 15 of this Agreement.  In the event of the death of the Participant, the payment in respect of Earned PPSUs under this Section 2(c) shall be made in accordance with the beneficiary designation form on file with the Company; </w:t>
      </w:r>
      <w:r>
        <w:rPr>
          <w:sz w:val="20"/>
          <w:u w:val="single"/>
        </w:rPr>
        <w:t>provided</w:t>
      </w:r>
      <w:r>
        <w:rPr>
          <w:sz w:val="20"/>
        </w:rPr>
        <w:t xml:space="preserve">, </w:t>
      </w:r>
      <w:r>
        <w:rPr>
          <w:sz w:val="20"/>
          <w:u w:val="single"/>
        </w:rPr>
        <w:t>however</w:t>
      </w:r>
      <w:r>
        <w:rPr>
          <w:sz w:val="20"/>
        </w:rPr>
        <w:t>, that, in the absence of any such beneficiary designation form, the payment under this Section 2(c) shall be made to the person or persons to whom the Participant's rights under the Agreement shall pass by will or by the applicable laws of descent and distribution.  For purposes of this Agreement, "Disability" shall mean "Disability" as defined in the Plan, and "Retirement" shall mean termination of employment on or after age 60, or on or after age 58 with at least 15 years of "Service" to the Company and its Subsidiaries immediately preceding such termination of employment.  For this purpose, "Service" means the period of employment immediately preceding Retirement, plus any prior periods of employment with the Company and its Subsidiaries of one or more years' duration, unless they were succeeded by a period of non-employment with the Company and its Subsidiaries of more than three years' duration.</w:t>
      </w:r>
    </w:p>
    <w:p>
      <w:pPr>
        <w:pStyle w:val="TextBody"/>
        <w:bidi w:val="0"/>
        <w:spacing w:before="0" w:after="0"/>
        <w:jc w:val="left"/>
        <w:rPr/>
      </w:pPr>
      <w:r>
        <w:rPr/>
        <w:t> </w:t>
      </w:r>
    </w:p>
    <w:p>
      <w:pPr>
        <w:pStyle w:val="TextBody"/>
        <w:bidi w:val="0"/>
        <w:spacing w:before="0" w:after="0"/>
        <w:jc w:val="center"/>
        <w:rPr>
          <w:sz w:val="20"/>
        </w:rPr>
      </w:pPr>
      <w:r>
        <w:rPr>
          <w:sz w:val="20"/>
        </w:rPr>
        <w:t>1</w:t>
      </w:r>
    </w:p>
    <w:p>
      <w:pPr>
        <w:pStyle w:val="HorizontalLine"/>
        <w:pBdr>
          <w:bottom w:val="double" w:sz="2" w:space="0" w:color="808080"/>
        </w:pBdr>
        <w:bidi w:val="0"/>
        <w:jc w:val="center"/>
        <w:rPr/>
      </w:pPr>
      <w:r>
        <w:rPr/>
      </w:r>
    </w:p>
    <w:p>
      <w:pPr>
        <w:pStyle w:val="Heading2"/>
        <w:bidi w:val="0"/>
        <w:spacing w:before="0" w:after="200"/>
        <w:ind w:left="0" w:right="0" w:firstLine="1886"/>
        <w:jc w:val="both"/>
        <w:rPr>
          <w:sz w:val="20"/>
        </w:rPr>
      </w:pPr>
      <w:r>
        <w:rPr>
          <w:b w:val="false"/>
          <w:sz w:val="20"/>
        </w:rPr>
        <w:t>(d)</w:t>
      </w:r>
      <w:r>
        <w:rPr>
          <w:caps w:val="false"/>
          <w:smallCaps w:val="false"/>
          <w:sz w:val="20"/>
        </w:rPr>
        <w:t xml:space="preserve">        </w:t>
      </w:r>
      <w:r>
        <w:rPr>
          <w:b w:val="false"/>
          <w:sz w:val="20"/>
        </w:rPr>
        <w:t>Upon each payment in settlement of Earned PPSUs in accordance with Sections 2(a), 2(b) and 2(c) of this Agreement, a number of Earned PPSUs having a Fair Market Value equal to the amount paid to the Participant or deferred shall be extinguished.</w:t>
      </w:r>
    </w:p>
    <w:p>
      <w:pPr>
        <w:pStyle w:val="TextBody"/>
        <w:bidi w:val="0"/>
        <w:spacing w:before="0" w:after="200"/>
        <w:ind w:left="0" w:right="0" w:firstLine="1890"/>
        <w:jc w:val="both"/>
        <w:rPr>
          <w:sz w:val="20"/>
        </w:rPr>
      </w:pPr>
      <w:r>
        <w:rPr>
          <w:sz w:val="20"/>
        </w:rPr>
        <w:t>(e)</w:t>
      </w:r>
      <w:r>
        <w:rPr>
          <w:caps w:val="false"/>
          <w:smallCaps w:val="false"/>
          <w:sz w:val="20"/>
        </w:rPr>
        <w:t xml:space="preserve">        </w:t>
      </w:r>
      <w:r>
        <w:rPr>
          <w:sz w:val="20"/>
        </w:rPr>
        <w:t>Notwithstanding Sections 2(a), 2(b) and 2(c) of this Agreement, upon the Participant's termination of employment for any reason other than (i) death, Disability or Retirement or (ii) under the circumstances described in clause (f) below, any unvested PPSUs (including, without limitation, any Earned PPSUs) shall immediately terminate for no further consideration.</w:t>
      </w:r>
    </w:p>
    <w:p>
      <w:pPr>
        <w:pStyle w:val="TextBody"/>
        <w:bidi w:val="0"/>
        <w:spacing w:before="0" w:after="200"/>
        <w:ind w:left="0" w:right="0" w:firstLine="1890"/>
        <w:jc w:val="both"/>
        <w:rPr>
          <w:sz w:val="20"/>
        </w:rPr>
      </w:pPr>
      <w:r>
        <w:rPr>
          <w:sz w:val="20"/>
        </w:rPr>
        <w:t>(f)</w:t>
      </w:r>
      <w:r>
        <w:rPr>
          <w:caps w:val="false"/>
          <w:smallCaps w:val="false"/>
          <w:sz w:val="20"/>
        </w:rPr>
        <w:t xml:space="preserve">         </w:t>
      </w:r>
      <w:r>
        <w:rPr>
          <w:sz w:val="20"/>
          <w:u w:val="single"/>
        </w:rPr>
        <w:t>Termination without Cause or for Good Reason within Two Years Following a Change in Control</w:t>
      </w:r>
      <w:r>
        <w:rPr>
          <w:sz w:val="20"/>
        </w:rPr>
        <w:t>.  In the event of the Participant's Qualifying Termination or involuntary termination of employment with the Company or a subsidiary thereof without "Cause" or for "Good Reason", in each case, within two years following a Change in Control, the Earned PPSUs, to the extent not previously vested and settled, shall immediately become fully vested and settled in cash.  For purposes of this Agreement, "Cause" shall mean the occurrence of any of the following: (a) the willful and continued failure of the Participant to perform substantially all of his or her duties with the Company (other than any such failure resulting from incapacity due to physical or mental illness) for a period of 10 days following a written demand for substantial performance that is delivered to such Participant by the Company, which specifically identifies the manner in which the Company believes the Participant has not substantially performed his or her duties; (b) dishonesty in the performance of the Participant's duties with the Company; (c) the Participant's conviction of, or plea of guilty or nolo contendere to, a crime under the laws of the United States or any state thereof constituting a felony or a misdemeanor involving moral turpitude; (d) the Participant's willful malfeasance or willful misconduct in connection with the Participant's duties with the Company or any act or omission which is injurious to the financial condition or business reputation of the Company or its affiliates; or (e) the Participant's breach of the provisions of Section 10 of this Agreement.  For purposes of this Agreement, "Good Reason" shall mean the occurrence of any of the following, without the Participant's express written consent:  (a) any material diminution in the Participant's duties, titles or responsibilities with the Company from those in effect immediately prior to a Change in Control or (b) any reduction in the Participant's annual base salary or any material reduction in the Participant's annual bonus opportunity, annual equity awards or long-term incentive program awards from the Participant's annual base salary or annual bonus opportunity, annual equity awards or long-term incentive program awards in effect immediately prior to a Change in Control.  Notwithstanding the foregoing, no event shall constitute Good Reason unless the Participant provides the Company with written notice of such event within 60 days after the occurrence thereof and the Company fails to cure or resolve the behavior otherwise constituting Good Reason within 30 days of its receipt of such notice.</w:t>
      </w:r>
    </w:p>
    <w:p>
      <w:pPr>
        <w:pStyle w:val="TextBody"/>
        <w:bidi w:val="0"/>
        <w:spacing w:before="0" w:after="200"/>
        <w:ind w:left="0" w:right="0" w:firstLine="1890"/>
        <w:jc w:val="both"/>
        <w:rPr>
          <w:sz w:val="20"/>
        </w:rPr>
      </w:pPr>
      <w:r>
        <w:rPr>
          <w:sz w:val="20"/>
        </w:rPr>
        <w:t>(g)</w:t>
      </w:r>
      <w:r>
        <w:rPr>
          <w:caps w:val="false"/>
          <w:smallCaps w:val="false"/>
          <w:sz w:val="20"/>
        </w:rPr>
        <w:t xml:space="preserve">       </w:t>
      </w:r>
      <w:r>
        <w:rPr>
          <w:sz w:val="20"/>
        </w:rPr>
        <w:t>Any portion of the PPSUs granted pursuant to this Agreement which do not become Earned PPSUs in accordance with Exhibit A hereto shall be forfeited for no further consideration.</w:t>
      </w:r>
    </w:p>
    <w:p>
      <w:pPr>
        <w:pStyle w:val="TextBody"/>
        <w:bidi w:val="0"/>
        <w:spacing w:before="0" w:after="200"/>
        <w:ind w:left="0" w:right="0" w:firstLine="1440"/>
        <w:jc w:val="both"/>
        <w:rPr>
          <w:sz w:val="20"/>
        </w:rPr>
      </w:pPr>
      <w:r>
        <w:rPr>
          <w:sz w:val="20"/>
        </w:rPr>
        <w:t>3.</w:t>
      </w:r>
      <w:r>
        <w:rPr>
          <w:caps w:val="false"/>
          <w:smallCaps w:val="false"/>
          <w:sz w:val="20"/>
        </w:rPr>
        <w:t xml:space="preserve">          </w:t>
      </w:r>
      <w:r>
        <w:rPr>
          <w:sz w:val="20"/>
          <w:u w:val="single"/>
        </w:rPr>
        <w:t>Dividends</w:t>
      </w:r>
      <w:r>
        <w:rPr>
          <w:sz w:val="20"/>
        </w:rPr>
        <w:t>.  If on any date while PPSUs are outstanding hereunder the Company shall pay any dividend on the Shares (other than a dividend payable in Shares), the number of PPSUs granted to the Participant shall, as of such dividend payment date, be increased by a number of PPSUs equal to: (a) the product of (x) the number of PPSUs held by the Participant as of the related dividend record date, multiplied by (y) the per Share amount of any cash dividend (or, in the case of any dividend payable in whole or in part other than in cash, the per Share value of such dividend, as determined in good faith by the Committee), divided by (b) the Fair Market Value of a Share on the payment date of such dividend.  In the case of any dividend declared on Shares that is payable in the form of Shares, the number of PPSUs granted to the Participant shall be increased by a number equal to the product of (a) the PPSUs that are held by the Participant on the related dividend record date, multiplied by (b) the number of Shares (including any fraction thereof) payable as a dividend on a Share.  Any PPSUs attributable to dividends under this Section 3 shall be subject to the vesting provisions provided in Section 2 and the performance conditions set forth in Exhibit A.</w:t>
      </w:r>
    </w:p>
    <w:p>
      <w:pPr>
        <w:pStyle w:val="TextBody"/>
        <w:bidi w:val="0"/>
        <w:spacing w:before="0" w:after="200"/>
        <w:ind w:left="0" w:right="0" w:firstLine="1440"/>
        <w:jc w:val="both"/>
        <w:rPr>
          <w:sz w:val="20"/>
        </w:rPr>
      </w:pPr>
      <w:r>
        <w:rPr>
          <w:sz w:val="20"/>
        </w:rPr>
        <w:t>4.</w:t>
      </w:r>
      <w:r>
        <w:rPr>
          <w:caps w:val="false"/>
          <w:smallCaps w:val="false"/>
          <w:sz w:val="20"/>
        </w:rPr>
        <w:t xml:space="preserve">          </w:t>
      </w:r>
      <w:r>
        <w:rPr>
          <w:sz w:val="20"/>
          <w:u w:val="single"/>
        </w:rPr>
        <w:t>Adjustments Upon Certain Events</w:t>
      </w:r>
      <w:r>
        <w:rPr>
          <w:sz w:val="20"/>
        </w:rPr>
        <w:t>.  Subject to the terms of the Plan, in the event of any change in the outstanding Shares by reason of any Share dividend or split, reorganization, recapitalization, merger, consolidation, amalgamation, spin-off or combination transaction or exchange of Shares or other similar events (collectively, an "Adjustment Event"), the Committee shall, in its sole discretion, make an appropriate and equitable adjustment in the number of PPSUs subject to this Agreement to reflect such Adjustment Event.  Any such adjustment made by the Committee shall be final and binding upon the Participant, the Company and all other interested persons.</w:t>
      </w:r>
    </w:p>
    <w:p>
      <w:pPr>
        <w:pStyle w:val="TextBody"/>
        <w:bidi w:val="0"/>
        <w:spacing w:before="0" w:after="200"/>
        <w:ind w:left="0" w:right="0" w:firstLine="1440"/>
        <w:jc w:val="both"/>
        <w:rPr>
          <w:sz w:val="20"/>
        </w:rPr>
      </w:pPr>
      <w:r>
        <w:rPr>
          <w:sz w:val="20"/>
        </w:rPr>
        <w:t>5.</w:t>
      </w:r>
      <w:r>
        <w:rPr>
          <w:caps w:val="false"/>
          <w:smallCaps w:val="false"/>
          <w:sz w:val="20"/>
        </w:rPr>
        <w:t xml:space="preserve">          </w:t>
      </w:r>
      <w:r>
        <w:rPr>
          <w:sz w:val="20"/>
          <w:u w:val="single"/>
        </w:rPr>
        <w:t>No Right to Continued Employment</w:t>
      </w:r>
      <w:r>
        <w:rPr>
          <w:sz w:val="20"/>
        </w:rPr>
        <w:t>.  Neither the Plan nor this Agreement shall be construed as giving the Participant the right to be retained in the employ of, or in any consulting relationship to, the Company or any Affiliate.  Further, the Company or an Affiliate may at any time dismiss the Participant, free from any liability or any claim under the Plan or this Agreement, except as otherwise expressly provided herein.</w:t>
      </w:r>
    </w:p>
    <w:p>
      <w:pPr>
        <w:pStyle w:val="TextBody"/>
        <w:bidi w:val="0"/>
        <w:spacing w:before="0" w:after="200"/>
        <w:ind w:left="0" w:right="0" w:firstLine="1440"/>
        <w:jc w:val="both"/>
        <w:rPr>
          <w:sz w:val="20"/>
        </w:rPr>
      </w:pPr>
      <w:r>
        <w:rPr>
          <w:sz w:val="20"/>
        </w:rPr>
        <w:t>6.</w:t>
      </w:r>
      <w:r>
        <w:rPr>
          <w:caps w:val="false"/>
          <w:smallCaps w:val="false"/>
          <w:sz w:val="20"/>
        </w:rPr>
        <w:t xml:space="preserve">          </w:t>
      </w:r>
      <w:r>
        <w:rPr>
          <w:sz w:val="20"/>
          <w:u w:val="single"/>
        </w:rPr>
        <w:t>No Acquired Rights</w:t>
      </w:r>
      <w:r>
        <w:rPr>
          <w:sz w:val="20"/>
        </w:rPr>
        <w:t>.  The Participant acknowledges and accepts that the Board has the power to amend or terminate the Plan, to the extent permitted thereunder, at any time and that the opportunity given to the Participant to receive PPSUs is entirely at the discretion of the Committee and does not obligate the Company or any of its Affiliates to offer such participation in the future (whether on the same or different terms).  The Participant further acknowledges and accepts that such Participant's PPSUs are not to be considered part of any normal or expected compensation and that the termination of the Participant's employment under any circumstances whatsoever will give the Participant no claim or right of action against the Company or its Affiliates in respect of any loss of rights under this Agreement or the Plan that may arise as a result of such termination of employment.</w:t>
      </w:r>
    </w:p>
    <w:p>
      <w:pPr>
        <w:pStyle w:val="TextBody"/>
        <w:bidi w:val="0"/>
        <w:spacing w:before="0" w:after="0"/>
        <w:ind w:left="0" w:right="0" w:firstLine="1440"/>
        <w:jc w:val="both"/>
        <w:rPr>
          <w:sz w:val="20"/>
        </w:rPr>
      </w:pPr>
      <w:r>
        <w:rPr>
          <w:sz w:val="20"/>
        </w:rPr>
        <w:t>7.</w:t>
      </w:r>
      <w:r>
        <w:rPr>
          <w:caps w:val="false"/>
          <w:smallCaps w:val="false"/>
          <w:sz w:val="20"/>
        </w:rPr>
        <w:t xml:space="preserve">          </w:t>
      </w:r>
      <w:r>
        <w:rPr>
          <w:sz w:val="20"/>
          <w:u w:val="single"/>
        </w:rPr>
        <w:t>No Rights of a Shareholder</w:t>
      </w:r>
      <w:r>
        <w:rPr>
          <w:sz w:val="20"/>
        </w:rPr>
        <w:t>.  The Participant shall not have any rights or privileges as a shareholder of the Company in respect of the PPSUs granted hereunder.</w:t>
      </w:r>
    </w:p>
    <w:p>
      <w:pPr>
        <w:pStyle w:val="TextBody"/>
        <w:bidi w:val="0"/>
        <w:spacing w:before="0" w:after="0"/>
        <w:jc w:val="left"/>
        <w:rPr/>
      </w:pPr>
      <w:r>
        <w:rPr/>
        <w:t> </w:t>
      </w:r>
    </w:p>
    <w:p>
      <w:pPr>
        <w:pStyle w:val="TextBody"/>
        <w:bidi w:val="0"/>
        <w:spacing w:before="0" w:after="0"/>
        <w:jc w:val="center"/>
        <w:rPr>
          <w:sz w:val="20"/>
        </w:rPr>
      </w:pPr>
      <w:r>
        <w:rPr>
          <w:sz w:val="20"/>
        </w:rPr>
        <w:t>2</w:t>
      </w:r>
    </w:p>
    <w:p>
      <w:pPr>
        <w:pStyle w:val="HorizontalLine"/>
        <w:pBdr>
          <w:bottom w:val="double" w:sz="2" w:space="0" w:color="808080"/>
        </w:pBdr>
        <w:bidi w:val="0"/>
        <w:jc w:val="center"/>
        <w:rPr/>
      </w:pPr>
      <w:r>
        <w:rPr/>
      </w:r>
    </w:p>
    <w:p>
      <w:pPr>
        <w:pStyle w:val="Heading1"/>
        <w:bidi w:val="0"/>
        <w:spacing w:before="0" w:after="200"/>
        <w:ind w:left="0" w:right="0" w:firstLine="1440"/>
        <w:jc w:val="both"/>
        <w:rPr>
          <w:sz w:val="20"/>
        </w:rPr>
      </w:pPr>
      <w:r>
        <w:rPr>
          <w:b w:val="false"/>
          <w:sz w:val="20"/>
        </w:rPr>
        <w:t>8.</w:t>
      </w:r>
      <w:r>
        <w:rPr>
          <w:caps w:val="false"/>
          <w:smallCaps w:val="false"/>
          <w:sz w:val="20"/>
        </w:rPr>
        <w:t xml:space="preserve">          </w:t>
      </w:r>
      <w:r>
        <w:rPr>
          <w:b w:val="false"/>
          <w:sz w:val="20"/>
          <w:u w:val="single"/>
        </w:rPr>
        <w:t>Transferability</w:t>
      </w:r>
      <w:r>
        <w:rPr>
          <w:b w:val="false"/>
          <w:sz w:val="20"/>
        </w:rPr>
        <w:t xml:space="preserve">. </w:t>
      </w:r>
      <w:r>
        <w:rPr>
          <w:sz w:val="20"/>
        </w:rPr>
        <w:t> </w:t>
      </w:r>
      <w:r>
        <w:rPr>
          <w:b w:val="false"/>
          <w:sz w:val="20"/>
        </w:rPr>
        <w:t>PPSUs may not be assigned, alienated, pledged, attached, sold or otherwise transferred or encumbered by the Participant otherwise than by will or by the laws of descent and distribution, and any purported assignment, alienation, pledge, attachment, sale, transfer or encumbrance not permitted by this Section 8 shall be void and unenforceable against the Company or any Affiliate.</w:t>
      </w:r>
    </w:p>
    <w:p>
      <w:pPr>
        <w:pStyle w:val="TextBody"/>
        <w:bidi w:val="0"/>
        <w:spacing w:before="0" w:after="200"/>
        <w:ind w:left="0" w:right="0" w:firstLine="1440"/>
        <w:jc w:val="both"/>
        <w:rPr>
          <w:sz w:val="20"/>
        </w:rPr>
      </w:pPr>
      <w:r>
        <w:rPr>
          <w:sz w:val="20"/>
        </w:rPr>
        <w:t>9.</w:t>
      </w:r>
      <w:r>
        <w:rPr>
          <w:caps w:val="false"/>
          <w:smallCaps w:val="false"/>
          <w:sz w:val="20"/>
        </w:rPr>
        <w:t xml:space="preserve">          </w:t>
      </w:r>
      <w:r>
        <w:rPr>
          <w:sz w:val="20"/>
          <w:u w:val="single"/>
        </w:rPr>
        <w:t>Withholding</w:t>
      </w:r>
      <w:r>
        <w:rPr>
          <w:sz w:val="20"/>
        </w:rPr>
        <w:t xml:space="preserve">.  The Participant may be required to pay to the Company or any Affiliate and the Company or any Affiliate shall have the right and is hereby authorized to withhold from any transfer due under this Agreement or from any compensation or other amount owing to the Participant, applicable withholding taxes with respect to any transfer under this Agreement and to take such action as may be necessary in the opinion of the Company to satisfy all obligations for the payment of such taxes.  </w:t>
      </w:r>
    </w:p>
    <w:p>
      <w:pPr>
        <w:pStyle w:val="TextBody"/>
        <w:bidi w:val="0"/>
        <w:spacing w:before="0" w:after="200"/>
        <w:ind w:left="1440" w:right="0" w:hanging="0"/>
        <w:jc w:val="both"/>
        <w:rPr>
          <w:sz w:val="20"/>
        </w:rPr>
      </w:pPr>
      <w:r>
        <w:rPr>
          <w:b/>
          <w:sz w:val="20"/>
        </w:rPr>
        <w:t>10.</w:t>
      </w:r>
      <w:r>
        <w:rPr>
          <w:caps w:val="false"/>
          <w:smallCaps w:val="false"/>
          <w:sz w:val="20"/>
        </w:rPr>
        <w:t xml:space="preserve">       </w:t>
      </w:r>
      <w:r>
        <w:rPr>
          <w:b/>
          <w:sz w:val="20"/>
          <w:u w:val="single"/>
        </w:rPr>
        <w:t>Non-Solicitation Covenants</w:t>
      </w:r>
      <w:r>
        <w:rPr>
          <w:b/>
          <w:sz w:val="20"/>
        </w:rPr>
        <w:t>.</w:t>
      </w:r>
      <w:r>
        <w:rPr>
          <w:sz w:val="20"/>
        </w:rPr>
        <w:t xml:space="preserve">  </w:t>
      </w:r>
    </w:p>
    <w:p>
      <w:pPr>
        <w:pStyle w:val="TextBody"/>
        <w:bidi w:val="0"/>
        <w:spacing w:before="0" w:after="200"/>
        <w:ind w:left="0" w:right="0" w:firstLine="1890"/>
        <w:jc w:val="both"/>
        <w:rPr>
          <w:sz w:val="20"/>
        </w:rPr>
      </w:pPr>
      <w:r>
        <w:rPr>
          <w:b/>
          <w:sz w:val="20"/>
        </w:rPr>
        <w:t>(a)</w:t>
      </w:r>
      <w:r>
        <w:rPr>
          <w:caps w:val="false"/>
          <w:smallCaps w:val="false"/>
          <w:sz w:val="20"/>
        </w:rPr>
        <w:t xml:space="preserve">       </w:t>
      </w:r>
      <w:r>
        <w:rPr>
          <w:b/>
          <w:sz w:val="20"/>
        </w:rPr>
        <w:t>The Participant acknowledges and agrees that, during the Participant's employment with the Company and its Affiliates and upon the Participant's termination of Employment with the Company and its Affiliates for any reason, for a period commencing on the termination of such Employment and ending on the second anniversary of such termination, the Participant shall not, whether on Participant's own behalf or on behalf of or in conjunction with any person, company, business entity or other organization whatsoever, directly or indirectly:</w:t>
      </w:r>
    </w:p>
    <w:p>
      <w:pPr>
        <w:pStyle w:val="TextBody"/>
        <w:bidi w:val="0"/>
        <w:spacing w:before="0" w:after="200"/>
        <w:ind w:left="0" w:right="0" w:firstLine="2340"/>
        <w:jc w:val="both"/>
        <w:rPr>
          <w:sz w:val="20"/>
        </w:rPr>
      </w:pPr>
      <w:r>
        <w:rPr>
          <w:b/>
          <w:sz w:val="20"/>
        </w:rPr>
        <w:t>(i)</w:t>
      </w:r>
      <w:r>
        <w:rPr>
          <w:caps w:val="false"/>
          <w:smallCaps w:val="false"/>
          <w:sz w:val="20"/>
        </w:rPr>
        <w:t xml:space="preserve">            </w:t>
      </w:r>
      <w:r>
        <w:rPr>
          <w:b/>
          <w:sz w:val="20"/>
        </w:rPr>
        <w:t>solicit any employee of the Company or its Affiliates with whom the Participant had any contact during the last two years of the Participant's employment, or who worked in the same business segment or division as the Participant during that period to terminate employment with the Company or its Affiliates;</w:t>
      </w:r>
    </w:p>
    <w:p>
      <w:pPr>
        <w:pStyle w:val="TextBody"/>
        <w:bidi w:val="0"/>
        <w:spacing w:before="0" w:after="200"/>
        <w:ind w:left="0" w:right="0" w:firstLine="2340"/>
        <w:jc w:val="both"/>
        <w:rPr>
          <w:sz w:val="20"/>
        </w:rPr>
      </w:pPr>
      <w:r>
        <w:rPr>
          <w:b/>
          <w:sz w:val="20"/>
        </w:rPr>
        <w:t>(ii)</w:t>
      </w:r>
      <w:r>
        <w:rPr>
          <w:caps w:val="false"/>
          <w:smallCaps w:val="false"/>
          <w:sz w:val="20"/>
        </w:rPr>
        <w:t xml:space="preserve">          </w:t>
      </w:r>
      <w:r>
        <w:rPr>
          <w:b/>
          <w:sz w:val="20"/>
        </w:rPr>
        <w:t>solicit the employment or services of, or hire, any such employee whose employment with the Company or its Affiliates terminated coincident with, or within twelve (12) months prior to or after the termination of Participant's employment with the Company and its Affiliates;</w:t>
      </w:r>
    </w:p>
    <w:p>
      <w:pPr>
        <w:pStyle w:val="TextBody"/>
        <w:bidi w:val="0"/>
        <w:spacing w:before="0" w:after="200"/>
        <w:ind w:left="0" w:right="0" w:firstLine="2340"/>
        <w:jc w:val="both"/>
        <w:rPr>
          <w:sz w:val="20"/>
        </w:rPr>
      </w:pPr>
      <w:r>
        <w:rPr>
          <w:b/>
          <w:sz w:val="20"/>
        </w:rPr>
        <w:t>(iii)</w:t>
      </w:r>
      <w:r>
        <w:rPr>
          <w:caps w:val="false"/>
          <w:smallCaps w:val="false"/>
          <w:sz w:val="20"/>
        </w:rPr>
        <w:t xml:space="preserve">        </w:t>
      </w:r>
      <w:r>
        <w:rPr>
          <w:b/>
          <w:sz w:val="20"/>
        </w:rPr>
        <w:t>directly or indirectly, solicit to cease to work with the Company or its Affiliates any consultant then under contract with the Company or its Affiliates.</w:t>
      </w:r>
    </w:p>
    <w:p>
      <w:pPr>
        <w:pStyle w:val="TextBody"/>
        <w:bidi w:val="0"/>
        <w:spacing w:before="0" w:after="200"/>
        <w:ind w:left="0" w:right="0" w:firstLine="1890"/>
        <w:jc w:val="both"/>
        <w:rPr>
          <w:sz w:val="20"/>
        </w:rPr>
      </w:pPr>
      <w:r>
        <w:rPr>
          <w:b/>
          <w:sz w:val="20"/>
        </w:rPr>
        <w:t>(b)</w:t>
      </w:r>
      <w:r>
        <w:rPr>
          <w:caps w:val="false"/>
          <w:smallCaps w:val="false"/>
          <w:sz w:val="20"/>
        </w:rPr>
        <w:t xml:space="preserve">       </w:t>
      </w:r>
      <w:r>
        <w:rPr>
          <w:b/>
          <w:sz w:val="20"/>
        </w:rPr>
        <w:t>It is expressly understood and agreed that although the Participant and the Company consider the restrictions contained in this Section 10 to be reasonable, if a final judicial determination is made by a court of competent jurisdiction that the time or any other restriction contained in this Agreement is an unenforceable restriction against the Participant, the provisions of this Agreement shall not be rendered void but shall be deemed amended to apply as to such maximum time and terri</w:t>
        <w:softHyphen/>
        <w:t>tory and to such maximum extent as such court may judicially determine or indicate to be enforceable.</w:t>
      </w:r>
      <w:r>
        <w:rPr>
          <w:sz w:val="20"/>
        </w:rPr>
        <w:t xml:space="preserve">  </w:t>
      </w:r>
      <w:r>
        <w:rPr>
          <w:b/>
          <w:sz w:val="20"/>
        </w:rPr>
        <w:t>Alternatively, if any court of competent jurisdiction finds that any restric</w:t>
        <w:softHyphen/>
        <w:t>tion contained in this Agreement is unenforceable, and such restriction cannot be amended so as to make it enforceable, such finding shall not affect the enforceability of any of the other restrictions contained herein.</w:t>
      </w:r>
    </w:p>
    <w:p>
      <w:pPr>
        <w:pStyle w:val="TextBody"/>
        <w:bidi w:val="0"/>
        <w:spacing w:before="0" w:after="240"/>
        <w:ind w:left="0" w:right="0" w:firstLine="1440"/>
        <w:jc w:val="left"/>
        <w:rPr>
          <w:sz w:val="20"/>
        </w:rPr>
      </w:pPr>
      <w:r>
        <w:rPr>
          <w:b/>
          <w:sz w:val="20"/>
        </w:rPr>
        <w:t>11.</w:t>
      </w:r>
      <w:r>
        <w:rPr>
          <w:sz w:val="20"/>
        </w:rPr>
        <w:t xml:space="preserve">    </w:t>
      </w:r>
      <w:r>
        <w:rPr>
          <w:b/>
          <w:sz w:val="20"/>
          <w:u w:val="single"/>
        </w:rPr>
        <w:t>Specific Performance</w:t>
      </w:r>
      <w:r>
        <w:rPr>
          <w:b/>
          <w:sz w:val="20"/>
        </w:rPr>
        <w:t>.</w:t>
      </w:r>
      <w:r>
        <w:rPr>
          <w:sz w:val="20"/>
        </w:rPr>
        <w:t xml:space="preserve">  </w:t>
      </w:r>
      <w:r>
        <w:rPr>
          <w:b/>
          <w:sz w:val="20"/>
        </w:rPr>
        <w:t>The Participant acknowledges and agrees that the Company's remedies at law for a breach or threatened breach of any of the provisions of Section 10 would be inadequate and the Company would suffer irreparable damages as a result of such breach or threatened breach.</w:t>
      </w:r>
      <w:r>
        <w:rPr>
          <w:sz w:val="20"/>
        </w:rPr>
        <w:t xml:space="preserve">  </w:t>
      </w:r>
      <w:r>
        <w:rPr>
          <w:b/>
          <w:sz w:val="20"/>
        </w:rPr>
        <w:t>In recognition of this fact, the Participant agrees that, in the event of such a breach or threatened breach, in addition to any remedies at law, the Company, without posting any bond, shall be entitled to cease making any payments or providing any benefit otherwise required by this Agreement and obtain equitable relief in the form of specific performance, temporary restraining order, temporary or permanent injunction or any other equitable remedy which may then be available.</w:t>
      </w:r>
    </w:p>
    <w:p>
      <w:pPr>
        <w:pStyle w:val="TextBody"/>
        <w:bidi w:val="0"/>
        <w:spacing w:before="0" w:after="240"/>
        <w:ind w:left="0" w:right="0" w:firstLine="1440"/>
        <w:jc w:val="left"/>
        <w:rPr>
          <w:sz w:val="20"/>
        </w:rPr>
      </w:pPr>
      <w:r>
        <w:rPr>
          <w:b/>
          <w:sz w:val="20"/>
        </w:rPr>
        <w:t>12.</w:t>
      </w:r>
      <w:r>
        <w:rPr>
          <w:sz w:val="20"/>
        </w:rPr>
        <w:t xml:space="preserve">    </w:t>
      </w:r>
      <w:r>
        <w:rPr>
          <w:b/>
          <w:sz w:val="20"/>
          <w:u w:val="single"/>
        </w:rPr>
        <w:t>Choice of Law</w:t>
      </w:r>
      <w:r>
        <w:rPr>
          <w:b/>
          <w:sz w:val="20"/>
        </w:rPr>
        <w:t>.</w:t>
      </w:r>
      <w:r>
        <w:rPr>
          <w:sz w:val="20"/>
        </w:rPr>
        <w:t xml:space="preserve">  </w:t>
      </w:r>
      <w:r>
        <w:rPr>
          <w:b/>
          <w:sz w:val="20"/>
        </w:rPr>
        <w:t>THE INTERPRETATION, PERFORMANCE AND ENFORCEMENT OF THIS AGREEMENT SHALL BE GOVERNED BY THE LAWS OF THE STATE OF DELAWARE WITHOUT REGARD TO PRINCIPLES OF CONFLICTS OF LAW.</w:t>
      </w:r>
    </w:p>
    <w:p>
      <w:pPr>
        <w:pStyle w:val="TextBody"/>
        <w:bidi w:val="0"/>
        <w:spacing w:before="0" w:after="240"/>
        <w:ind w:left="0" w:right="0" w:firstLine="1440"/>
        <w:jc w:val="left"/>
        <w:rPr>
          <w:sz w:val="20"/>
        </w:rPr>
      </w:pPr>
      <w:r>
        <w:rPr>
          <w:sz w:val="20"/>
        </w:rPr>
        <w:t xml:space="preserve">13.    </w:t>
      </w:r>
      <w:r>
        <w:rPr>
          <w:sz w:val="20"/>
          <w:u w:val="single"/>
        </w:rPr>
        <w:t>Plan Terms.</w:t>
      </w:r>
      <w:r>
        <w:rPr>
          <w:sz w:val="20"/>
        </w:rPr>
        <w:t>  By entering into this Agreement, the Participant agrees and acknowledges that the Participant has received and read a copy of the Plan.</w:t>
      </w:r>
    </w:p>
    <w:p>
      <w:pPr>
        <w:pStyle w:val="TextBody"/>
        <w:bidi w:val="0"/>
        <w:spacing w:before="0" w:after="240"/>
        <w:ind w:left="0" w:right="0" w:firstLine="1440"/>
        <w:jc w:val="left"/>
        <w:rPr>
          <w:sz w:val="20"/>
        </w:rPr>
      </w:pPr>
      <w:r>
        <w:rPr>
          <w:sz w:val="20"/>
        </w:rPr>
        <w:t xml:space="preserve">14.    </w:t>
      </w:r>
      <w:r>
        <w:rPr>
          <w:sz w:val="20"/>
          <w:u w:val="single"/>
        </w:rPr>
        <w:t>Signature in Counterparts</w:t>
      </w:r>
      <w:r>
        <w:rPr>
          <w:sz w:val="20"/>
        </w:rPr>
        <w:t>.  This Agreement may be signed in counterparts, each of which shall be an original, with the same effect as if the signatures thereto and hereto were upon the same instrument.</w:t>
      </w:r>
    </w:p>
    <w:p>
      <w:pPr>
        <w:pStyle w:val="TextBody"/>
        <w:bidi w:val="0"/>
        <w:spacing w:before="0" w:after="240"/>
        <w:ind w:left="0" w:right="0" w:firstLine="1440"/>
        <w:jc w:val="left"/>
        <w:rPr>
          <w:sz w:val="20"/>
        </w:rPr>
      </w:pPr>
      <w:r>
        <w:rPr>
          <w:sz w:val="20"/>
        </w:rPr>
        <w:t xml:space="preserve">15.    </w:t>
      </w:r>
      <w:r>
        <w:rPr>
          <w:sz w:val="20"/>
          <w:u w:val="single"/>
        </w:rPr>
        <w:t>409A</w:t>
      </w:r>
      <w:r>
        <w:rPr>
          <w:sz w:val="20"/>
        </w:rPr>
        <w:t>.  Notwithstanding any other provisions of this Agreement or the Plan, the PPSUs covered by this Agreement shall not be deferred, accelerated, extended, paid out or modified in a manner that would result in the imposition of an additional tax under Section 409A of the Code upon the Participant.  In the event it is reasonably determined by the Committee that, as a result of Section 409A of the Code, any payments under this Agreement may not be made at the time contemplated hereunder without causing the Participant to be subject to taxation under Section 409A of the Code (including due to the Participant's status as a "specified employee" within the meaning of Section 409A of the Code), the Company will make such payment on the first day that would not result in the Participant incurring any tax liability under Section 409A of the Code.</w:t>
      </w:r>
    </w:p>
    <w:p>
      <w:pPr>
        <w:pStyle w:val="TextBody"/>
        <w:bidi w:val="0"/>
        <w:spacing w:before="0" w:after="0"/>
        <w:jc w:val="center"/>
        <w:rPr>
          <w:sz w:val="20"/>
        </w:rPr>
      </w:pPr>
      <w:r>
        <w:rPr>
          <w:sz w:val="20"/>
        </w:rPr>
        <w:t>3</w:t>
      </w:r>
    </w:p>
    <w:p>
      <w:pPr>
        <w:pStyle w:val="HorizontalLine"/>
        <w:pBdr>
          <w:bottom w:val="double" w:sz="2" w:space="0" w:color="808080"/>
        </w:pBdr>
        <w:bidi w:val="0"/>
        <w:jc w:val="center"/>
        <w:rPr/>
      </w:pPr>
      <w:r>
        <w:rPr/>
      </w:r>
    </w:p>
    <w:p>
      <w:pPr>
        <w:pStyle w:val="TextBody"/>
        <w:bidi w:val="0"/>
        <w:spacing w:before="0" w:after="0"/>
        <w:ind w:left="0" w:right="0" w:firstLine="1440"/>
        <w:jc w:val="left"/>
        <w:rPr>
          <w:sz w:val="20"/>
        </w:rPr>
      </w:pPr>
      <w:r>
        <w:rPr>
          <w:sz w:val="20"/>
        </w:rPr>
        <w:t>IN WITNESS WHEREOF, the parties hereto have executed this Agreement.</w:t>
      </w:r>
    </w:p>
    <w:p>
      <w:pPr>
        <w:pStyle w:val="TextBody"/>
        <w:bidi w:val="0"/>
        <w:spacing w:before="0" w:after="0"/>
        <w:jc w:val="left"/>
        <w:rPr/>
      </w:pPr>
      <w:r>
        <w:rPr/>
        <w:t> </w:t>
      </w:r>
    </w:p>
    <w:tbl>
      <w:tblPr>
        <w:tblW w:w="3019" w:type="dxa"/>
        <w:jc w:val="left"/>
        <w:tblInd w:w="0" w:type="dxa"/>
        <w:tblLayout w:type="fixed"/>
        <w:tblCellMar>
          <w:top w:w="0" w:type="dxa"/>
          <w:left w:w="0" w:type="dxa"/>
          <w:bottom w:w="0" w:type="dxa"/>
          <w:right w:w="0" w:type="dxa"/>
        </w:tblCellMar>
      </w:tblPr>
      <w:tblGrid>
        <w:gridCol w:w="75"/>
        <w:gridCol w:w="2285"/>
        <w:gridCol w:w="659"/>
      </w:tblGrid>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0" w:after="0"/>
              <w:jc w:val="left"/>
              <w:rPr>
                <w:sz w:val="20"/>
              </w:rPr>
            </w:pPr>
            <w:r>
              <w:rPr>
                <w:sz w:val="20"/>
              </w:rPr>
              <w:t>HOVNANIAN ENTERPRISES, INC.</w:t>
            </w:r>
          </w:p>
        </w:tc>
      </w:tr>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sz w:val="20"/>
              </w:rPr>
            </w:pPr>
            <w:r>
              <w:rPr>
                <w:sz w:val="20"/>
              </w:rPr>
              <w:t>By:</w:t>
            </w:r>
          </w:p>
        </w:tc>
        <w:tc>
          <w:tcPr>
            <w:tcW w:w="659" w:type="dxa"/>
            <w:tcBorders>
              <w:bottom w:val="single" w:sz="6" w:space="0" w:color="000000"/>
            </w:tcBorders>
            <w:tcMar>
              <w:bottom w:w="28" w:type="dxa"/>
            </w:tcMar>
            <w:vAlign w:val="center"/>
          </w:tcPr>
          <w:p>
            <w:pPr>
              <w:pStyle w:val="TableContents"/>
              <w:widowControl w:val="false"/>
              <w:bidi w:val="0"/>
              <w:spacing w:before="0" w:after="6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top w:val="single" w:sz="6" w:space="0" w:color="000000"/>
            </w:tcBorders>
            <w:tcMar>
              <w:top w:w="28" w:type="dxa"/>
            </w:tcMar>
            <w:vAlign w:val="center"/>
          </w:tcPr>
          <w:p>
            <w:pPr>
              <w:pStyle w:val="TableContents"/>
              <w:widowControl w:val="false"/>
              <w:bidi w:val="0"/>
              <w:spacing w:before="2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120" w:after="0"/>
              <w:jc w:val="left"/>
              <w:rPr>
                <w:sz w:val="20"/>
              </w:rPr>
            </w:pPr>
            <w:r>
              <w:rPr>
                <w:sz w:val="20"/>
              </w:rPr>
              <w:t>PARTICIPANT</w:t>
            </w:r>
            <w:r>
              <w:rPr>
                <w:sz w:val="13"/>
              </w:rPr>
              <w:t>1</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sz w:val="20"/>
              </w:rPr>
            </w:pPr>
            <w:r>
              <w:rPr>
                <w:sz w:val="20"/>
              </w:rPr>
              <w:t>By:</w:t>
            </w:r>
          </w:p>
        </w:tc>
        <w:tc>
          <w:tcPr>
            <w:tcW w:w="659"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top w:val="single" w:sz="6" w:space="0" w:color="000000"/>
            </w:tcBorders>
            <w:tcMar>
              <w:top w:w="28" w:type="dxa"/>
            </w:tcMar>
            <w:vAlign w:val="center"/>
          </w:tcPr>
          <w:p>
            <w:pPr>
              <w:pStyle w:val="TableContents"/>
              <w:widowControl w:val="false"/>
              <w:bidi w:val="0"/>
              <w:spacing w:before="2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28" w:type="dxa"/>
          <w:right w:w="0" w:type="dxa"/>
        </w:tblCellMar>
      </w:tblPr>
      <w:tblGrid>
        <w:gridCol w:w="164"/>
        <w:gridCol w:w="4457"/>
        <w:gridCol w:w="5584"/>
      </w:tblGrid>
      <w:tr>
        <w:trPr/>
        <w:tc>
          <w:tcPr>
            <w:tcW w:w="164" w:type="dxa"/>
            <w:tcBorders>
              <w:bottom w:val="single" w:sz="6" w:space="0" w:color="000000"/>
            </w:tcBorders>
            <w:vAlign w:val="center"/>
          </w:tcPr>
          <w:p>
            <w:pPr>
              <w:pStyle w:val="TableContents"/>
              <w:widowControl w:val="false"/>
              <w:bidi w:val="0"/>
              <w:spacing w:before="0" w:after="0"/>
              <w:jc w:val="left"/>
              <w:rPr/>
            </w:pPr>
            <w:r>
              <w:rPr/>
              <w:t> </w:t>
            </w:r>
          </w:p>
        </w:tc>
        <w:tc>
          <w:tcPr>
            <w:tcW w:w="4457" w:type="dxa"/>
            <w:tcBorders>
              <w:bottom w:val="single" w:sz="6" w:space="0" w:color="000000"/>
            </w:tcBorders>
            <w:vAlign w:val="center"/>
          </w:tcPr>
          <w:p>
            <w:pPr>
              <w:pStyle w:val="TableContents"/>
              <w:widowControl w:val="false"/>
              <w:bidi w:val="0"/>
              <w:spacing w:before="0" w:after="0"/>
              <w:jc w:val="left"/>
              <w:rPr/>
            </w:pPr>
            <w:r>
              <w:rPr/>
              <w:t> </w:t>
            </w:r>
          </w:p>
        </w:tc>
        <w:tc>
          <w:tcPr>
            <w:tcW w:w="5584" w:type="dxa"/>
            <w:tcBorders/>
            <w:tcMar>
              <w:bottom w:w="0" w:type="dxa"/>
            </w:tcMar>
            <w:vAlign w:val="center"/>
          </w:tcPr>
          <w:p>
            <w:pPr>
              <w:pStyle w:val="TableContents"/>
              <w:widowControl w:val="false"/>
              <w:bidi w:val="0"/>
              <w:spacing w:before="0" w:after="0"/>
              <w:jc w:val="left"/>
              <w:rPr/>
            </w:pPr>
            <w:r>
              <w:rPr/>
              <w:t> </w:t>
            </w:r>
          </w:p>
        </w:tc>
      </w:tr>
      <w:tr>
        <w:trPr/>
        <w:tc>
          <w:tcPr>
            <w:tcW w:w="164" w:type="dxa"/>
            <w:tcBorders/>
            <w:tcMar>
              <w:bottom w:w="0" w:type="dxa"/>
            </w:tcMar>
            <w:vAlign w:val="center"/>
          </w:tcPr>
          <w:p>
            <w:pPr>
              <w:pStyle w:val="TableContents"/>
              <w:widowControl w:val="false"/>
              <w:bidi w:val="0"/>
              <w:spacing w:before="80" w:after="0"/>
              <w:jc w:val="left"/>
              <w:rPr>
                <w:sz w:val="20"/>
              </w:rPr>
            </w:pPr>
            <w:r>
              <w:rPr>
                <w:sz w:val="20"/>
              </w:rPr>
              <w:t>1.</w:t>
            </w:r>
          </w:p>
        </w:tc>
        <w:tc>
          <w:tcPr>
            <w:tcW w:w="10041" w:type="dxa"/>
            <w:gridSpan w:val="2"/>
            <w:tcBorders/>
            <w:tcMar>
              <w:bottom w:w="0" w:type="dxa"/>
            </w:tcMar>
            <w:vAlign w:val="center"/>
          </w:tcPr>
          <w:p>
            <w:pPr>
              <w:pStyle w:val="TableContents"/>
              <w:widowControl w:val="false"/>
              <w:bidi w:val="0"/>
              <w:spacing w:before="80" w:after="0"/>
              <w:jc w:val="both"/>
              <w:rPr>
                <w:sz w:val="20"/>
              </w:rPr>
            </w:pPr>
            <w:r>
              <w:rPr>
                <w:sz w:val="20"/>
              </w:rPr>
              <w:t>To the extent that the Company has established, either itself or through a third-party plan administrator, the ability to accept this award electronically, such acceptance shall constitute the Participant’s signature hereof.</w:t>
            </w:r>
          </w:p>
        </w:tc>
      </w:tr>
    </w:tbl>
    <w:p>
      <w:pPr>
        <w:pStyle w:val="TextBody"/>
        <w:bidi w:val="0"/>
        <w:spacing w:before="0" w:after="0"/>
        <w:jc w:val="left"/>
        <w:rPr/>
      </w:pPr>
      <w:r>
        <w:rPr/>
        <w:t> </w:t>
      </w:r>
    </w:p>
    <w:p>
      <w:pPr>
        <w:pStyle w:val="TextBody"/>
        <w:bidi w:val="0"/>
        <w:spacing w:before="0" w:after="0"/>
        <w:jc w:val="center"/>
        <w:rPr>
          <w:sz w:val="20"/>
        </w:rPr>
      </w:pPr>
      <w:r>
        <w:rPr>
          <w:sz w:val="20"/>
        </w:rPr>
        <w:t>4</w:t>
      </w:r>
    </w:p>
    <w:p>
      <w:pPr>
        <w:pStyle w:val="HorizontalLine"/>
        <w:pBdr>
          <w:bottom w:val="double" w:sz="2" w:space="0" w:color="808080"/>
        </w:pBdr>
        <w:bidi w:val="0"/>
        <w:jc w:val="center"/>
        <w:rPr/>
      </w:pPr>
      <w:r>
        <w:rPr/>
      </w:r>
    </w:p>
    <w:p>
      <w:pPr>
        <w:pStyle w:val="TextBody"/>
        <w:bidi w:val="0"/>
        <w:spacing w:before="0" w:after="0"/>
        <w:jc w:val="center"/>
        <w:rPr>
          <w:b/>
          <w:sz w:val="20"/>
          <w:u w:val="single"/>
        </w:rPr>
      </w:pPr>
      <w:r>
        <w:rPr>
          <w:b/>
          <w:sz w:val="20"/>
          <w:u w:val="single"/>
        </w:rPr>
        <w:t>Exhibit A</w:t>
      </w:r>
    </w:p>
    <w:p>
      <w:pPr>
        <w:pStyle w:val="TextBody"/>
        <w:bidi w:val="0"/>
        <w:spacing w:before="0" w:after="0"/>
        <w:jc w:val="center"/>
        <w:rPr>
          <w:b/>
          <w:sz w:val="20"/>
        </w:rPr>
      </w:pPr>
      <w:r>
        <w:rPr>
          <w:b/>
          <w:sz w:val="20"/>
        </w:rPr>
        <w:t>[Insert Performance Metrics for Determining Earned PPSUs]</w:t>
      </w:r>
    </w:p>
    <w:p>
      <w:pPr>
        <w:pStyle w:val="TextBody"/>
        <w:bidi w:val="0"/>
        <w:spacing w:before="0" w:after="0"/>
        <w:jc w:val="left"/>
        <w:rPr/>
      </w:pPr>
      <w:r>
        <w:rPr/>
        <w:t> </w:t>
      </w:r>
    </w:p>
    <w:p>
      <w:pPr>
        <w:pStyle w:val="TextBody"/>
        <w:bidi w:val="0"/>
        <w:spacing w:before="0" w:after="0"/>
        <w:jc w:val="center"/>
        <w:rPr>
          <w:sz w:val="20"/>
        </w:rPr>
      </w:pPr>
      <w:r>
        <w:rPr>
          <w:sz w:val="20"/>
        </w:rPr>
        <w:t>5</w:t>
      </w:r>
    </w:p>
    <w:p>
      <w:pPr>
        <w:pStyle w:val="HorizontalLine"/>
        <w:pBdr>
          <w:bottom w:val="double" w:sz="2" w:space="0" w:color="808080"/>
        </w:pBdr>
        <w:bidi w:val="0"/>
        <w:jc w:val="center"/>
        <w:rPr/>
      </w:pPr>
      <w:r>
        <w:rPr/>
      </w:r>
    </w:p>
    <w:p>
      <w:pPr>
        <w:pStyle w:val="TextBody"/>
        <w:bidi w:val="0"/>
        <w:spacing w:before="0" w:after="0"/>
        <w:jc w:val="right"/>
        <w:rPr>
          <w:b/>
          <w:sz w:val="20"/>
        </w:rPr>
      </w:pPr>
      <w:bookmarkStart w:id="29" w:name="ex10F_6.htm"/>
      <w:bookmarkStart w:id="30" w:name="ksex10F_6"/>
      <w:bookmarkEnd w:id="29"/>
      <w:bookmarkEnd w:id="30"/>
      <w:r>
        <w:rPr>
          <w:b/>
          <w:sz w:val="20"/>
        </w:rPr>
        <w:t>Exhibit 10(f)</w:t>
      </w:r>
      <w:r>
        <w:br w:type="page"/>
      </w:r>
    </w:p>
    <w:p>
      <w:pPr>
        <w:pStyle w:val="TextBody"/>
        <w:bidi w:val="0"/>
        <w:spacing w:before="0" w:after="0"/>
        <w:jc w:val="left"/>
        <w:rPr/>
      </w:pPr>
      <w:r>
        <w:rPr/>
        <w:t> </w:t>
      </w:r>
    </w:p>
    <w:p>
      <w:pPr>
        <w:pStyle w:val="TextBody"/>
        <w:bidi w:val="0"/>
        <w:spacing w:before="0" w:after="0"/>
        <w:jc w:val="center"/>
        <w:rPr>
          <w:sz w:val="20"/>
        </w:rPr>
      </w:pPr>
      <w:r>
        <w:rPr>
          <w:b/>
          <w:sz w:val="20"/>
        </w:rPr>
        <w:t>HOVNANIAN ENTERPRISES, INC.</w:t>
      </w:r>
      <w:r>
        <w:rPr>
          <w:sz w:val="20"/>
        </w:rPr>
        <w:br/>
        <w:t> </w:t>
      </w:r>
    </w:p>
    <w:p>
      <w:pPr>
        <w:pStyle w:val="TextBody"/>
        <w:bidi w:val="0"/>
        <w:spacing w:before="0" w:after="0"/>
        <w:jc w:val="center"/>
        <w:rPr>
          <w:b/>
          <w:sz w:val="20"/>
        </w:rPr>
      </w:pPr>
      <w:r>
        <w:rPr>
          <w:b/>
          <w:sz w:val="20"/>
        </w:rPr>
        <w:t>PHANTOM PERFORMANCE SHARE UNIT AGREEMENT</w:t>
      </w:r>
    </w:p>
    <w:p>
      <w:pPr>
        <w:pStyle w:val="TextBody"/>
        <w:bidi w:val="0"/>
        <w:spacing w:before="0" w:after="0"/>
        <w:jc w:val="center"/>
        <w:rPr>
          <w:b/>
          <w:sz w:val="20"/>
        </w:rPr>
      </w:pPr>
      <w:r>
        <w:rPr>
          <w:b/>
          <w:sz w:val="20"/>
        </w:rPr>
        <w:t>(EBIT ROI Performance Vesting)</w:t>
      </w:r>
    </w:p>
    <w:p>
      <w:pPr>
        <w:pStyle w:val="TextBody"/>
        <w:bidi w:val="0"/>
        <w:spacing w:before="0" w:after="0"/>
        <w:jc w:val="left"/>
        <w:rPr/>
      </w:pPr>
      <w:r>
        <w:rPr/>
        <w:t> </w:t>
      </w:r>
    </w:p>
    <w:tbl>
      <w:tblPr>
        <w:tblW w:w="5348" w:type="dxa"/>
        <w:jc w:val="left"/>
        <w:tblInd w:w="0" w:type="dxa"/>
        <w:tblLayout w:type="fixed"/>
        <w:tblCellMar>
          <w:top w:w="0" w:type="dxa"/>
          <w:left w:w="0" w:type="dxa"/>
          <w:bottom w:w="0" w:type="dxa"/>
          <w:right w:w="0" w:type="dxa"/>
        </w:tblCellMar>
      </w:tblPr>
      <w:tblGrid>
        <w:gridCol w:w="2733"/>
        <w:gridCol w:w="76"/>
        <w:gridCol w:w="60"/>
        <w:gridCol w:w="2290"/>
        <w:gridCol w:w="114"/>
        <w:gridCol w:w="75"/>
      </w:tblGrid>
      <w:tr>
        <w:trPr/>
        <w:tc>
          <w:tcPr>
            <w:tcW w:w="2733" w:type="dxa"/>
            <w:tcBorders/>
            <w:vAlign w:val="center"/>
          </w:tcPr>
          <w:p>
            <w:pPr>
              <w:pStyle w:val="TableContents"/>
              <w:widowControl w:val="false"/>
              <w:bidi w:val="0"/>
              <w:spacing w:before="0" w:after="0"/>
              <w:jc w:val="left"/>
              <w:rPr>
                <w:i/>
                <w:sz w:val="20"/>
              </w:rPr>
            </w:pPr>
            <w:r>
              <w:rPr>
                <w:i/>
                <w:sz w:val="20"/>
              </w:rPr>
              <w:t>Participant:</w:t>
            </w:r>
          </w:p>
        </w:tc>
        <w:tc>
          <w:tcPr>
            <w:tcW w:w="76"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290" w:type="dxa"/>
            <w:tcBorders/>
            <w:vAlign w:val="center"/>
          </w:tcPr>
          <w:p>
            <w:pPr>
              <w:pStyle w:val="TableContents"/>
              <w:widowControl w:val="false"/>
              <w:bidi w:val="0"/>
              <w:spacing w:before="0" w:after="0"/>
              <w:jc w:val="left"/>
              <w:rPr>
                <w:i/>
                <w:sz w:val="20"/>
              </w:rPr>
            </w:pPr>
            <w:r>
              <w:rPr>
                <w:i/>
                <w:sz w:val="20"/>
              </w:rPr>
              <w:t>Date of Grant:</w:t>
            </w:r>
          </w:p>
        </w:tc>
        <w:tc>
          <w:tcPr>
            <w:tcW w:w="11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33"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76"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290"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114"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33"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76"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290"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114"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33" w:type="dxa"/>
            <w:tcBorders/>
            <w:vAlign w:val="center"/>
          </w:tcPr>
          <w:p>
            <w:pPr>
              <w:pStyle w:val="TableContents"/>
              <w:widowControl w:val="false"/>
              <w:bidi w:val="0"/>
              <w:spacing w:before="0" w:after="0"/>
              <w:jc w:val="left"/>
              <w:rPr/>
            </w:pPr>
            <w:r>
              <w:rPr/>
              <w:t> </w:t>
            </w:r>
          </w:p>
        </w:tc>
        <w:tc>
          <w:tcPr>
            <w:tcW w:w="76"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290" w:type="dxa"/>
            <w:tcBorders/>
            <w:vAlign w:val="center"/>
          </w:tcPr>
          <w:p>
            <w:pPr>
              <w:pStyle w:val="TableContents"/>
              <w:widowControl w:val="false"/>
              <w:bidi w:val="0"/>
              <w:spacing w:before="0" w:after="0"/>
              <w:jc w:val="left"/>
              <w:rPr/>
            </w:pPr>
            <w:r>
              <w:rPr/>
              <w:t> </w:t>
            </w:r>
          </w:p>
        </w:tc>
        <w:tc>
          <w:tcPr>
            <w:tcW w:w="11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33" w:type="dxa"/>
            <w:tcBorders/>
            <w:vAlign w:val="center"/>
          </w:tcPr>
          <w:p>
            <w:pPr>
              <w:pStyle w:val="TableContents"/>
              <w:widowControl w:val="false"/>
              <w:bidi w:val="0"/>
              <w:spacing w:before="0" w:after="0"/>
              <w:jc w:val="left"/>
              <w:rPr>
                <w:i/>
                <w:sz w:val="20"/>
              </w:rPr>
            </w:pPr>
            <w:r>
              <w:rPr>
                <w:i/>
                <w:sz w:val="20"/>
              </w:rPr>
              <w:t>Target Number of PPSUs:</w:t>
            </w:r>
          </w:p>
        </w:tc>
        <w:tc>
          <w:tcPr>
            <w:tcW w:w="76"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60"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2290" w:type="dxa"/>
            <w:tcBorders/>
            <w:vAlign w:val="center"/>
          </w:tcPr>
          <w:p>
            <w:pPr>
              <w:pStyle w:val="TableContents"/>
              <w:widowControl w:val="false"/>
              <w:bidi w:val="0"/>
              <w:spacing w:before="0" w:after="0"/>
              <w:jc w:val="left"/>
              <w:rPr/>
            </w:pPr>
            <w:r>
              <w:rPr/>
              <w:t> </w:t>
            </w:r>
          </w:p>
        </w:tc>
        <w:tc>
          <w:tcPr>
            <w:tcW w:w="11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33" w:type="dxa"/>
            <w:tcBorders/>
            <w:vAlign w:val="center"/>
          </w:tcPr>
          <w:p>
            <w:pPr>
              <w:pStyle w:val="TableContents"/>
              <w:widowControl w:val="false"/>
              <w:bidi w:val="0"/>
              <w:spacing w:before="0" w:after="0"/>
              <w:jc w:val="left"/>
              <w:rPr/>
            </w:pPr>
            <w:r>
              <w:rPr/>
              <w:t> </w:t>
            </w:r>
          </w:p>
        </w:tc>
        <w:tc>
          <w:tcPr>
            <w:tcW w:w="76"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60"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2290" w:type="dxa"/>
            <w:tcBorders/>
            <w:vAlign w:val="center"/>
          </w:tcPr>
          <w:p>
            <w:pPr>
              <w:pStyle w:val="TableContents"/>
              <w:widowControl w:val="false"/>
              <w:bidi w:val="0"/>
              <w:spacing w:before="0" w:after="0"/>
              <w:jc w:val="left"/>
              <w:rPr/>
            </w:pPr>
            <w:r>
              <w:rPr/>
              <w:t> </w:t>
            </w:r>
          </w:p>
        </w:tc>
        <w:tc>
          <w:tcPr>
            <w:tcW w:w="11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33" w:type="dxa"/>
            <w:tcBorders/>
            <w:vAlign w:val="center"/>
          </w:tcPr>
          <w:p>
            <w:pPr>
              <w:pStyle w:val="TableContents"/>
              <w:widowControl w:val="false"/>
              <w:bidi w:val="0"/>
              <w:spacing w:before="0" w:after="0"/>
              <w:jc w:val="left"/>
              <w:rPr/>
            </w:pPr>
            <w:r>
              <w:rPr/>
              <w:t> </w:t>
            </w:r>
          </w:p>
        </w:tc>
        <w:tc>
          <w:tcPr>
            <w:tcW w:w="76"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290" w:type="dxa"/>
            <w:tcBorders/>
            <w:vAlign w:val="center"/>
          </w:tcPr>
          <w:p>
            <w:pPr>
              <w:pStyle w:val="TableContents"/>
              <w:widowControl w:val="false"/>
              <w:bidi w:val="0"/>
              <w:spacing w:before="0" w:after="0"/>
              <w:jc w:val="left"/>
              <w:rPr/>
            </w:pPr>
            <w:r>
              <w:rPr/>
              <w:t> </w:t>
            </w:r>
          </w:p>
        </w:tc>
        <w:tc>
          <w:tcPr>
            <w:tcW w:w="11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809" w:type="dxa"/>
            <w:gridSpan w:val="2"/>
            <w:tcBorders/>
            <w:vAlign w:val="center"/>
          </w:tcPr>
          <w:p>
            <w:pPr>
              <w:pStyle w:val="TableContents"/>
              <w:widowControl w:val="false"/>
              <w:bidi w:val="0"/>
              <w:spacing w:before="0" w:after="0"/>
              <w:jc w:val="left"/>
              <w:rPr>
                <w:i/>
                <w:sz w:val="20"/>
              </w:rPr>
            </w:pPr>
            <w:r>
              <w:rPr>
                <w:i/>
                <w:sz w:val="20"/>
              </w:rPr>
              <w:t>Date of Vesting of Earned PPSUs:</w:t>
            </w:r>
          </w:p>
        </w:tc>
        <w:tc>
          <w:tcPr>
            <w:tcW w:w="60" w:type="dxa"/>
            <w:tcBorders/>
            <w:vAlign w:val="center"/>
          </w:tcPr>
          <w:p>
            <w:pPr>
              <w:pStyle w:val="TableContents"/>
              <w:widowControl w:val="false"/>
              <w:bidi w:val="0"/>
              <w:spacing w:before="0" w:after="0"/>
              <w:jc w:val="left"/>
              <w:rPr/>
            </w:pPr>
            <w:r>
              <w:rPr/>
              <w:t> </w:t>
            </w:r>
          </w:p>
        </w:tc>
        <w:tc>
          <w:tcPr>
            <w:tcW w:w="2290" w:type="dxa"/>
            <w:tcBorders/>
            <w:vAlign w:val="center"/>
          </w:tcPr>
          <w:p>
            <w:pPr>
              <w:pStyle w:val="TableContents"/>
              <w:widowControl w:val="false"/>
              <w:bidi w:val="0"/>
              <w:spacing w:before="0" w:after="0"/>
              <w:jc w:val="left"/>
              <w:rPr/>
            </w:pPr>
            <w:r>
              <w:rPr/>
              <w:t> </w:t>
            </w:r>
          </w:p>
        </w:tc>
        <w:tc>
          <w:tcPr>
            <w:tcW w:w="11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33" w:type="dxa"/>
            <w:tcBorders/>
            <w:vAlign w:val="center"/>
          </w:tcPr>
          <w:p>
            <w:pPr>
              <w:pStyle w:val="TableContents"/>
              <w:widowControl w:val="false"/>
              <w:bidi w:val="0"/>
              <w:spacing w:before="0" w:after="0"/>
              <w:jc w:val="left"/>
              <w:rPr/>
            </w:pPr>
            <w:r>
              <w:rPr/>
              <w:t> </w:t>
            </w:r>
          </w:p>
        </w:tc>
        <w:tc>
          <w:tcPr>
            <w:tcW w:w="76"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290" w:type="dxa"/>
            <w:tcBorders/>
            <w:vAlign w:val="center"/>
          </w:tcPr>
          <w:p>
            <w:pPr>
              <w:pStyle w:val="TableContents"/>
              <w:widowControl w:val="false"/>
              <w:bidi w:val="0"/>
              <w:spacing w:before="0" w:after="0"/>
              <w:jc w:val="left"/>
              <w:rPr/>
            </w:pPr>
            <w:r>
              <w:rPr/>
              <w:t> </w:t>
            </w:r>
          </w:p>
        </w:tc>
        <w:tc>
          <w:tcPr>
            <w:tcW w:w="11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33" w:type="dxa"/>
            <w:tcBorders/>
            <w:vAlign w:val="center"/>
          </w:tcPr>
          <w:p>
            <w:pPr>
              <w:pStyle w:val="TableContents"/>
              <w:widowControl w:val="false"/>
              <w:bidi w:val="0"/>
              <w:spacing w:before="0" w:after="0"/>
              <w:jc w:val="left"/>
              <w:rPr>
                <w:i/>
                <w:sz w:val="20"/>
                <w:u w:val="single"/>
              </w:rPr>
            </w:pPr>
            <w:r>
              <w:rPr>
                <w:i/>
                <w:sz w:val="20"/>
                <w:u w:val="single"/>
              </w:rPr>
              <w:t>Date</w:t>
            </w:r>
          </w:p>
        </w:tc>
        <w:tc>
          <w:tcPr>
            <w:tcW w:w="76"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404" w:type="dxa"/>
            <w:gridSpan w:val="2"/>
            <w:tcBorders/>
            <w:vAlign w:val="center"/>
          </w:tcPr>
          <w:p>
            <w:pPr>
              <w:pStyle w:val="TableContents"/>
              <w:widowControl w:val="false"/>
              <w:bidi w:val="0"/>
              <w:spacing w:before="0" w:after="0"/>
              <w:jc w:val="left"/>
              <w:rPr>
                <w:i/>
                <w:sz w:val="20"/>
                <w:u w:val="single"/>
              </w:rPr>
            </w:pPr>
            <w:r>
              <w:rPr>
                <w:i/>
                <w:sz w:val="20"/>
                <w:u w:val="single"/>
              </w:rPr>
              <w:t>Percentage of Earned PPSUs</w:t>
            </w:r>
          </w:p>
        </w:tc>
        <w:tc>
          <w:tcPr>
            <w:tcW w:w="75" w:type="dxa"/>
            <w:tcBorders/>
            <w:vAlign w:val="center"/>
          </w:tcPr>
          <w:p>
            <w:pPr>
              <w:pStyle w:val="TableContents"/>
              <w:widowControl w:val="false"/>
              <w:bidi w:val="0"/>
              <w:spacing w:before="0" w:after="0"/>
              <w:jc w:val="left"/>
              <w:rPr/>
            </w:pPr>
            <w:r>
              <w:rPr/>
              <w:t> </w:t>
            </w:r>
          </w:p>
        </w:tc>
      </w:tr>
      <w:tr>
        <w:trPr/>
        <w:tc>
          <w:tcPr>
            <w:tcW w:w="2733" w:type="dxa"/>
            <w:tcBorders/>
            <w:vAlign w:val="center"/>
          </w:tcPr>
          <w:p>
            <w:pPr>
              <w:pStyle w:val="TableContents"/>
              <w:widowControl w:val="false"/>
              <w:bidi w:val="0"/>
              <w:spacing w:before="0" w:after="0"/>
              <w:jc w:val="left"/>
              <w:rPr/>
            </w:pPr>
            <w:r>
              <w:rPr/>
              <w:t> </w:t>
            </w:r>
          </w:p>
        </w:tc>
        <w:tc>
          <w:tcPr>
            <w:tcW w:w="76"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290" w:type="dxa"/>
            <w:tcBorders/>
            <w:vAlign w:val="center"/>
          </w:tcPr>
          <w:p>
            <w:pPr>
              <w:pStyle w:val="TableContents"/>
              <w:widowControl w:val="false"/>
              <w:bidi w:val="0"/>
              <w:spacing w:before="0" w:after="0"/>
              <w:jc w:val="left"/>
              <w:rPr/>
            </w:pPr>
            <w:r>
              <w:rPr/>
              <w:t> </w:t>
            </w:r>
          </w:p>
        </w:tc>
        <w:tc>
          <w:tcPr>
            <w:tcW w:w="11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33" w:type="dxa"/>
            <w:tcBorders>
              <w:bottom w:val="single" w:sz="6" w:space="0" w:color="000000"/>
            </w:tcBorders>
            <w:tcMar>
              <w:bottom w:w="28" w:type="dxa"/>
            </w:tcMar>
            <w:vAlign w:val="center"/>
          </w:tcPr>
          <w:p>
            <w:pPr>
              <w:pStyle w:val="TableContents"/>
              <w:widowControl w:val="false"/>
              <w:bidi w:val="0"/>
              <w:spacing w:before="0" w:after="0"/>
              <w:jc w:val="center"/>
              <w:rPr>
                <w:sz w:val="20"/>
              </w:rPr>
            </w:pPr>
            <w:r>
              <w:rPr>
                <w:sz w:val="20"/>
              </w:rPr>
              <w:t>[Date]</w:t>
            </w:r>
          </w:p>
        </w:tc>
        <w:tc>
          <w:tcPr>
            <w:tcW w:w="76"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2290" w:type="dxa"/>
            <w:tcBorders>
              <w:bottom w:val="single" w:sz="6" w:space="0" w:color="000000"/>
            </w:tcBorders>
            <w:tcMar>
              <w:bottom w:w="28" w:type="dxa"/>
            </w:tcMar>
            <w:vAlign w:val="center"/>
          </w:tcPr>
          <w:p>
            <w:pPr>
              <w:pStyle w:val="TableContents"/>
              <w:widowControl w:val="false"/>
              <w:bidi w:val="0"/>
              <w:spacing w:before="0" w:after="0"/>
              <w:jc w:val="center"/>
              <w:rPr>
                <w:sz w:val="20"/>
              </w:rPr>
            </w:pPr>
            <w:r>
              <w:rPr>
                <w:sz w:val="20"/>
              </w:rPr>
              <w:t>100%</w:t>
            </w:r>
          </w:p>
        </w:tc>
        <w:tc>
          <w:tcPr>
            <w:tcW w:w="11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bl>
    <w:p>
      <w:pPr>
        <w:pStyle w:val="TextBody"/>
        <w:bidi w:val="0"/>
        <w:spacing w:before="0" w:after="0"/>
        <w:jc w:val="left"/>
        <w:rPr/>
      </w:pPr>
      <w:r>
        <w:rPr/>
        <w:t> </w:t>
      </w:r>
    </w:p>
    <w:p>
      <w:pPr>
        <w:pStyle w:val="Heading1"/>
        <w:bidi w:val="0"/>
        <w:spacing w:before="0" w:after="200"/>
        <w:ind w:left="0" w:right="0" w:firstLine="1440"/>
        <w:jc w:val="both"/>
        <w:rPr>
          <w:sz w:val="20"/>
        </w:rPr>
      </w:pPr>
      <w:r>
        <w:rPr>
          <w:b w:val="false"/>
          <w:sz w:val="20"/>
        </w:rPr>
        <w:t>1.</w:t>
      </w:r>
      <w:r>
        <w:rPr>
          <w:caps w:val="false"/>
          <w:smallCaps w:val="false"/>
          <w:sz w:val="20"/>
        </w:rPr>
        <w:t xml:space="preserve">          </w:t>
      </w:r>
      <w:r>
        <w:rPr>
          <w:b w:val="false"/>
          <w:sz w:val="20"/>
          <w:u w:val="single"/>
        </w:rPr>
        <w:t>Grant of PPSUs</w:t>
      </w:r>
      <w:r>
        <w:rPr>
          <w:b w:val="false"/>
          <w:sz w:val="20"/>
        </w:rPr>
        <w:t>.</w:t>
      </w:r>
      <w:r>
        <w:rPr>
          <w:sz w:val="20"/>
        </w:rPr>
        <w:t xml:space="preserve">  </w:t>
      </w:r>
      <w:r>
        <w:rPr>
          <w:b w:val="false"/>
          <w:sz w:val="20"/>
        </w:rPr>
        <w:t>For valuable consideration, receipt of which is hereby acknowledged, Hovnanian Enterprises, Inc., a Delaware Corporation (the "Company"), hereby grants the target number (“Target Number”) of phantom performance share units ("PPSUs") listed above to the Participant, on the terms and conditions hereinafter set forth.</w:t>
      </w:r>
      <w:r>
        <w:rPr>
          <w:sz w:val="20"/>
        </w:rPr>
        <w:t xml:space="preserve">  </w:t>
      </w:r>
      <w:r>
        <w:rPr>
          <w:b w:val="false"/>
          <w:sz w:val="20"/>
        </w:rPr>
        <w:t>The PPSUs granted hereunder is made as a standalone award, separate and apart from, and outside of, the 2020 Company Fourth Amended and Restated Stock Incentive Plan, as amended (the "Plan"), and shall not constitute an Award granted under or pursuant to that Plan. Notwithstanding the foregoing, the terms, conditions, and definitions set forth in the Plan shall apply to the PPSUs as though the PPSUs had been granted under the Plan (including but not limited to the adjustment provision contained in the Plan), and the PPSUs shall be subject to such terms, conditions and definitions which are hereby incorporated herein by reference and made a part hereof. Notwithstanding the foregoing, the PPSUs shall not be counted for purposes of calculating the aggregate number of shares that may be issued or transferred pursuant to Awards under the Plan or for purposes of calculating the Award limitations under the Plan (including pursuant to Section 3 of the Plan). The actual number of PPSUs, if any, that the Participant will be eligible to earn with respect to this Agreement (the “Earned PPSUs”), subject to meeting the applicable service and performance vesting requirements, will equal the Target Number multiplied by the applicable “Performance Multiplier” as defined in Exhibit A hereto.</w:t>
      </w:r>
      <w:r>
        <w:rPr>
          <w:sz w:val="20"/>
        </w:rPr>
        <w:t xml:space="preserve">  </w:t>
      </w:r>
      <w:r>
        <w:rPr>
          <w:b w:val="false"/>
          <w:sz w:val="20"/>
        </w:rPr>
        <w:t>Each Earned PPSU represents the unfunded, unsecured right of the Participant to receive a cash payment equal to the Fair Market Value of a Share on the date(s) specified herein.</w:t>
      </w:r>
      <w:r>
        <w:rPr>
          <w:sz w:val="20"/>
        </w:rPr>
        <w:t xml:space="preserve">  </w:t>
      </w:r>
      <w:r>
        <w:rPr>
          <w:b w:val="false"/>
          <w:sz w:val="20"/>
        </w:rPr>
        <w:t>Capitalized terms not otherwise defined herein shall have the same meanings as in the Plan.</w:t>
      </w:r>
    </w:p>
    <w:p>
      <w:pPr>
        <w:pStyle w:val="TextBody"/>
        <w:bidi w:val="0"/>
        <w:spacing w:before="0" w:after="200"/>
        <w:ind w:left="0" w:right="0" w:firstLine="1440"/>
        <w:jc w:val="both"/>
        <w:rPr>
          <w:sz w:val="20"/>
        </w:rPr>
      </w:pPr>
      <w:r>
        <w:rPr>
          <w:sz w:val="20"/>
        </w:rPr>
        <w:t>2.</w:t>
      </w:r>
      <w:r>
        <w:rPr>
          <w:caps w:val="false"/>
          <w:smallCaps w:val="false"/>
          <w:sz w:val="20"/>
        </w:rPr>
        <w:t xml:space="preserve">          </w:t>
      </w:r>
      <w:r>
        <w:rPr>
          <w:sz w:val="20"/>
          <w:u w:val="single"/>
        </w:rPr>
        <w:t>Vesting and Timing of Transfer</w:t>
      </w:r>
      <w:r>
        <w:rPr>
          <w:sz w:val="20"/>
        </w:rPr>
        <w:t>.</w:t>
      </w:r>
    </w:p>
    <w:p>
      <w:pPr>
        <w:pStyle w:val="TextBody"/>
        <w:bidi w:val="0"/>
        <w:spacing w:before="0" w:after="200"/>
        <w:ind w:left="0" w:right="0" w:firstLine="1890"/>
        <w:jc w:val="both"/>
        <w:rPr>
          <w:sz w:val="20"/>
        </w:rPr>
      </w:pPr>
      <w:r>
        <w:rPr>
          <w:sz w:val="20"/>
        </w:rPr>
        <w:t>(a)</w:t>
      </w:r>
      <w:r>
        <w:rPr>
          <w:caps w:val="false"/>
          <w:smallCaps w:val="false"/>
          <w:sz w:val="20"/>
        </w:rPr>
        <w:t xml:space="preserve">        </w:t>
      </w:r>
      <w:r>
        <w:rPr>
          <w:sz w:val="20"/>
        </w:rPr>
        <w:t xml:space="preserve">The Participant will become vested in the Earned PPSUs in accordance with the schedule set forth above (each such vesting date, a “Vesting Date”); </w:t>
      </w:r>
      <w:r>
        <w:rPr>
          <w:sz w:val="20"/>
          <w:u w:val="single"/>
        </w:rPr>
        <w:t>provided</w:t>
      </w:r>
      <w:r>
        <w:rPr>
          <w:sz w:val="20"/>
        </w:rPr>
        <w:t xml:space="preserve">, </w:t>
      </w:r>
      <w:r>
        <w:rPr>
          <w:sz w:val="20"/>
          <w:u w:val="single"/>
        </w:rPr>
        <w:t>however</w:t>
      </w:r>
      <w:r>
        <w:rPr>
          <w:sz w:val="20"/>
        </w:rPr>
        <w:t xml:space="preserve">, that upon the occurrence of a Change in Control that results in the Company's Shares ceasing to be publicly traded on a national securities exchange, the Earned PPSUs shall immediately become fully vested (subject to any delay in payment required pursuant to Sections 2(b) and 15 hereof). </w:t>
      </w:r>
    </w:p>
    <w:p>
      <w:pPr>
        <w:pStyle w:val="TextBody"/>
        <w:bidi w:val="0"/>
        <w:spacing w:before="0" w:after="200"/>
        <w:ind w:left="0" w:right="0" w:firstLine="1890"/>
        <w:jc w:val="both"/>
        <w:rPr>
          <w:sz w:val="20"/>
        </w:rPr>
      </w:pPr>
      <w:r>
        <w:rPr>
          <w:sz w:val="20"/>
        </w:rPr>
        <w:t>(b)</w:t>
      </w:r>
      <w:r>
        <w:rPr>
          <w:caps w:val="false"/>
          <w:smallCaps w:val="false"/>
          <w:sz w:val="20"/>
        </w:rPr>
        <w:t xml:space="preserve">       </w:t>
      </w:r>
      <w:r>
        <w:rPr>
          <w:sz w:val="20"/>
        </w:rPr>
        <w:t>The Company shall pay to the Participant, as soon as practicable but not later than 60 days after an applicable “Payment Date” (as defined below), a cash amount equal to the Fair Market Value (calculated as of such Payment Date) of a number of Class A Shares equal to the number of Earned PPSUs that became vested on the corresponding Vesting Date.  If the Participant is eligible to participate in, and has elected to defer the payment in respect of Earned PPSUs pursuant to the terms of a nonqualified deferred compensation plan maintained by the Company, such payment shall be so deferred, and any such deferral, when paid, shall be paid in cash.  Once the value of the Earned PPSUs is deferred, the rights and privileges of the Participant with respect to such PPSUs shall be determined solely pursuant to the terms of the applicable plan, and not pursuant to the terms and conditions of this Agreement.  For purposes of this Agreement, the “Payment Date” shall mean the earlier of (i) the Vesting Date or (ii) the date of the Participant’s Qualified Termination, as defined below, if applicable (or, if later, the last day of the Performance Period as set forth in Exhibit A).</w:t>
      </w:r>
    </w:p>
    <w:p>
      <w:pPr>
        <w:pStyle w:val="TextBody"/>
        <w:bidi w:val="0"/>
        <w:spacing w:before="0" w:after="0"/>
        <w:ind w:left="0" w:right="0" w:firstLine="1890"/>
        <w:jc w:val="both"/>
        <w:rPr>
          <w:sz w:val="20"/>
        </w:rPr>
      </w:pPr>
      <w:r>
        <w:rPr>
          <w:sz w:val="20"/>
        </w:rPr>
        <w:t>(c)</w:t>
      </w:r>
      <w:r>
        <w:rPr>
          <w:caps w:val="false"/>
          <w:smallCaps w:val="false"/>
          <w:sz w:val="20"/>
        </w:rPr>
        <w:t xml:space="preserve">        </w:t>
      </w:r>
      <w:r>
        <w:rPr>
          <w:sz w:val="20"/>
        </w:rPr>
        <w:t xml:space="preserve">Notwithstanding Sections 2(a) and 2(b) of this Agreement, if the Participant's employment with the Company and its Affiliates terminates due to (i) death, (ii) Disability or (iii) Retirement, (any such termination, a “Qualified Termination”), then (A) any previously unvested Earned PPSUs shall become fully vested, (B) if such Qualified Termination occurs prior to the determination of the number of Earned PPSUs in accordance with Exhibit A hereto, the PPSUs granted hereunder shall remaining outstanding and eligible to become Earned PPSUs in accordance with such Exhibit A and (C) the cash payment in respect of the Shares underlying all of the Participant’s Earned PPSUs, if any, shall be paid to the Participant as soon as practicable but not later than 60 days after the corresponding Payment Date(s) subject to Section 15 of this Agreement.  In the event of the death of the Participant, the payment in respect of Earned PPSUs under this Section 2(c) shall be made in accordance with the beneficiary designation form on file with the Company; </w:t>
      </w:r>
      <w:r>
        <w:rPr>
          <w:sz w:val="20"/>
          <w:u w:val="single"/>
        </w:rPr>
        <w:t>provided</w:t>
      </w:r>
      <w:r>
        <w:rPr>
          <w:sz w:val="20"/>
        </w:rPr>
        <w:t xml:space="preserve">, </w:t>
      </w:r>
      <w:r>
        <w:rPr>
          <w:sz w:val="20"/>
          <w:u w:val="single"/>
        </w:rPr>
        <w:t>however</w:t>
      </w:r>
      <w:r>
        <w:rPr>
          <w:sz w:val="20"/>
        </w:rPr>
        <w:t>, that, in the absence of any such beneficiary designation form, the payment under this Section 2(c) shall be made to the person or persons to whom the Participant's rights under the Agreement shall pass by will or by the applicable laws of descent and distribution.  For purposes of this Agreement, "Disability" shall mean "Disability" as defined in the Plan, and "Retirement" shall mean termination of employment on or after age 60, or on or after age 58 with at least 15 years of "Service" to the Company and its Subsidiaries immediately preceding such termination of employment.  For this purpose, "Service" means the period of employment immediately preceding Retirement, plus any prior periods of employment with the Company and its Subsidiaries of one or more years' duration, unless they were succeeded by a period of non-employment with the Company and its Subsidiaries of more than three years' duration.</w:t>
      </w:r>
    </w:p>
    <w:p>
      <w:pPr>
        <w:pStyle w:val="TextBody"/>
        <w:bidi w:val="0"/>
        <w:spacing w:before="0" w:after="0"/>
        <w:jc w:val="left"/>
        <w:rPr/>
      </w:pPr>
      <w:r>
        <w:rPr/>
        <w:t> </w:t>
      </w:r>
    </w:p>
    <w:p>
      <w:pPr>
        <w:pStyle w:val="TextBody"/>
        <w:bidi w:val="0"/>
        <w:spacing w:before="0" w:after="0"/>
        <w:jc w:val="center"/>
        <w:rPr>
          <w:sz w:val="20"/>
        </w:rPr>
      </w:pPr>
      <w:r>
        <w:rPr>
          <w:sz w:val="20"/>
        </w:rPr>
        <w:t>1</w:t>
      </w:r>
    </w:p>
    <w:p>
      <w:pPr>
        <w:pStyle w:val="HorizontalLine"/>
        <w:pBdr>
          <w:bottom w:val="double" w:sz="2" w:space="0" w:color="808080"/>
        </w:pBdr>
        <w:bidi w:val="0"/>
        <w:jc w:val="center"/>
        <w:rPr/>
      </w:pPr>
      <w:r>
        <w:rPr/>
      </w:r>
    </w:p>
    <w:p>
      <w:pPr>
        <w:pStyle w:val="Heading2"/>
        <w:bidi w:val="0"/>
        <w:spacing w:before="0" w:after="200"/>
        <w:ind w:left="0" w:right="0" w:firstLine="1886"/>
        <w:jc w:val="both"/>
        <w:rPr>
          <w:sz w:val="20"/>
        </w:rPr>
      </w:pPr>
      <w:r>
        <w:rPr>
          <w:b w:val="false"/>
          <w:sz w:val="20"/>
        </w:rPr>
        <w:t>(d)</w:t>
      </w:r>
      <w:r>
        <w:rPr>
          <w:caps w:val="false"/>
          <w:smallCaps w:val="false"/>
          <w:sz w:val="20"/>
        </w:rPr>
        <w:t xml:space="preserve">        </w:t>
      </w:r>
      <w:r>
        <w:rPr>
          <w:b w:val="false"/>
          <w:sz w:val="20"/>
        </w:rPr>
        <w:t>Upon each payment in settlement of Earned PPSUs in accordance with Sections 2(a), 2(b) and 2(c) of this Agreement, a number of Earned PPSUs having a Fair Market Value equal to the amount paid to the Participant or deferred shall be extinguished.</w:t>
      </w:r>
    </w:p>
    <w:p>
      <w:pPr>
        <w:pStyle w:val="TextBody"/>
        <w:bidi w:val="0"/>
        <w:spacing w:before="0" w:after="200"/>
        <w:ind w:left="0" w:right="0" w:firstLine="1890"/>
        <w:jc w:val="both"/>
        <w:rPr>
          <w:sz w:val="20"/>
        </w:rPr>
      </w:pPr>
      <w:r>
        <w:rPr>
          <w:sz w:val="20"/>
        </w:rPr>
        <w:t>(e)</w:t>
      </w:r>
      <w:r>
        <w:rPr>
          <w:caps w:val="false"/>
          <w:smallCaps w:val="false"/>
          <w:sz w:val="20"/>
        </w:rPr>
        <w:t xml:space="preserve">        </w:t>
      </w:r>
      <w:r>
        <w:rPr>
          <w:sz w:val="20"/>
        </w:rPr>
        <w:t>Notwithstanding Sections 2(a), 2(b) and 2(c) of this Agreement, upon the Participant's termination of employment for any reason other than (i) death, Disability or Retirement or (ii) under the circumstances described in clause (f) below, any unvested PPSUs (including, without limitation, any Earned PPSUs) shall immediately terminate for no further consideration.</w:t>
      </w:r>
    </w:p>
    <w:p>
      <w:pPr>
        <w:pStyle w:val="TextBody"/>
        <w:bidi w:val="0"/>
        <w:spacing w:before="0" w:after="200"/>
        <w:ind w:left="0" w:right="0" w:firstLine="1890"/>
        <w:jc w:val="both"/>
        <w:rPr>
          <w:sz w:val="20"/>
        </w:rPr>
      </w:pPr>
      <w:r>
        <w:rPr>
          <w:sz w:val="20"/>
        </w:rPr>
        <w:t>(f)</w:t>
      </w:r>
      <w:r>
        <w:rPr>
          <w:caps w:val="false"/>
          <w:smallCaps w:val="false"/>
          <w:sz w:val="20"/>
        </w:rPr>
        <w:t xml:space="preserve">         </w:t>
      </w:r>
      <w:r>
        <w:rPr>
          <w:sz w:val="20"/>
          <w:u w:val="single"/>
        </w:rPr>
        <w:t>Termination without Cause or for Good Reason within Two Years Following a Change in Control</w:t>
      </w:r>
      <w:r>
        <w:rPr>
          <w:sz w:val="20"/>
        </w:rPr>
        <w:t>.  In the event of the Participant's Qualifying Termination or involuntary termination of employment with the Company or a subsidiary thereof without "Cause" or for "Good Reason", in each case, within two years following a Change in Control, the Earned PPSUs, to the extent not previously vested and settled, shall immediately become fully vested and settled in cash.  For purposes of this Agreement, "Cause" shall mean the occurrence of any of the following: (a) the willful and continued failure of the Participant to perform substantially all of his or her duties with the Company (other than any such failure resulting from incapacity due to physical or mental illness) for a period of 10 days following a written demand for substantial performance that is delivered to such Participant by the Company, which specifically identifies the manner in which the Company believes the Participant has not substantially performed his or her duties; (b) dishonesty in the performance of the Participant's duties with the Company; (c) the Participant's conviction of, or plea of guilty or nolo contendere to, a crime under the laws of the United States or any state thereof constituting a felony or a misdemeanor involving moral turpitude; (d) the Participant's willful malfeasance or willful misconduct in connection with the Participant's duties with the Company or any act or omission which is injurious to the financial condition or business reputation of the Company or its affiliates; or (e) the Participant's breach of the provisions of Section 10 of this Agreement.  For purposes of this Agreement, "Good Reason" shall mean the occurrence of any of the following, without the Participant's express written consent:  (a) any material diminution in the Participant's duties, titles or responsibilities with the Company from those in effect immediately prior to a Change in Control or (b) any reduction in the Participant's annual base salary or any material reduction in the Participant's annual bonus opportunity, annual equity awards or long-term incentive program awards from the Participant's annual base salary or annual bonus opportunity, annual equity awards or long-term incentive program awards in effect immediately prior to a Change in Control.  Notwithstanding the foregoing, no event shall constitute Good Reason unless the Participant provides the Company with written notice of such event within 60 days after the occurrence thereof and the Company fails to cure or resolve the behavior otherwise constituting Good Reason within 30 days of its receipt of such notice.</w:t>
      </w:r>
    </w:p>
    <w:p>
      <w:pPr>
        <w:pStyle w:val="TextBody"/>
        <w:bidi w:val="0"/>
        <w:spacing w:before="0" w:after="200"/>
        <w:ind w:left="0" w:right="0" w:firstLine="1890"/>
        <w:jc w:val="both"/>
        <w:rPr>
          <w:sz w:val="20"/>
        </w:rPr>
      </w:pPr>
      <w:r>
        <w:rPr>
          <w:sz w:val="20"/>
        </w:rPr>
        <w:t>(g)</w:t>
      </w:r>
      <w:r>
        <w:rPr>
          <w:caps w:val="false"/>
          <w:smallCaps w:val="false"/>
          <w:sz w:val="20"/>
        </w:rPr>
        <w:t xml:space="preserve">       </w:t>
      </w:r>
      <w:r>
        <w:rPr>
          <w:sz w:val="20"/>
        </w:rPr>
        <w:t>Any portion of the PPSUs granted pursuant to this Agreement which do not become Earned PPSUs in accordance with Exhibit A hereto shall be forfeited for no further consideration.</w:t>
      </w:r>
    </w:p>
    <w:p>
      <w:pPr>
        <w:pStyle w:val="TextBody"/>
        <w:bidi w:val="0"/>
        <w:spacing w:before="0" w:after="200"/>
        <w:ind w:left="0" w:right="0" w:firstLine="1440"/>
        <w:jc w:val="both"/>
        <w:rPr>
          <w:sz w:val="20"/>
        </w:rPr>
      </w:pPr>
      <w:r>
        <w:rPr>
          <w:sz w:val="20"/>
        </w:rPr>
        <w:t>3.</w:t>
      </w:r>
      <w:r>
        <w:rPr>
          <w:caps w:val="false"/>
          <w:smallCaps w:val="false"/>
          <w:sz w:val="20"/>
        </w:rPr>
        <w:t xml:space="preserve">          </w:t>
      </w:r>
      <w:r>
        <w:rPr>
          <w:sz w:val="20"/>
          <w:u w:val="single"/>
        </w:rPr>
        <w:t>Dividends</w:t>
      </w:r>
      <w:r>
        <w:rPr>
          <w:sz w:val="20"/>
        </w:rPr>
        <w:t>.  If on any date while PPSUs are outstanding hereunder the Company shall pay any dividend on the Shares (other than a dividend payable in Shares), the number of PPSUs granted to the Participant shall, as of such dividend payment date, be increased by a number of PPSUs equal to: (a) the product of (x) the number of PPSUs held by the Participant as of the related dividend record date, multiplied by (y) the per Share amount of any cash dividend (or, in the case of any dividend payable in whole or in part other than in cash, the per Share value of such dividend, as determined in good faith by the Committee), divided by (b) the Fair Market Value of a Share on the payment date of such dividend.  In the case of any dividend declared on Shares that is payable in the form of Shares, the number of PPSUs granted to the Participant shall be increased by a number equal to the product of (a) the PPSUs that are held by the Participant on the related dividend record date, multiplied by (b) the number of Shares (including any fraction thereof) payable as a dividend on a Share.  Any PPSUs attributable to dividends under this Section 3 shall be subject to the vesting provisions provided in Section 2 and the performance conditions set forth in Exhibit A.</w:t>
      </w:r>
    </w:p>
    <w:p>
      <w:pPr>
        <w:pStyle w:val="TextBody"/>
        <w:bidi w:val="0"/>
        <w:spacing w:before="0" w:after="200"/>
        <w:ind w:left="0" w:right="0" w:firstLine="1440"/>
        <w:jc w:val="both"/>
        <w:rPr>
          <w:sz w:val="20"/>
        </w:rPr>
      </w:pPr>
      <w:r>
        <w:rPr>
          <w:sz w:val="20"/>
        </w:rPr>
        <w:t>4.</w:t>
      </w:r>
      <w:r>
        <w:rPr>
          <w:caps w:val="false"/>
          <w:smallCaps w:val="false"/>
          <w:sz w:val="20"/>
        </w:rPr>
        <w:t xml:space="preserve">          </w:t>
      </w:r>
      <w:r>
        <w:rPr>
          <w:sz w:val="20"/>
          <w:u w:val="single"/>
        </w:rPr>
        <w:t>Adjustments Upon Certain Events</w:t>
      </w:r>
      <w:r>
        <w:rPr>
          <w:sz w:val="20"/>
        </w:rPr>
        <w:t>.  Subject to the terms of the Plan, in the event of any change in the outstanding Shares by reason of any Share dividend or split, reorganization, recapitalization, merger, consolidation, amalgamation, spin-off or combination transaction or exchange of Shares or other similar events (collectively, an "Adjustment Event"), the Committee shall, in its sole discretion, make an appropriate and equitable adjustment in the number of PPSUs subject to this Agreement to reflect such Adjustment Event.  Any such adjustment made by the Committee shall be final and binding upon the Participant, the Company and all other interested persons.</w:t>
      </w:r>
    </w:p>
    <w:p>
      <w:pPr>
        <w:pStyle w:val="TextBody"/>
        <w:bidi w:val="0"/>
        <w:spacing w:before="0" w:after="200"/>
        <w:ind w:left="0" w:right="0" w:firstLine="1440"/>
        <w:jc w:val="both"/>
        <w:rPr>
          <w:sz w:val="20"/>
        </w:rPr>
      </w:pPr>
      <w:r>
        <w:rPr>
          <w:sz w:val="20"/>
        </w:rPr>
        <w:t>5.</w:t>
      </w:r>
      <w:r>
        <w:rPr>
          <w:caps w:val="false"/>
          <w:smallCaps w:val="false"/>
          <w:sz w:val="20"/>
        </w:rPr>
        <w:t xml:space="preserve">          </w:t>
      </w:r>
      <w:r>
        <w:rPr>
          <w:sz w:val="20"/>
          <w:u w:val="single"/>
        </w:rPr>
        <w:t>No Right to Continued Employment</w:t>
      </w:r>
      <w:r>
        <w:rPr>
          <w:sz w:val="20"/>
        </w:rPr>
        <w:t>.  Neither the Plan nor this Agreement shall be construed as giving the Participant the right to be retained in the employ of, or in any consulting relationship to, the Company or any Affiliate.  Further, the Company or an Affiliate may at any time dismiss the Participant, free from any liability or any claim under the Plan or this Agreement, except as otherwise expressly provided herein.</w:t>
      </w:r>
    </w:p>
    <w:p>
      <w:pPr>
        <w:pStyle w:val="TextBody"/>
        <w:bidi w:val="0"/>
        <w:spacing w:before="0" w:after="200"/>
        <w:ind w:left="0" w:right="0" w:firstLine="1440"/>
        <w:jc w:val="both"/>
        <w:rPr>
          <w:sz w:val="20"/>
        </w:rPr>
      </w:pPr>
      <w:r>
        <w:rPr>
          <w:sz w:val="20"/>
        </w:rPr>
        <w:t>6.</w:t>
      </w:r>
      <w:r>
        <w:rPr>
          <w:caps w:val="false"/>
          <w:smallCaps w:val="false"/>
          <w:sz w:val="20"/>
        </w:rPr>
        <w:t xml:space="preserve">          </w:t>
      </w:r>
      <w:r>
        <w:rPr>
          <w:sz w:val="20"/>
          <w:u w:val="single"/>
        </w:rPr>
        <w:t>No Acquired Rights</w:t>
      </w:r>
      <w:r>
        <w:rPr>
          <w:sz w:val="20"/>
        </w:rPr>
        <w:t>.  The Participant acknowledges and accepts that the Board has the power to amend or terminate the Plan, to the extent permitted thereunder, at any time and that the opportunity given to the Participant to receive PPSUs is entirely at the discretion of the Committee and does not obligate the Company or any of its Affiliates to offer such participation in the future (whether on the same or different terms).  The Participant further acknowledges and accepts that such Participant's PPSUs are not to be considered part of any normal or expected compensation and that the termination of the Participant's employment under any circumstances whatsoever will give the Participant no claim or right of action against the Company or its Affiliates in respect of any loss of rights under this Agreement or the Plan that may arise as a result of such termination of employment.</w:t>
      </w:r>
    </w:p>
    <w:p>
      <w:pPr>
        <w:pStyle w:val="TextBody"/>
        <w:bidi w:val="0"/>
        <w:spacing w:before="0" w:after="0"/>
        <w:ind w:left="0" w:right="0" w:firstLine="1440"/>
        <w:jc w:val="both"/>
        <w:rPr>
          <w:sz w:val="20"/>
        </w:rPr>
      </w:pPr>
      <w:r>
        <w:rPr>
          <w:sz w:val="20"/>
        </w:rPr>
        <w:t>7.</w:t>
      </w:r>
      <w:r>
        <w:rPr>
          <w:caps w:val="false"/>
          <w:smallCaps w:val="false"/>
          <w:sz w:val="20"/>
        </w:rPr>
        <w:t xml:space="preserve">          </w:t>
      </w:r>
      <w:r>
        <w:rPr>
          <w:sz w:val="20"/>
          <w:u w:val="single"/>
        </w:rPr>
        <w:t>No Rights of a Shareholder</w:t>
      </w:r>
      <w:r>
        <w:rPr>
          <w:sz w:val="20"/>
        </w:rPr>
        <w:t>.  The Participant shall not have any rights or privileges as a shareholder of the Company in respect of the PPSUs granted hereunder.</w:t>
      </w:r>
    </w:p>
    <w:p>
      <w:pPr>
        <w:pStyle w:val="TextBody"/>
        <w:bidi w:val="0"/>
        <w:spacing w:before="0" w:after="0"/>
        <w:jc w:val="left"/>
        <w:rPr/>
      </w:pPr>
      <w:r>
        <w:rPr/>
        <w:t> </w:t>
      </w:r>
    </w:p>
    <w:p>
      <w:pPr>
        <w:pStyle w:val="TextBody"/>
        <w:bidi w:val="0"/>
        <w:spacing w:before="0" w:after="0"/>
        <w:jc w:val="center"/>
        <w:rPr>
          <w:sz w:val="20"/>
        </w:rPr>
      </w:pPr>
      <w:r>
        <w:rPr>
          <w:sz w:val="20"/>
        </w:rPr>
        <w:t>2</w:t>
      </w:r>
    </w:p>
    <w:p>
      <w:pPr>
        <w:pStyle w:val="HorizontalLine"/>
        <w:pBdr>
          <w:bottom w:val="double" w:sz="2" w:space="0" w:color="808080"/>
        </w:pBdr>
        <w:bidi w:val="0"/>
        <w:jc w:val="center"/>
        <w:rPr/>
      </w:pPr>
      <w:r>
        <w:rPr/>
      </w:r>
    </w:p>
    <w:p>
      <w:pPr>
        <w:pStyle w:val="Heading1"/>
        <w:bidi w:val="0"/>
        <w:spacing w:before="0" w:after="200"/>
        <w:ind w:left="0" w:right="0" w:firstLine="1440"/>
        <w:jc w:val="both"/>
        <w:rPr>
          <w:sz w:val="20"/>
        </w:rPr>
      </w:pPr>
      <w:r>
        <w:rPr>
          <w:b w:val="false"/>
          <w:sz w:val="20"/>
        </w:rPr>
        <w:t>8.</w:t>
      </w:r>
      <w:r>
        <w:rPr>
          <w:caps w:val="false"/>
          <w:smallCaps w:val="false"/>
          <w:sz w:val="20"/>
        </w:rPr>
        <w:t xml:space="preserve">          </w:t>
      </w:r>
      <w:r>
        <w:rPr>
          <w:b w:val="false"/>
          <w:sz w:val="20"/>
          <w:u w:val="single"/>
        </w:rPr>
        <w:t>Transferability</w:t>
      </w:r>
      <w:r>
        <w:rPr>
          <w:b w:val="false"/>
          <w:sz w:val="20"/>
        </w:rPr>
        <w:t xml:space="preserve">. </w:t>
      </w:r>
      <w:r>
        <w:rPr>
          <w:sz w:val="20"/>
        </w:rPr>
        <w:t> </w:t>
      </w:r>
      <w:r>
        <w:rPr>
          <w:b w:val="false"/>
          <w:sz w:val="20"/>
        </w:rPr>
        <w:t>PPSUs may not be assigned, alienated, pledged, attached, sold or otherwise transferred or encumbered by the Participant otherwise than by will or by the laws of descent and distribution, and any purported assignment, alienation, pledge, attachment, sale, transfer or encumbrance not permitted by this Section 8 shall be void and unenforceable against the Company or any Affiliate.</w:t>
      </w:r>
    </w:p>
    <w:p>
      <w:pPr>
        <w:pStyle w:val="TextBody"/>
        <w:bidi w:val="0"/>
        <w:spacing w:before="0" w:after="200"/>
        <w:ind w:left="0" w:right="0" w:firstLine="1440"/>
        <w:jc w:val="both"/>
        <w:rPr>
          <w:sz w:val="20"/>
        </w:rPr>
      </w:pPr>
      <w:r>
        <w:rPr>
          <w:sz w:val="20"/>
        </w:rPr>
        <w:t>9.</w:t>
      </w:r>
      <w:r>
        <w:rPr>
          <w:caps w:val="false"/>
          <w:smallCaps w:val="false"/>
          <w:sz w:val="20"/>
        </w:rPr>
        <w:t xml:space="preserve">          </w:t>
      </w:r>
      <w:r>
        <w:rPr>
          <w:sz w:val="20"/>
          <w:u w:val="single"/>
        </w:rPr>
        <w:t>Withholding</w:t>
      </w:r>
      <w:r>
        <w:rPr>
          <w:sz w:val="20"/>
        </w:rPr>
        <w:t xml:space="preserve">.  The Participant may be required to pay to the Company or any Affiliate and the Company or any Affiliate shall have the right and is hereby authorized to withhold from any transfer due under this Agreement or from any compensation or other amount owing to the Participant, applicable withholding taxes with respect to any transfer under this Agreement and to take such action as may be necessary in the opinion of the Company to satisfy all obligations for the payment of such taxes.  </w:t>
      </w:r>
    </w:p>
    <w:p>
      <w:pPr>
        <w:pStyle w:val="TextBody"/>
        <w:bidi w:val="0"/>
        <w:spacing w:before="0" w:after="200"/>
        <w:ind w:left="1440" w:right="0" w:hanging="0"/>
        <w:jc w:val="both"/>
        <w:rPr>
          <w:sz w:val="20"/>
        </w:rPr>
      </w:pPr>
      <w:r>
        <w:rPr>
          <w:b/>
          <w:sz w:val="20"/>
        </w:rPr>
        <w:t>10.</w:t>
      </w:r>
      <w:r>
        <w:rPr>
          <w:caps w:val="false"/>
          <w:smallCaps w:val="false"/>
          <w:sz w:val="20"/>
        </w:rPr>
        <w:t xml:space="preserve">       </w:t>
      </w:r>
      <w:r>
        <w:rPr>
          <w:b/>
          <w:sz w:val="20"/>
          <w:u w:val="single"/>
        </w:rPr>
        <w:t>Non-Solicitation Covenants</w:t>
      </w:r>
      <w:r>
        <w:rPr>
          <w:b/>
          <w:sz w:val="20"/>
        </w:rPr>
        <w:t>.</w:t>
      </w:r>
      <w:r>
        <w:rPr>
          <w:sz w:val="20"/>
        </w:rPr>
        <w:t xml:space="preserve">  </w:t>
      </w:r>
    </w:p>
    <w:p>
      <w:pPr>
        <w:pStyle w:val="TextBody"/>
        <w:bidi w:val="0"/>
        <w:spacing w:before="0" w:after="200"/>
        <w:ind w:left="0" w:right="0" w:firstLine="1890"/>
        <w:jc w:val="both"/>
        <w:rPr>
          <w:sz w:val="20"/>
        </w:rPr>
      </w:pPr>
      <w:r>
        <w:rPr>
          <w:b/>
          <w:sz w:val="20"/>
        </w:rPr>
        <w:t>(a)</w:t>
      </w:r>
      <w:r>
        <w:rPr>
          <w:caps w:val="false"/>
          <w:smallCaps w:val="false"/>
          <w:sz w:val="20"/>
        </w:rPr>
        <w:t xml:space="preserve">       </w:t>
      </w:r>
      <w:r>
        <w:rPr>
          <w:b/>
          <w:sz w:val="20"/>
        </w:rPr>
        <w:t>The Participant acknowledges and agrees that, during the Participant's employment with the Company and its Affiliates and upon the Participant's termination of Employment with the Company and its Affiliates for any reason, for a period commencing on the termination of such Employment and ending on the second anniversary of such termination, the Participant shall not, whether on Participant's own behalf or on behalf of or in conjunction with any person, company, business entity or other organization whatsoever, directly or indirectly:</w:t>
      </w:r>
    </w:p>
    <w:p>
      <w:pPr>
        <w:pStyle w:val="TextBody"/>
        <w:bidi w:val="0"/>
        <w:spacing w:before="0" w:after="200"/>
        <w:ind w:left="0" w:right="0" w:firstLine="2340"/>
        <w:jc w:val="both"/>
        <w:rPr>
          <w:sz w:val="20"/>
        </w:rPr>
      </w:pPr>
      <w:r>
        <w:rPr>
          <w:b/>
          <w:sz w:val="20"/>
        </w:rPr>
        <w:t>(i)</w:t>
      </w:r>
      <w:r>
        <w:rPr>
          <w:caps w:val="false"/>
          <w:smallCaps w:val="false"/>
          <w:sz w:val="20"/>
        </w:rPr>
        <w:t xml:space="preserve">            </w:t>
      </w:r>
      <w:r>
        <w:rPr>
          <w:b/>
          <w:sz w:val="20"/>
        </w:rPr>
        <w:t>solicit any employee of the Company or its Affiliates with whom the Participant had any contact during the last two years of the Participant's employment, or who worked in the same business segment or division as the Participant during that period to terminate employment with the Company or its Affiliates;</w:t>
      </w:r>
    </w:p>
    <w:p>
      <w:pPr>
        <w:pStyle w:val="TextBody"/>
        <w:bidi w:val="0"/>
        <w:spacing w:before="0" w:after="200"/>
        <w:ind w:left="0" w:right="0" w:firstLine="2340"/>
        <w:jc w:val="both"/>
        <w:rPr>
          <w:sz w:val="20"/>
        </w:rPr>
      </w:pPr>
      <w:r>
        <w:rPr>
          <w:b/>
          <w:sz w:val="20"/>
        </w:rPr>
        <w:t>(ii)</w:t>
      </w:r>
      <w:r>
        <w:rPr>
          <w:caps w:val="false"/>
          <w:smallCaps w:val="false"/>
          <w:sz w:val="20"/>
        </w:rPr>
        <w:t xml:space="preserve">          </w:t>
      </w:r>
      <w:r>
        <w:rPr>
          <w:b/>
          <w:sz w:val="20"/>
        </w:rPr>
        <w:t>solicit the employment or services of, or hire, any such employee whose employment with the Company or its Affiliates terminated coincident with, or within twelve (12) months prior to or after the termination of Participant's employment with the Company and its Affiliates;</w:t>
      </w:r>
    </w:p>
    <w:p>
      <w:pPr>
        <w:pStyle w:val="TextBody"/>
        <w:bidi w:val="0"/>
        <w:spacing w:before="0" w:after="200"/>
        <w:ind w:left="0" w:right="0" w:firstLine="2340"/>
        <w:jc w:val="both"/>
        <w:rPr>
          <w:sz w:val="20"/>
        </w:rPr>
      </w:pPr>
      <w:r>
        <w:rPr>
          <w:b/>
          <w:sz w:val="20"/>
        </w:rPr>
        <w:t>(iii)</w:t>
      </w:r>
      <w:r>
        <w:rPr>
          <w:caps w:val="false"/>
          <w:smallCaps w:val="false"/>
          <w:sz w:val="20"/>
        </w:rPr>
        <w:t xml:space="preserve">        </w:t>
      </w:r>
      <w:r>
        <w:rPr>
          <w:b/>
          <w:sz w:val="20"/>
        </w:rPr>
        <w:t>directly or indirectly, solicit to cease to work with the Company or its Affiliates any consultant then under contract with the Company or its Affiliates.</w:t>
      </w:r>
    </w:p>
    <w:p>
      <w:pPr>
        <w:pStyle w:val="TextBody"/>
        <w:bidi w:val="0"/>
        <w:spacing w:before="0" w:after="200"/>
        <w:ind w:left="0" w:right="0" w:firstLine="1890"/>
        <w:jc w:val="both"/>
        <w:rPr>
          <w:sz w:val="20"/>
        </w:rPr>
      </w:pPr>
      <w:r>
        <w:rPr>
          <w:b/>
          <w:sz w:val="20"/>
        </w:rPr>
        <w:t>(b)</w:t>
      </w:r>
      <w:r>
        <w:rPr>
          <w:caps w:val="false"/>
          <w:smallCaps w:val="false"/>
          <w:sz w:val="20"/>
        </w:rPr>
        <w:t xml:space="preserve">       </w:t>
      </w:r>
      <w:r>
        <w:rPr>
          <w:b/>
          <w:sz w:val="20"/>
        </w:rPr>
        <w:t>It is expressly understood and agreed that although the Participant and the Company consider the restrictions contained in this Section 10 to be reasonable, if a final judicial determination is made by a court of competent jurisdiction that the time or any other restriction contained in this Agreement is an unenforceable restriction against the Participant, the provisions of this Agreement shall not be rendered void but shall be deemed amended to apply as to such maximum time and terri</w:t>
        <w:softHyphen/>
        <w:t>tory and to such maximum extent as such court may judicially determine or indicate to be enforceable.</w:t>
      </w:r>
      <w:r>
        <w:rPr>
          <w:sz w:val="20"/>
        </w:rPr>
        <w:t xml:space="preserve">  </w:t>
      </w:r>
      <w:r>
        <w:rPr>
          <w:b/>
          <w:sz w:val="20"/>
        </w:rPr>
        <w:t>Alternatively, if any court of competent jurisdiction finds that any restric</w:t>
        <w:softHyphen/>
        <w:t>tion contained in this Agreement is unenforceable, and such restriction cannot be amended so as to make it enforceable, such finding shall not affect the enforceability of any of the other restrictions contained herein.</w:t>
      </w:r>
    </w:p>
    <w:p>
      <w:pPr>
        <w:pStyle w:val="TextBody"/>
        <w:bidi w:val="0"/>
        <w:spacing w:before="0" w:after="240"/>
        <w:ind w:left="0" w:right="0" w:firstLine="1440"/>
        <w:jc w:val="left"/>
        <w:rPr>
          <w:sz w:val="20"/>
        </w:rPr>
      </w:pPr>
      <w:r>
        <w:rPr>
          <w:b/>
          <w:sz w:val="20"/>
        </w:rPr>
        <w:t>11.</w:t>
      </w:r>
      <w:r>
        <w:rPr>
          <w:sz w:val="20"/>
        </w:rPr>
        <w:t xml:space="preserve">    </w:t>
      </w:r>
      <w:r>
        <w:rPr>
          <w:b/>
          <w:sz w:val="20"/>
          <w:u w:val="single"/>
        </w:rPr>
        <w:t>Specific Performance</w:t>
      </w:r>
      <w:r>
        <w:rPr>
          <w:b/>
          <w:sz w:val="20"/>
        </w:rPr>
        <w:t>.</w:t>
      </w:r>
      <w:r>
        <w:rPr>
          <w:sz w:val="20"/>
        </w:rPr>
        <w:t xml:space="preserve">  </w:t>
      </w:r>
      <w:r>
        <w:rPr>
          <w:b/>
          <w:sz w:val="20"/>
        </w:rPr>
        <w:t>The Participant acknowledges and agrees that the Company's remedies at law for a breach or threatened breach of any of the provisions of Section 10 would be inadequate and the Company would suffer irreparable damages as a result of such breach or threatened breach.</w:t>
      </w:r>
      <w:r>
        <w:rPr>
          <w:sz w:val="20"/>
        </w:rPr>
        <w:t xml:space="preserve">  </w:t>
      </w:r>
      <w:r>
        <w:rPr>
          <w:b/>
          <w:sz w:val="20"/>
        </w:rPr>
        <w:t>In recognition of this fact, the Participant agrees that, in the event of such a breach or threatened breach, in addition to any remedies at law, the Company, without posting any bond, shall be entitled to cease making any payments or providing any benefit otherwise required by this Agreement and obtain equitable relief in the form of specific performance, temporary restraining order, temporary or permanent injunction or any other equitable remedy which may then be available.</w:t>
      </w:r>
    </w:p>
    <w:p>
      <w:pPr>
        <w:pStyle w:val="TextBody"/>
        <w:bidi w:val="0"/>
        <w:spacing w:before="0" w:after="240"/>
        <w:ind w:left="0" w:right="0" w:firstLine="1440"/>
        <w:jc w:val="left"/>
        <w:rPr>
          <w:sz w:val="20"/>
        </w:rPr>
      </w:pPr>
      <w:r>
        <w:rPr>
          <w:b/>
          <w:sz w:val="20"/>
        </w:rPr>
        <w:t>12.</w:t>
      </w:r>
      <w:r>
        <w:rPr>
          <w:sz w:val="20"/>
        </w:rPr>
        <w:t xml:space="preserve">    </w:t>
      </w:r>
      <w:r>
        <w:rPr>
          <w:b/>
          <w:sz w:val="20"/>
          <w:u w:val="single"/>
        </w:rPr>
        <w:t>Choice of Law</w:t>
      </w:r>
      <w:r>
        <w:rPr>
          <w:b/>
          <w:sz w:val="20"/>
        </w:rPr>
        <w:t>.</w:t>
      </w:r>
      <w:r>
        <w:rPr>
          <w:sz w:val="20"/>
        </w:rPr>
        <w:t xml:space="preserve">  </w:t>
      </w:r>
      <w:r>
        <w:rPr>
          <w:b/>
          <w:sz w:val="20"/>
        </w:rPr>
        <w:t>THE INTERPRETATION, PERFORMANCE AND ENFORCEMENT OF THIS AGREEMENT SHALL BE GOVERNED BY THE LAWS OF THE STATE OF DELAWARE WITHOUT REGARD TO PRINCIPLES OF CONFLICTS OF LAW.</w:t>
      </w:r>
    </w:p>
    <w:p>
      <w:pPr>
        <w:pStyle w:val="TextBody"/>
        <w:bidi w:val="0"/>
        <w:spacing w:before="0" w:after="240"/>
        <w:ind w:left="0" w:right="0" w:firstLine="1440"/>
        <w:jc w:val="left"/>
        <w:rPr>
          <w:sz w:val="20"/>
        </w:rPr>
      </w:pPr>
      <w:r>
        <w:rPr>
          <w:sz w:val="20"/>
        </w:rPr>
        <w:t xml:space="preserve">13.    </w:t>
      </w:r>
      <w:r>
        <w:rPr>
          <w:sz w:val="20"/>
          <w:u w:val="single"/>
        </w:rPr>
        <w:t>Plan Terms</w:t>
      </w:r>
      <w:r>
        <w:rPr>
          <w:sz w:val="20"/>
        </w:rPr>
        <w:t>.  By entering into this Agreement, the Participant agrees and acknowledges that the Participant has received and read a copy of the Plan.</w:t>
      </w:r>
    </w:p>
    <w:p>
      <w:pPr>
        <w:pStyle w:val="TextBody"/>
        <w:bidi w:val="0"/>
        <w:spacing w:before="0" w:after="240"/>
        <w:ind w:left="0" w:right="0" w:firstLine="1440"/>
        <w:jc w:val="left"/>
        <w:rPr>
          <w:sz w:val="20"/>
        </w:rPr>
      </w:pPr>
      <w:r>
        <w:rPr>
          <w:sz w:val="20"/>
        </w:rPr>
        <w:t xml:space="preserve">14.    </w:t>
      </w:r>
      <w:r>
        <w:rPr>
          <w:sz w:val="20"/>
          <w:u w:val="single"/>
        </w:rPr>
        <w:t>Signature in Counterparts</w:t>
      </w:r>
      <w:r>
        <w:rPr>
          <w:sz w:val="20"/>
        </w:rPr>
        <w:t>.  This Agreement may be signed in counterparts, each of which shall be an original, with the same effect as if the signatures thereto and hereto were upon the same instrument.</w:t>
      </w:r>
    </w:p>
    <w:p>
      <w:pPr>
        <w:pStyle w:val="TextBody"/>
        <w:bidi w:val="0"/>
        <w:spacing w:before="0" w:after="240"/>
        <w:ind w:left="0" w:right="0" w:firstLine="1440"/>
        <w:jc w:val="left"/>
        <w:rPr>
          <w:sz w:val="20"/>
        </w:rPr>
      </w:pPr>
      <w:r>
        <w:rPr>
          <w:sz w:val="20"/>
        </w:rPr>
        <w:t xml:space="preserve">15.    </w:t>
      </w:r>
      <w:r>
        <w:rPr>
          <w:sz w:val="20"/>
          <w:u w:val="single"/>
        </w:rPr>
        <w:t>409A</w:t>
      </w:r>
      <w:r>
        <w:rPr>
          <w:sz w:val="20"/>
        </w:rPr>
        <w:t>.  Notwithstanding any other provisions of this Agreement or the Plan, the PPSUs covered by this Agreement shall not be deferred, accelerated, extended, paid out or modified in a manner that would result in the imposition of an additional tax under Section 409A of the Code upon the Participant.  In the event it is reasonably determined by the Committee that, as a result of Section 409A of the Code, any payments under this Agreement may not be made at the time contemplated hereunder without causing the Participant to be subject to taxation under Section 409A of the Code (including due to the Participant's status as a "specified employee" within the meaning of Section 409A of the Code), the Company will make such payment on the first day that would not result in the Participant incurring any tax liability under Section 409A of the Code.</w:t>
      </w:r>
    </w:p>
    <w:p>
      <w:pPr>
        <w:pStyle w:val="TextBody"/>
        <w:bidi w:val="0"/>
        <w:spacing w:before="0" w:after="0"/>
        <w:jc w:val="left"/>
        <w:rPr/>
      </w:pPr>
      <w:r>
        <w:rPr/>
        <w:t> </w:t>
      </w:r>
    </w:p>
    <w:p>
      <w:pPr>
        <w:pStyle w:val="TextBody"/>
        <w:bidi w:val="0"/>
        <w:spacing w:before="0" w:after="0"/>
        <w:jc w:val="center"/>
        <w:rPr>
          <w:sz w:val="20"/>
        </w:rPr>
      </w:pPr>
      <w:r>
        <w:rPr>
          <w:sz w:val="20"/>
        </w:rPr>
        <w:t>3</w:t>
      </w:r>
    </w:p>
    <w:p>
      <w:pPr>
        <w:pStyle w:val="HorizontalLine"/>
        <w:pBdr>
          <w:bottom w:val="double" w:sz="2" w:space="0" w:color="808080"/>
        </w:pBdr>
        <w:bidi w:val="0"/>
        <w:jc w:val="center"/>
        <w:rPr/>
      </w:pPr>
      <w:r>
        <w:rPr/>
      </w:r>
    </w:p>
    <w:p>
      <w:pPr>
        <w:pStyle w:val="TextBody"/>
        <w:bidi w:val="0"/>
        <w:spacing w:before="0" w:after="0"/>
        <w:ind w:left="0" w:right="0" w:firstLine="1440"/>
        <w:jc w:val="left"/>
        <w:rPr>
          <w:sz w:val="20"/>
        </w:rPr>
      </w:pPr>
      <w:r>
        <w:rPr>
          <w:sz w:val="20"/>
        </w:rPr>
        <w:t>IN WITNESS WHEREOF, the parties hereto have executed this Agreement.</w:t>
      </w:r>
    </w:p>
    <w:p>
      <w:pPr>
        <w:pStyle w:val="TextBody"/>
        <w:bidi w:val="0"/>
        <w:spacing w:before="0" w:after="0"/>
        <w:jc w:val="left"/>
        <w:rPr/>
      </w:pPr>
      <w:r>
        <w:rPr/>
        <w:t> </w:t>
      </w:r>
    </w:p>
    <w:tbl>
      <w:tblPr>
        <w:tblW w:w="3019" w:type="dxa"/>
        <w:jc w:val="left"/>
        <w:tblInd w:w="0" w:type="dxa"/>
        <w:tblLayout w:type="fixed"/>
        <w:tblCellMar>
          <w:top w:w="0" w:type="dxa"/>
          <w:left w:w="0" w:type="dxa"/>
          <w:bottom w:w="0" w:type="dxa"/>
          <w:right w:w="0" w:type="dxa"/>
        </w:tblCellMar>
      </w:tblPr>
      <w:tblGrid>
        <w:gridCol w:w="75"/>
        <w:gridCol w:w="2285"/>
        <w:gridCol w:w="659"/>
      </w:tblGrid>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0" w:after="0"/>
              <w:jc w:val="left"/>
              <w:rPr>
                <w:sz w:val="20"/>
              </w:rPr>
            </w:pPr>
            <w:r>
              <w:rPr>
                <w:sz w:val="20"/>
              </w:rPr>
              <w:t>HOVNANIAN ENTERPRISES, INC.</w:t>
            </w:r>
          </w:p>
        </w:tc>
      </w:tr>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sz w:val="20"/>
              </w:rPr>
            </w:pPr>
            <w:r>
              <w:rPr>
                <w:sz w:val="20"/>
              </w:rPr>
              <w:t>By:</w:t>
            </w:r>
          </w:p>
        </w:tc>
        <w:tc>
          <w:tcPr>
            <w:tcW w:w="659" w:type="dxa"/>
            <w:tcBorders>
              <w:bottom w:val="single" w:sz="6" w:space="0" w:color="000000"/>
            </w:tcBorders>
            <w:tcMar>
              <w:bottom w:w="28" w:type="dxa"/>
            </w:tcMar>
            <w:vAlign w:val="center"/>
          </w:tcPr>
          <w:p>
            <w:pPr>
              <w:pStyle w:val="TableContents"/>
              <w:widowControl w:val="false"/>
              <w:bidi w:val="0"/>
              <w:spacing w:before="0" w:after="6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top w:val="single" w:sz="6" w:space="0" w:color="000000"/>
            </w:tcBorders>
            <w:tcMar>
              <w:top w:w="28" w:type="dxa"/>
            </w:tcMar>
            <w:vAlign w:val="center"/>
          </w:tcPr>
          <w:p>
            <w:pPr>
              <w:pStyle w:val="TableContents"/>
              <w:widowControl w:val="false"/>
              <w:bidi w:val="0"/>
              <w:spacing w:before="2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120" w:after="0"/>
              <w:jc w:val="left"/>
              <w:rPr>
                <w:sz w:val="20"/>
              </w:rPr>
            </w:pPr>
            <w:r>
              <w:rPr>
                <w:sz w:val="20"/>
              </w:rPr>
              <w:t>PARTICIPANT</w:t>
            </w:r>
            <w:r>
              <w:rPr>
                <w:sz w:val="13"/>
              </w:rPr>
              <w:t>1</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sz w:val="20"/>
              </w:rPr>
            </w:pPr>
            <w:r>
              <w:rPr>
                <w:sz w:val="20"/>
              </w:rPr>
              <w:t>By:</w:t>
            </w:r>
          </w:p>
        </w:tc>
        <w:tc>
          <w:tcPr>
            <w:tcW w:w="659"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top w:val="single" w:sz="6" w:space="0" w:color="000000"/>
            </w:tcBorders>
            <w:tcMar>
              <w:top w:w="28" w:type="dxa"/>
            </w:tcMar>
            <w:vAlign w:val="center"/>
          </w:tcPr>
          <w:p>
            <w:pPr>
              <w:pStyle w:val="TableContents"/>
              <w:widowControl w:val="false"/>
              <w:bidi w:val="0"/>
              <w:spacing w:before="2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28" w:type="dxa"/>
          <w:right w:w="0" w:type="dxa"/>
        </w:tblCellMar>
      </w:tblPr>
      <w:tblGrid>
        <w:gridCol w:w="164"/>
        <w:gridCol w:w="4457"/>
        <w:gridCol w:w="5584"/>
      </w:tblGrid>
      <w:tr>
        <w:trPr/>
        <w:tc>
          <w:tcPr>
            <w:tcW w:w="164" w:type="dxa"/>
            <w:tcBorders>
              <w:bottom w:val="single" w:sz="6" w:space="0" w:color="000000"/>
            </w:tcBorders>
            <w:vAlign w:val="center"/>
          </w:tcPr>
          <w:p>
            <w:pPr>
              <w:pStyle w:val="TableContents"/>
              <w:widowControl w:val="false"/>
              <w:bidi w:val="0"/>
              <w:spacing w:before="0" w:after="0"/>
              <w:jc w:val="left"/>
              <w:rPr/>
            </w:pPr>
            <w:r>
              <w:rPr/>
              <w:t> </w:t>
            </w:r>
          </w:p>
        </w:tc>
        <w:tc>
          <w:tcPr>
            <w:tcW w:w="4457" w:type="dxa"/>
            <w:tcBorders>
              <w:bottom w:val="single" w:sz="6" w:space="0" w:color="000000"/>
            </w:tcBorders>
            <w:vAlign w:val="center"/>
          </w:tcPr>
          <w:p>
            <w:pPr>
              <w:pStyle w:val="TableContents"/>
              <w:widowControl w:val="false"/>
              <w:bidi w:val="0"/>
              <w:spacing w:before="0" w:after="0"/>
              <w:jc w:val="left"/>
              <w:rPr/>
            </w:pPr>
            <w:r>
              <w:rPr/>
              <w:t> </w:t>
            </w:r>
          </w:p>
        </w:tc>
        <w:tc>
          <w:tcPr>
            <w:tcW w:w="5584" w:type="dxa"/>
            <w:tcBorders/>
            <w:tcMar>
              <w:bottom w:w="0" w:type="dxa"/>
            </w:tcMar>
            <w:vAlign w:val="center"/>
          </w:tcPr>
          <w:p>
            <w:pPr>
              <w:pStyle w:val="TableContents"/>
              <w:widowControl w:val="false"/>
              <w:bidi w:val="0"/>
              <w:spacing w:before="0" w:after="0"/>
              <w:jc w:val="left"/>
              <w:rPr/>
            </w:pPr>
            <w:r>
              <w:rPr/>
              <w:t> </w:t>
            </w:r>
          </w:p>
        </w:tc>
      </w:tr>
      <w:tr>
        <w:trPr/>
        <w:tc>
          <w:tcPr>
            <w:tcW w:w="164" w:type="dxa"/>
            <w:tcBorders/>
            <w:tcMar>
              <w:bottom w:w="0" w:type="dxa"/>
            </w:tcMar>
            <w:vAlign w:val="center"/>
          </w:tcPr>
          <w:p>
            <w:pPr>
              <w:pStyle w:val="TableContents"/>
              <w:widowControl w:val="false"/>
              <w:bidi w:val="0"/>
              <w:spacing w:before="80" w:after="0"/>
              <w:jc w:val="left"/>
              <w:rPr>
                <w:sz w:val="20"/>
              </w:rPr>
            </w:pPr>
            <w:r>
              <w:rPr>
                <w:sz w:val="20"/>
              </w:rPr>
              <w:t>1.</w:t>
            </w:r>
          </w:p>
        </w:tc>
        <w:tc>
          <w:tcPr>
            <w:tcW w:w="10041" w:type="dxa"/>
            <w:gridSpan w:val="2"/>
            <w:tcBorders/>
            <w:tcMar>
              <w:bottom w:w="0" w:type="dxa"/>
            </w:tcMar>
            <w:vAlign w:val="center"/>
          </w:tcPr>
          <w:p>
            <w:pPr>
              <w:pStyle w:val="TableContents"/>
              <w:widowControl w:val="false"/>
              <w:bidi w:val="0"/>
              <w:spacing w:before="80" w:after="0"/>
              <w:jc w:val="both"/>
              <w:rPr>
                <w:sz w:val="20"/>
              </w:rPr>
            </w:pPr>
            <w:r>
              <w:rPr>
                <w:sz w:val="20"/>
              </w:rPr>
              <w:t>To the extent that the Company has established, either itself or through a third-party plan administrator, the ability to accept this award electronically, such acceptance shall constitute the Participant’s signature hereof.</w:t>
            </w:r>
          </w:p>
        </w:tc>
      </w:tr>
    </w:tbl>
    <w:p>
      <w:pPr>
        <w:pStyle w:val="TextBody"/>
        <w:bidi w:val="0"/>
        <w:spacing w:before="0" w:after="0"/>
        <w:jc w:val="left"/>
        <w:rPr/>
      </w:pPr>
      <w:r>
        <w:rPr/>
        <w:t> </w:t>
      </w:r>
    </w:p>
    <w:p>
      <w:pPr>
        <w:pStyle w:val="TextBody"/>
        <w:bidi w:val="0"/>
        <w:spacing w:before="0" w:after="0"/>
        <w:jc w:val="center"/>
        <w:rPr>
          <w:sz w:val="20"/>
        </w:rPr>
      </w:pPr>
      <w:r>
        <w:rPr>
          <w:sz w:val="20"/>
        </w:rPr>
        <w:t>4</w:t>
      </w:r>
    </w:p>
    <w:p>
      <w:pPr>
        <w:pStyle w:val="HorizontalLine"/>
        <w:pBdr>
          <w:bottom w:val="double" w:sz="2" w:space="0" w:color="808080"/>
        </w:pBdr>
        <w:bidi w:val="0"/>
        <w:jc w:val="center"/>
        <w:rPr/>
      </w:pPr>
      <w:r>
        <w:rPr/>
      </w:r>
    </w:p>
    <w:p>
      <w:pPr>
        <w:pStyle w:val="TextBody"/>
        <w:bidi w:val="0"/>
        <w:spacing w:before="0" w:after="0"/>
        <w:jc w:val="center"/>
        <w:rPr>
          <w:b/>
          <w:sz w:val="20"/>
          <w:u w:val="single"/>
        </w:rPr>
      </w:pPr>
      <w:r>
        <w:rPr>
          <w:b/>
          <w:sz w:val="20"/>
          <w:u w:val="single"/>
        </w:rPr>
        <w:t>Exhibit A</w:t>
      </w:r>
    </w:p>
    <w:p>
      <w:pPr>
        <w:pStyle w:val="TextBody"/>
        <w:bidi w:val="0"/>
        <w:spacing w:before="0" w:after="0"/>
        <w:jc w:val="center"/>
        <w:rPr>
          <w:b/>
          <w:sz w:val="20"/>
        </w:rPr>
      </w:pPr>
      <w:r>
        <w:rPr>
          <w:b/>
          <w:sz w:val="20"/>
        </w:rPr>
        <w:t>[Insert Performance Metrics for Determining Earned PPSUs]</w:t>
      </w:r>
    </w:p>
    <w:p>
      <w:pPr>
        <w:pStyle w:val="TextBody"/>
        <w:bidi w:val="0"/>
        <w:spacing w:before="0" w:after="0"/>
        <w:jc w:val="left"/>
        <w:rPr/>
      </w:pPr>
      <w:r>
        <w:rPr/>
        <w:t> </w:t>
      </w:r>
    </w:p>
    <w:p>
      <w:pPr>
        <w:pStyle w:val="TextBody"/>
        <w:bidi w:val="0"/>
        <w:spacing w:before="0" w:after="0"/>
        <w:jc w:val="center"/>
        <w:rPr>
          <w:sz w:val="20"/>
        </w:rPr>
      </w:pPr>
      <w:r>
        <w:rPr>
          <w:sz w:val="20"/>
        </w:rPr>
        <w:t>5</w:t>
      </w:r>
    </w:p>
    <w:p>
      <w:pPr>
        <w:pStyle w:val="HorizontalLine"/>
        <w:pBdr>
          <w:bottom w:val="double" w:sz="2" w:space="0" w:color="808080"/>
        </w:pBdr>
        <w:bidi w:val="0"/>
        <w:jc w:val="center"/>
        <w:rPr/>
      </w:pPr>
      <w:r>
        <w:rPr/>
      </w:r>
    </w:p>
    <w:p>
      <w:pPr>
        <w:pStyle w:val="TextBody"/>
        <w:bidi w:val="0"/>
        <w:spacing w:before="0" w:after="0"/>
        <w:jc w:val="right"/>
        <w:rPr>
          <w:b/>
          <w:sz w:val="20"/>
        </w:rPr>
      </w:pPr>
      <w:bookmarkStart w:id="31" w:name="ex10G_7.htm"/>
      <w:bookmarkStart w:id="32" w:name="ksex10G_7"/>
      <w:bookmarkEnd w:id="31"/>
      <w:bookmarkEnd w:id="32"/>
      <w:r>
        <w:rPr>
          <w:b/>
          <w:sz w:val="20"/>
        </w:rPr>
        <w:t>Exhibit 10(g)</w:t>
      </w:r>
      <w:r>
        <w:br w:type="page"/>
      </w:r>
    </w:p>
    <w:p>
      <w:pPr>
        <w:pStyle w:val="TextBody"/>
        <w:bidi w:val="0"/>
        <w:spacing w:before="0" w:after="0"/>
        <w:jc w:val="center"/>
        <w:rPr/>
      </w:pPr>
      <w:r>
        <w:rPr/>
        <w:t> </w:t>
      </w:r>
    </w:p>
    <w:p>
      <w:pPr>
        <w:pStyle w:val="TextBody"/>
        <w:bidi w:val="0"/>
        <w:spacing w:before="0" w:after="0"/>
        <w:jc w:val="center"/>
        <w:rPr>
          <w:sz w:val="20"/>
        </w:rPr>
      </w:pPr>
      <w:r>
        <w:rPr>
          <w:b/>
          <w:sz w:val="20"/>
        </w:rPr>
        <w:t>2020 HOVNANIAN ENTERPRISES, INC.</w:t>
      </w:r>
      <w:r>
        <w:rPr>
          <w:sz w:val="20"/>
        </w:rPr>
        <w:br/>
      </w:r>
      <w:r>
        <w:rPr>
          <w:b/>
          <w:sz w:val="20"/>
        </w:rPr>
        <w:t>FOURTH AMENDED AND RESTATED STOCK INCENTIVE PLAN</w:t>
      </w:r>
    </w:p>
    <w:p>
      <w:pPr>
        <w:pStyle w:val="TextBody"/>
        <w:bidi w:val="0"/>
        <w:spacing w:before="0" w:after="0"/>
        <w:jc w:val="left"/>
        <w:rPr/>
      </w:pPr>
      <w:r>
        <w:rPr/>
        <w:t> </w:t>
      </w:r>
    </w:p>
    <w:p>
      <w:pPr>
        <w:pStyle w:val="TextBody"/>
        <w:bidi w:val="0"/>
        <w:spacing w:before="0" w:after="0"/>
        <w:jc w:val="center"/>
        <w:rPr>
          <w:b/>
          <w:sz w:val="20"/>
        </w:rPr>
      </w:pPr>
      <w:r>
        <w:rPr>
          <w:b/>
          <w:sz w:val="20"/>
        </w:rPr>
        <w:t>RESTRICTED SHARE UNIT AGREEMENT</w:t>
      </w:r>
    </w:p>
    <w:p>
      <w:pPr>
        <w:pStyle w:val="TextBody"/>
        <w:bidi w:val="0"/>
        <w:spacing w:before="0" w:after="0"/>
        <w:jc w:val="left"/>
        <w:rPr/>
      </w:pPr>
      <w:r>
        <w:rPr/>
        <w:t> </w:t>
      </w:r>
    </w:p>
    <w:tbl>
      <w:tblPr>
        <w:tblW w:w="4388" w:type="dxa"/>
        <w:jc w:val="left"/>
        <w:tblInd w:w="0" w:type="dxa"/>
        <w:tblLayout w:type="fixed"/>
        <w:tblCellMar>
          <w:top w:w="0" w:type="dxa"/>
          <w:left w:w="0" w:type="dxa"/>
          <w:bottom w:w="0" w:type="dxa"/>
          <w:right w:w="0" w:type="dxa"/>
        </w:tblCellMar>
      </w:tblPr>
      <w:tblGrid>
        <w:gridCol w:w="2783"/>
        <w:gridCol w:w="116"/>
        <w:gridCol w:w="60"/>
        <w:gridCol w:w="1290"/>
        <w:gridCol w:w="64"/>
        <w:gridCol w:w="75"/>
      </w:tblGrid>
      <w:tr>
        <w:trPr/>
        <w:tc>
          <w:tcPr>
            <w:tcW w:w="2783" w:type="dxa"/>
            <w:tcBorders/>
            <w:vAlign w:val="center"/>
          </w:tcPr>
          <w:p>
            <w:pPr>
              <w:pStyle w:val="TableContents"/>
              <w:widowControl w:val="false"/>
              <w:bidi w:val="0"/>
              <w:spacing w:before="0" w:after="0"/>
              <w:jc w:val="left"/>
              <w:rPr>
                <w:i/>
                <w:sz w:val="20"/>
              </w:rPr>
            </w:pPr>
            <w:r>
              <w:rPr>
                <w:i/>
                <w:sz w:val="20"/>
              </w:rPr>
              <w:t>Participant:</w:t>
            </w:r>
          </w:p>
        </w:tc>
        <w:tc>
          <w:tcPr>
            <w:tcW w:w="116"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1290" w:type="dxa"/>
            <w:tcBorders/>
            <w:vAlign w:val="center"/>
          </w:tcPr>
          <w:p>
            <w:pPr>
              <w:pStyle w:val="TableContents"/>
              <w:widowControl w:val="false"/>
              <w:bidi w:val="0"/>
              <w:spacing w:before="0" w:after="0"/>
              <w:jc w:val="left"/>
              <w:rPr>
                <w:i/>
                <w:sz w:val="20"/>
              </w:rPr>
            </w:pPr>
            <w:r>
              <w:rPr>
                <w:i/>
                <w:sz w:val="20"/>
              </w:rPr>
              <w:t>Date of Grant:</w:t>
            </w:r>
          </w:p>
        </w:tc>
        <w:tc>
          <w:tcPr>
            <w:tcW w:w="6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83"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116"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1290"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64"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83"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116"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1290"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64"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83" w:type="dxa"/>
            <w:tcBorders/>
            <w:vAlign w:val="center"/>
          </w:tcPr>
          <w:p>
            <w:pPr>
              <w:pStyle w:val="TableContents"/>
              <w:widowControl w:val="false"/>
              <w:bidi w:val="0"/>
              <w:spacing w:before="0" w:after="0"/>
              <w:jc w:val="left"/>
              <w:rPr/>
            </w:pPr>
            <w:r>
              <w:rPr/>
              <w:t> </w:t>
            </w:r>
          </w:p>
        </w:tc>
        <w:tc>
          <w:tcPr>
            <w:tcW w:w="116"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1290" w:type="dxa"/>
            <w:tcBorders/>
            <w:vAlign w:val="center"/>
          </w:tcPr>
          <w:p>
            <w:pPr>
              <w:pStyle w:val="TableContents"/>
              <w:widowControl w:val="false"/>
              <w:bidi w:val="0"/>
              <w:spacing w:before="0" w:after="0"/>
              <w:jc w:val="left"/>
              <w:rPr/>
            </w:pPr>
            <w:r>
              <w:rPr/>
              <w:t> </w:t>
            </w:r>
          </w:p>
        </w:tc>
        <w:tc>
          <w:tcPr>
            <w:tcW w:w="6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83" w:type="dxa"/>
            <w:tcBorders/>
            <w:vAlign w:val="center"/>
          </w:tcPr>
          <w:p>
            <w:pPr>
              <w:pStyle w:val="TableContents"/>
              <w:widowControl w:val="false"/>
              <w:bidi w:val="0"/>
              <w:spacing w:before="0" w:after="0"/>
              <w:jc w:val="left"/>
              <w:rPr>
                <w:i/>
                <w:sz w:val="20"/>
              </w:rPr>
            </w:pPr>
            <w:r>
              <w:rPr>
                <w:i/>
                <w:sz w:val="20"/>
              </w:rPr>
              <w:t>Number of RSUs:</w:t>
            </w:r>
          </w:p>
        </w:tc>
        <w:tc>
          <w:tcPr>
            <w:tcW w:w="116"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60"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1290" w:type="dxa"/>
            <w:tcBorders/>
            <w:vAlign w:val="center"/>
          </w:tcPr>
          <w:p>
            <w:pPr>
              <w:pStyle w:val="TableContents"/>
              <w:widowControl w:val="false"/>
              <w:bidi w:val="0"/>
              <w:spacing w:before="0" w:after="0"/>
              <w:jc w:val="left"/>
              <w:rPr/>
            </w:pPr>
            <w:r>
              <w:rPr/>
              <w:t> </w:t>
            </w:r>
          </w:p>
        </w:tc>
        <w:tc>
          <w:tcPr>
            <w:tcW w:w="6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83" w:type="dxa"/>
            <w:tcBorders/>
            <w:vAlign w:val="center"/>
          </w:tcPr>
          <w:p>
            <w:pPr>
              <w:pStyle w:val="TableContents"/>
              <w:widowControl w:val="false"/>
              <w:bidi w:val="0"/>
              <w:spacing w:before="0" w:after="0"/>
              <w:jc w:val="left"/>
              <w:rPr/>
            </w:pPr>
            <w:r>
              <w:rPr/>
              <w:t> </w:t>
            </w:r>
          </w:p>
        </w:tc>
        <w:tc>
          <w:tcPr>
            <w:tcW w:w="116"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60"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1290" w:type="dxa"/>
            <w:tcBorders/>
            <w:vAlign w:val="center"/>
          </w:tcPr>
          <w:p>
            <w:pPr>
              <w:pStyle w:val="TableContents"/>
              <w:widowControl w:val="false"/>
              <w:bidi w:val="0"/>
              <w:spacing w:before="0" w:after="0"/>
              <w:jc w:val="left"/>
              <w:rPr/>
            </w:pPr>
            <w:r>
              <w:rPr/>
              <w:t> </w:t>
            </w:r>
          </w:p>
        </w:tc>
        <w:tc>
          <w:tcPr>
            <w:tcW w:w="6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83" w:type="dxa"/>
            <w:tcBorders/>
            <w:vAlign w:val="center"/>
          </w:tcPr>
          <w:p>
            <w:pPr>
              <w:pStyle w:val="TableContents"/>
              <w:widowControl w:val="false"/>
              <w:bidi w:val="0"/>
              <w:spacing w:before="0" w:after="0"/>
              <w:jc w:val="left"/>
              <w:rPr/>
            </w:pPr>
            <w:r>
              <w:rPr/>
              <w:t> </w:t>
            </w:r>
          </w:p>
        </w:tc>
        <w:tc>
          <w:tcPr>
            <w:tcW w:w="116"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1290" w:type="dxa"/>
            <w:tcBorders/>
            <w:vAlign w:val="center"/>
          </w:tcPr>
          <w:p>
            <w:pPr>
              <w:pStyle w:val="TableContents"/>
              <w:widowControl w:val="false"/>
              <w:bidi w:val="0"/>
              <w:spacing w:before="0" w:after="0"/>
              <w:jc w:val="left"/>
              <w:rPr/>
            </w:pPr>
            <w:r>
              <w:rPr/>
              <w:t> </w:t>
            </w:r>
          </w:p>
        </w:tc>
        <w:tc>
          <w:tcPr>
            <w:tcW w:w="6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899" w:type="dxa"/>
            <w:gridSpan w:val="2"/>
            <w:tcBorders/>
            <w:vAlign w:val="center"/>
          </w:tcPr>
          <w:p>
            <w:pPr>
              <w:pStyle w:val="TableContents"/>
              <w:widowControl w:val="false"/>
              <w:bidi w:val="0"/>
              <w:spacing w:before="0" w:after="0"/>
              <w:jc w:val="left"/>
              <w:rPr>
                <w:i/>
                <w:sz w:val="20"/>
              </w:rPr>
            </w:pPr>
            <w:r>
              <w:rPr>
                <w:i/>
                <w:sz w:val="20"/>
              </w:rPr>
              <w:t>Dates of Vesting of Class A Shares:</w:t>
            </w:r>
          </w:p>
        </w:tc>
        <w:tc>
          <w:tcPr>
            <w:tcW w:w="60" w:type="dxa"/>
            <w:tcBorders/>
            <w:vAlign w:val="center"/>
          </w:tcPr>
          <w:p>
            <w:pPr>
              <w:pStyle w:val="TableContents"/>
              <w:widowControl w:val="false"/>
              <w:bidi w:val="0"/>
              <w:spacing w:before="0" w:after="0"/>
              <w:jc w:val="left"/>
              <w:rPr/>
            </w:pPr>
            <w:r>
              <w:rPr/>
              <w:t> </w:t>
            </w:r>
          </w:p>
        </w:tc>
        <w:tc>
          <w:tcPr>
            <w:tcW w:w="1290" w:type="dxa"/>
            <w:tcBorders/>
            <w:vAlign w:val="center"/>
          </w:tcPr>
          <w:p>
            <w:pPr>
              <w:pStyle w:val="TableContents"/>
              <w:widowControl w:val="false"/>
              <w:bidi w:val="0"/>
              <w:spacing w:before="0" w:after="0"/>
              <w:jc w:val="left"/>
              <w:rPr/>
            </w:pPr>
            <w:r>
              <w:rPr/>
              <w:t> </w:t>
            </w:r>
          </w:p>
        </w:tc>
        <w:tc>
          <w:tcPr>
            <w:tcW w:w="6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83" w:type="dxa"/>
            <w:tcBorders/>
            <w:vAlign w:val="center"/>
          </w:tcPr>
          <w:p>
            <w:pPr>
              <w:pStyle w:val="TableContents"/>
              <w:widowControl w:val="false"/>
              <w:bidi w:val="0"/>
              <w:spacing w:before="0" w:after="0"/>
              <w:jc w:val="left"/>
              <w:rPr/>
            </w:pPr>
            <w:r>
              <w:rPr/>
              <w:t> </w:t>
            </w:r>
          </w:p>
        </w:tc>
        <w:tc>
          <w:tcPr>
            <w:tcW w:w="116"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1290" w:type="dxa"/>
            <w:tcBorders/>
            <w:vAlign w:val="center"/>
          </w:tcPr>
          <w:p>
            <w:pPr>
              <w:pStyle w:val="TableContents"/>
              <w:widowControl w:val="false"/>
              <w:bidi w:val="0"/>
              <w:spacing w:before="0" w:after="0"/>
              <w:jc w:val="left"/>
              <w:rPr/>
            </w:pPr>
            <w:r>
              <w:rPr/>
              <w:t> </w:t>
            </w:r>
          </w:p>
        </w:tc>
        <w:tc>
          <w:tcPr>
            <w:tcW w:w="6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83" w:type="dxa"/>
            <w:tcBorders/>
            <w:vAlign w:val="center"/>
          </w:tcPr>
          <w:p>
            <w:pPr>
              <w:pStyle w:val="TableContents"/>
              <w:widowControl w:val="false"/>
              <w:bidi w:val="0"/>
              <w:spacing w:before="0" w:after="0"/>
              <w:jc w:val="left"/>
              <w:rPr>
                <w:i/>
                <w:sz w:val="20"/>
                <w:u w:val="single"/>
              </w:rPr>
            </w:pPr>
            <w:r>
              <w:rPr>
                <w:i/>
                <w:sz w:val="20"/>
                <w:u w:val="single"/>
              </w:rPr>
              <w:t>Date</w:t>
            </w:r>
          </w:p>
        </w:tc>
        <w:tc>
          <w:tcPr>
            <w:tcW w:w="116"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1354" w:type="dxa"/>
            <w:gridSpan w:val="2"/>
            <w:tcBorders/>
            <w:vAlign w:val="center"/>
          </w:tcPr>
          <w:p>
            <w:pPr>
              <w:pStyle w:val="TableContents"/>
              <w:widowControl w:val="false"/>
              <w:bidi w:val="0"/>
              <w:spacing w:before="0" w:after="0"/>
              <w:jc w:val="left"/>
              <w:rPr>
                <w:i/>
                <w:sz w:val="20"/>
                <w:u w:val="single"/>
              </w:rPr>
            </w:pPr>
            <w:r>
              <w:rPr>
                <w:i/>
                <w:sz w:val="20"/>
                <w:u w:val="single"/>
              </w:rPr>
              <w:t>Number of RSUs</w:t>
            </w:r>
          </w:p>
        </w:tc>
        <w:tc>
          <w:tcPr>
            <w:tcW w:w="75" w:type="dxa"/>
            <w:tcBorders/>
            <w:vAlign w:val="center"/>
          </w:tcPr>
          <w:p>
            <w:pPr>
              <w:pStyle w:val="TableContents"/>
              <w:widowControl w:val="false"/>
              <w:bidi w:val="0"/>
              <w:spacing w:before="0" w:after="0"/>
              <w:jc w:val="left"/>
              <w:rPr/>
            </w:pPr>
            <w:r>
              <w:rPr/>
              <w:t> </w:t>
            </w:r>
          </w:p>
        </w:tc>
      </w:tr>
      <w:tr>
        <w:trPr/>
        <w:tc>
          <w:tcPr>
            <w:tcW w:w="2783" w:type="dxa"/>
            <w:tcBorders>
              <w:bottom w:val="single" w:sz="6" w:space="0" w:color="000000"/>
            </w:tcBorders>
            <w:tcMar>
              <w:bottom w:w="28" w:type="dxa"/>
            </w:tcMar>
            <w:vAlign w:val="center"/>
          </w:tcPr>
          <w:p>
            <w:pPr>
              <w:pStyle w:val="TableContents"/>
              <w:widowControl w:val="false"/>
              <w:bidi w:val="0"/>
              <w:spacing w:before="0" w:after="0"/>
              <w:jc w:val="center"/>
              <w:rPr/>
            </w:pPr>
            <w:r>
              <w:rPr/>
              <w:t> </w:t>
            </w:r>
          </w:p>
        </w:tc>
        <w:tc>
          <w:tcPr>
            <w:tcW w:w="116"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1290" w:type="dxa"/>
            <w:tcBorders>
              <w:bottom w:val="single" w:sz="6" w:space="0" w:color="000000"/>
            </w:tcBorders>
            <w:tcMar>
              <w:bottom w:w="28" w:type="dxa"/>
            </w:tcMar>
            <w:vAlign w:val="center"/>
          </w:tcPr>
          <w:p>
            <w:pPr>
              <w:pStyle w:val="TableContents"/>
              <w:widowControl w:val="false"/>
              <w:bidi w:val="0"/>
              <w:spacing w:before="0" w:after="0"/>
              <w:jc w:val="center"/>
              <w:rPr/>
            </w:pPr>
            <w:r>
              <w:rPr/>
              <w:t> </w:t>
            </w:r>
          </w:p>
        </w:tc>
        <w:tc>
          <w:tcPr>
            <w:tcW w:w="6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83" w:type="dxa"/>
            <w:tcBorders>
              <w:top w:val="single" w:sz="6" w:space="0" w:color="000000"/>
              <w:bottom w:val="single" w:sz="6" w:space="0" w:color="000000"/>
            </w:tcBorders>
            <w:tcMar>
              <w:top w:w="28" w:type="dxa"/>
              <w:bottom w:w="28" w:type="dxa"/>
            </w:tcMar>
            <w:vAlign w:val="center"/>
          </w:tcPr>
          <w:p>
            <w:pPr>
              <w:pStyle w:val="TableContents"/>
              <w:widowControl w:val="false"/>
              <w:bidi w:val="0"/>
              <w:spacing w:before="0" w:after="0"/>
              <w:jc w:val="center"/>
              <w:rPr/>
            </w:pPr>
            <w:r>
              <w:rPr/>
              <w:t> </w:t>
            </w:r>
          </w:p>
        </w:tc>
        <w:tc>
          <w:tcPr>
            <w:tcW w:w="116"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1290" w:type="dxa"/>
            <w:tcBorders>
              <w:top w:val="single" w:sz="6" w:space="0" w:color="000000"/>
              <w:bottom w:val="single" w:sz="6" w:space="0" w:color="000000"/>
            </w:tcBorders>
            <w:tcMar>
              <w:top w:w="28" w:type="dxa"/>
              <w:bottom w:w="28" w:type="dxa"/>
            </w:tcMar>
            <w:vAlign w:val="center"/>
          </w:tcPr>
          <w:p>
            <w:pPr>
              <w:pStyle w:val="TableContents"/>
              <w:widowControl w:val="false"/>
              <w:bidi w:val="0"/>
              <w:spacing w:before="0" w:after="0"/>
              <w:jc w:val="center"/>
              <w:rPr/>
            </w:pPr>
            <w:r>
              <w:rPr/>
              <w:t> </w:t>
            </w:r>
          </w:p>
        </w:tc>
        <w:tc>
          <w:tcPr>
            <w:tcW w:w="6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83" w:type="dxa"/>
            <w:tcBorders>
              <w:top w:val="single" w:sz="6" w:space="0" w:color="000000"/>
              <w:bottom w:val="single" w:sz="6" w:space="0" w:color="000000"/>
            </w:tcBorders>
            <w:tcMar>
              <w:top w:w="28" w:type="dxa"/>
              <w:bottom w:w="28" w:type="dxa"/>
            </w:tcMar>
            <w:vAlign w:val="center"/>
          </w:tcPr>
          <w:p>
            <w:pPr>
              <w:pStyle w:val="TableContents"/>
              <w:widowControl w:val="false"/>
              <w:bidi w:val="0"/>
              <w:spacing w:before="0" w:after="0"/>
              <w:jc w:val="center"/>
              <w:rPr/>
            </w:pPr>
            <w:r>
              <w:rPr/>
              <w:t> </w:t>
            </w:r>
          </w:p>
        </w:tc>
        <w:tc>
          <w:tcPr>
            <w:tcW w:w="116"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1290" w:type="dxa"/>
            <w:tcBorders>
              <w:top w:val="single" w:sz="6" w:space="0" w:color="000000"/>
              <w:bottom w:val="single" w:sz="6" w:space="0" w:color="000000"/>
            </w:tcBorders>
            <w:tcMar>
              <w:top w:w="28" w:type="dxa"/>
              <w:bottom w:w="28" w:type="dxa"/>
            </w:tcMar>
            <w:vAlign w:val="center"/>
          </w:tcPr>
          <w:p>
            <w:pPr>
              <w:pStyle w:val="TableContents"/>
              <w:widowControl w:val="false"/>
              <w:bidi w:val="0"/>
              <w:spacing w:before="0" w:after="0"/>
              <w:jc w:val="center"/>
              <w:rPr/>
            </w:pPr>
            <w:r>
              <w:rPr/>
              <w:t> </w:t>
            </w:r>
          </w:p>
        </w:tc>
        <w:tc>
          <w:tcPr>
            <w:tcW w:w="6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83" w:type="dxa"/>
            <w:tcBorders>
              <w:top w:val="single" w:sz="6" w:space="0" w:color="000000"/>
              <w:bottom w:val="single" w:sz="6" w:space="0" w:color="000000"/>
            </w:tcBorders>
            <w:tcMar>
              <w:top w:w="28" w:type="dxa"/>
              <w:bottom w:w="28" w:type="dxa"/>
            </w:tcMar>
            <w:vAlign w:val="center"/>
          </w:tcPr>
          <w:p>
            <w:pPr>
              <w:pStyle w:val="TableContents"/>
              <w:widowControl w:val="false"/>
              <w:bidi w:val="0"/>
              <w:spacing w:before="0" w:after="0"/>
              <w:jc w:val="center"/>
              <w:rPr/>
            </w:pPr>
            <w:r>
              <w:rPr/>
              <w:t> </w:t>
            </w:r>
          </w:p>
        </w:tc>
        <w:tc>
          <w:tcPr>
            <w:tcW w:w="116"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1290" w:type="dxa"/>
            <w:tcBorders>
              <w:top w:val="single" w:sz="6" w:space="0" w:color="000000"/>
              <w:bottom w:val="single" w:sz="6" w:space="0" w:color="000000"/>
            </w:tcBorders>
            <w:tcMar>
              <w:top w:w="28" w:type="dxa"/>
              <w:bottom w:w="28" w:type="dxa"/>
            </w:tcMar>
            <w:vAlign w:val="center"/>
          </w:tcPr>
          <w:p>
            <w:pPr>
              <w:pStyle w:val="TableContents"/>
              <w:widowControl w:val="false"/>
              <w:bidi w:val="0"/>
              <w:spacing w:before="0" w:after="0"/>
              <w:jc w:val="center"/>
              <w:rPr/>
            </w:pPr>
            <w:r>
              <w:rPr/>
              <w:t> </w:t>
            </w:r>
          </w:p>
        </w:tc>
        <w:tc>
          <w:tcPr>
            <w:tcW w:w="6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bl>
    <w:p>
      <w:pPr>
        <w:pStyle w:val="TextBody"/>
        <w:bidi w:val="0"/>
        <w:spacing w:before="0" w:after="0"/>
        <w:jc w:val="left"/>
        <w:rPr/>
      </w:pPr>
      <w:r>
        <w:rPr/>
        <w:t> </w:t>
      </w:r>
    </w:p>
    <w:p>
      <w:pPr>
        <w:pStyle w:val="Heading1"/>
        <w:bidi w:val="0"/>
        <w:spacing w:before="0" w:after="200"/>
        <w:ind w:left="0" w:right="0" w:firstLine="1440"/>
        <w:jc w:val="both"/>
        <w:rPr>
          <w:sz w:val="20"/>
        </w:rPr>
      </w:pPr>
      <w:r>
        <w:rPr>
          <w:b w:val="false"/>
          <w:sz w:val="20"/>
        </w:rPr>
        <w:t>1.</w:t>
      </w:r>
      <w:r>
        <w:rPr>
          <w:caps w:val="false"/>
          <w:smallCaps w:val="false"/>
          <w:sz w:val="20"/>
        </w:rPr>
        <w:t xml:space="preserve">          </w:t>
      </w:r>
      <w:r>
        <w:rPr>
          <w:b w:val="false"/>
          <w:sz w:val="20"/>
          <w:u w:val="single"/>
        </w:rPr>
        <w:t>Grant of RSUs</w:t>
      </w:r>
      <w:r>
        <w:rPr>
          <w:b w:val="false"/>
          <w:sz w:val="20"/>
        </w:rPr>
        <w:t>.</w:t>
      </w:r>
      <w:r>
        <w:rPr>
          <w:sz w:val="20"/>
        </w:rPr>
        <w:t xml:space="preserve">  </w:t>
      </w:r>
      <w:r>
        <w:rPr>
          <w:b w:val="false"/>
          <w:sz w:val="20"/>
        </w:rPr>
        <w:t>For valuable consideration, receipt of which is hereby acknowledged, Hovnanian Enterprises, Inc., a Delaware Corporation (the "Company"), hereby grants the number of restricted share units ("RSUs") listed above to the Participant, on the terms and conditions hereinafter set forth.</w:t>
      </w:r>
      <w:r>
        <w:rPr>
          <w:sz w:val="20"/>
        </w:rPr>
        <w:t xml:space="preserve">  </w:t>
      </w:r>
      <w:r>
        <w:rPr>
          <w:b w:val="false"/>
          <w:sz w:val="20"/>
        </w:rPr>
        <w:t>This grant is made pursuant to the terms and conditions of the 2020 Company Fourth Amended and Restated Stock Incentive Plan (the "Plan"), which Plan, as amended from time to time, is incorporated herein by reference and made a part of this Agreement.</w:t>
      </w:r>
      <w:r>
        <w:rPr>
          <w:sz w:val="20"/>
        </w:rPr>
        <w:t xml:space="preserve">  </w:t>
      </w:r>
      <w:r>
        <w:rPr>
          <w:b w:val="false"/>
          <w:sz w:val="20"/>
        </w:rPr>
        <w:t>Each RSU represents the unfunded, unsecured right of the Participant to receive a Share on the date(s) specified herein.</w:t>
      </w:r>
      <w:r>
        <w:rPr>
          <w:sz w:val="20"/>
        </w:rPr>
        <w:t xml:space="preserve">  </w:t>
      </w:r>
      <w:r>
        <w:rPr>
          <w:b w:val="false"/>
          <w:sz w:val="20"/>
        </w:rPr>
        <w:t>Capitalized terms not otherwise defined herein shall have the same meanings as in the Plan.</w:t>
      </w:r>
    </w:p>
    <w:p>
      <w:pPr>
        <w:pStyle w:val="TextBody"/>
        <w:bidi w:val="0"/>
        <w:spacing w:before="0" w:after="200"/>
        <w:ind w:left="0" w:right="0" w:firstLine="1440"/>
        <w:jc w:val="both"/>
        <w:rPr>
          <w:sz w:val="20"/>
        </w:rPr>
      </w:pPr>
      <w:r>
        <w:rPr>
          <w:sz w:val="20"/>
        </w:rPr>
        <w:t>2.</w:t>
      </w:r>
      <w:r>
        <w:rPr>
          <w:caps w:val="false"/>
          <w:smallCaps w:val="false"/>
          <w:sz w:val="20"/>
        </w:rPr>
        <w:t xml:space="preserve">          </w:t>
      </w:r>
      <w:r>
        <w:rPr>
          <w:sz w:val="20"/>
          <w:u w:val="single"/>
        </w:rPr>
        <w:t>Vesting and Timing of Transfer</w:t>
      </w:r>
      <w:r>
        <w:rPr>
          <w:sz w:val="20"/>
        </w:rPr>
        <w:t>.</w:t>
      </w:r>
    </w:p>
    <w:p>
      <w:pPr>
        <w:pStyle w:val="TextBody"/>
        <w:bidi w:val="0"/>
        <w:spacing w:before="0" w:after="200"/>
        <w:ind w:left="0" w:right="0" w:firstLine="1890"/>
        <w:jc w:val="both"/>
        <w:rPr>
          <w:sz w:val="20"/>
        </w:rPr>
      </w:pPr>
      <w:r>
        <w:rPr>
          <w:sz w:val="20"/>
        </w:rPr>
        <w:t>(a)</w:t>
      </w:r>
      <w:r>
        <w:rPr>
          <w:caps w:val="false"/>
          <w:smallCaps w:val="false"/>
          <w:sz w:val="20"/>
        </w:rPr>
        <w:t xml:space="preserve">        </w:t>
      </w:r>
      <w:r>
        <w:rPr>
          <w:sz w:val="20"/>
        </w:rPr>
        <w:t xml:space="preserve">The Participant will become vested in the RSUs in accordance with the schedule set forth above; </w:t>
      </w:r>
      <w:r>
        <w:rPr>
          <w:sz w:val="20"/>
          <w:u w:val="single"/>
        </w:rPr>
        <w:t>provided</w:t>
      </w:r>
      <w:r>
        <w:rPr>
          <w:sz w:val="20"/>
        </w:rPr>
        <w:t xml:space="preserve">, </w:t>
      </w:r>
      <w:r>
        <w:rPr>
          <w:sz w:val="20"/>
          <w:u w:val="single"/>
        </w:rPr>
        <w:t>however</w:t>
      </w:r>
      <w:r>
        <w:rPr>
          <w:sz w:val="20"/>
        </w:rPr>
        <w:t>, that upon the occurrence of a Change in Control that results in the Company's Shares ceasing to be publicly traded on a national securities exchange, the RSUs shall immediately become fully vested (subject to any delay in Share delivery required pursuant to Section 16 hereof).</w:t>
      </w:r>
    </w:p>
    <w:p>
      <w:pPr>
        <w:pStyle w:val="TextBody"/>
        <w:bidi w:val="0"/>
        <w:spacing w:before="0" w:after="200"/>
        <w:ind w:left="0" w:right="0" w:firstLine="1890"/>
        <w:jc w:val="both"/>
        <w:rPr>
          <w:sz w:val="20"/>
        </w:rPr>
      </w:pPr>
      <w:r>
        <w:rPr>
          <w:sz w:val="20"/>
        </w:rPr>
        <w:t>(b)</w:t>
      </w:r>
      <w:r>
        <w:rPr>
          <w:caps w:val="false"/>
          <w:smallCaps w:val="false"/>
          <w:sz w:val="20"/>
        </w:rPr>
        <w:t xml:space="preserve">       </w:t>
      </w:r>
      <w:r>
        <w:rPr>
          <w:sz w:val="20"/>
        </w:rPr>
        <w:t xml:space="preserve">The Company shall transfer to the Participant, as soon as practicable but not later than 60 days after an applicable vesting date, a number of Class A Shares equal to the number of RSUs that became vested on that vesting date (rounded up to the next whole share), </w:t>
      </w:r>
      <w:r>
        <w:rPr>
          <w:sz w:val="20"/>
          <w:u w:val="single"/>
        </w:rPr>
        <w:t>provided</w:t>
      </w:r>
      <w:r>
        <w:rPr>
          <w:sz w:val="20"/>
        </w:rPr>
        <w:t xml:space="preserve">, </w:t>
      </w:r>
      <w:r>
        <w:rPr>
          <w:sz w:val="20"/>
          <w:u w:val="single"/>
        </w:rPr>
        <w:t>however</w:t>
      </w:r>
      <w:r>
        <w:rPr>
          <w:sz w:val="20"/>
        </w:rPr>
        <w:t>, that upon the final transfer of Shares to the Participant (i) such number of Shares shall be reduced to the extent necessary to reflect any previous rounding up pursuant to this sentence.  If the Participant is eligible to participate in, and has elected to defer the transfer of Shares pursuant to the terms of a nonqualified deferred compensation plan maintained by the Company, such Shares shall be so deferred, and any such deferral, when paid, shall be paid in Shares.  Once the transfer of any Shares is deferred, the rights and privileges of the Participant with respect to such Shares shall be determined solely pursuant to the terms of the applicable plan, and not pursuant to the terms and conditions of this Agreement.</w:t>
      </w:r>
    </w:p>
    <w:p>
      <w:pPr>
        <w:pStyle w:val="TextBody"/>
        <w:bidi w:val="0"/>
        <w:spacing w:before="0" w:after="0"/>
        <w:ind w:left="0" w:right="0" w:firstLine="1890"/>
        <w:jc w:val="both"/>
        <w:rPr>
          <w:sz w:val="20"/>
        </w:rPr>
      </w:pPr>
      <w:r>
        <w:rPr>
          <w:sz w:val="20"/>
        </w:rPr>
        <w:t>(c)</w:t>
      </w:r>
      <w:r>
        <w:rPr>
          <w:caps w:val="false"/>
          <w:smallCaps w:val="false"/>
          <w:sz w:val="20"/>
        </w:rPr>
        <w:t xml:space="preserve">        </w:t>
      </w:r>
      <w:r>
        <w:rPr>
          <w:sz w:val="20"/>
        </w:rPr>
        <w:t xml:space="preserve">Notwithstanding Sections 2(a) and 2(b) of this Agreement, if the Participant's employment with the Company and its Affiliates terminates due to (i) death, (ii) Disability or (iii) Retirement, the Company shall cause there to be transferred to the Participant, as soon as practicable but not later than 60 days after such termination, but subject to Section 16 of this Agreement, a number of Shares equal to the aggregate number of then unvested RSUs granted to the Participant under this Agreement.  In the event of the death of the Participant, the transfer of Shares under this Section 2(c) shall be made in accordance with the beneficiary designation form on file with the Company; </w:t>
      </w:r>
      <w:r>
        <w:rPr>
          <w:sz w:val="20"/>
          <w:u w:val="single"/>
        </w:rPr>
        <w:t>provided</w:t>
      </w:r>
      <w:r>
        <w:rPr>
          <w:sz w:val="20"/>
        </w:rPr>
        <w:t xml:space="preserve">, </w:t>
      </w:r>
      <w:r>
        <w:rPr>
          <w:sz w:val="20"/>
          <w:u w:val="single"/>
        </w:rPr>
        <w:t>however</w:t>
      </w:r>
      <w:r>
        <w:rPr>
          <w:sz w:val="20"/>
        </w:rPr>
        <w:t>, that, in the absence of any such beneficiary designation form, the transfer of Shares under this Section 2(c) shall be made to the person or persons to whom the Participant's rights under the Agreement shall pass by will or by the applicable laws of descent and distribution.  For purposes of this Agreement, "Disability" shall mean "Disability" as defined in the Plan, and "Retirement" shall mean termination of employment on or after age 60, or on or after age 58 with at least 15 years of "Service" to the Company and its Subsidiaries immediately preceding such termination of employment.  For this purpose, "Service" means the period of employment immediately preceding Retirement, plus any prior periods of employment with the Company and its Subsidiaries of one or more years' duration, unless they were succeeded by a period of non-employment with the Company and its Subsidiaries of more than three years' duration.</w:t>
      </w:r>
    </w:p>
    <w:p>
      <w:pPr>
        <w:pStyle w:val="TextBody"/>
        <w:bidi w:val="0"/>
        <w:spacing w:before="0" w:after="0"/>
        <w:jc w:val="left"/>
        <w:rPr/>
      </w:pPr>
      <w:r>
        <w:rPr/>
        <w:t> </w:t>
      </w:r>
    </w:p>
    <w:p>
      <w:pPr>
        <w:pStyle w:val="TextBody"/>
        <w:bidi w:val="0"/>
        <w:spacing w:before="0" w:after="0"/>
        <w:jc w:val="center"/>
        <w:rPr>
          <w:sz w:val="20"/>
        </w:rPr>
      </w:pPr>
      <w:r>
        <w:rPr>
          <w:sz w:val="20"/>
        </w:rPr>
        <w:t>1</w:t>
      </w:r>
    </w:p>
    <w:p>
      <w:pPr>
        <w:pStyle w:val="HorizontalLine"/>
        <w:pBdr>
          <w:bottom w:val="double" w:sz="2" w:space="0" w:color="808080"/>
        </w:pBdr>
        <w:bidi w:val="0"/>
        <w:jc w:val="center"/>
        <w:rPr/>
      </w:pPr>
      <w:r>
        <w:rPr/>
      </w:r>
    </w:p>
    <w:p>
      <w:pPr>
        <w:pStyle w:val="Heading2"/>
        <w:bidi w:val="0"/>
        <w:spacing w:before="0" w:after="200"/>
        <w:ind w:left="0" w:right="0" w:firstLine="1886"/>
        <w:jc w:val="both"/>
        <w:rPr>
          <w:sz w:val="20"/>
        </w:rPr>
      </w:pPr>
      <w:r>
        <w:rPr>
          <w:b w:val="false"/>
          <w:sz w:val="20"/>
        </w:rPr>
        <w:t>(d)</w:t>
      </w:r>
      <w:r>
        <w:rPr>
          <w:caps w:val="false"/>
          <w:smallCaps w:val="false"/>
          <w:sz w:val="20"/>
        </w:rPr>
        <w:t xml:space="preserve">        </w:t>
      </w:r>
      <w:r>
        <w:rPr>
          <w:b w:val="false"/>
          <w:sz w:val="20"/>
        </w:rPr>
        <w:t>Upon each transfer or deferral of Shares in accordance with Sections 2(a), 2(b) and 2(c) of this Agreement, a number of RSUs equal to the number of Shares transferred to the Participant or deferred shall be extinguished.</w:t>
      </w:r>
    </w:p>
    <w:p>
      <w:pPr>
        <w:pStyle w:val="TextBody"/>
        <w:bidi w:val="0"/>
        <w:spacing w:before="0" w:after="200"/>
        <w:ind w:left="0" w:right="0" w:firstLine="1890"/>
        <w:jc w:val="both"/>
        <w:rPr>
          <w:sz w:val="20"/>
        </w:rPr>
      </w:pPr>
      <w:r>
        <w:rPr>
          <w:sz w:val="20"/>
        </w:rPr>
        <w:t>(e)</w:t>
      </w:r>
      <w:r>
        <w:rPr>
          <w:caps w:val="false"/>
          <w:smallCaps w:val="false"/>
          <w:sz w:val="20"/>
        </w:rPr>
        <w:t xml:space="preserve">        </w:t>
      </w:r>
      <w:r>
        <w:rPr>
          <w:sz w:val="20"/>
        </w:rPr>
        <w:t>Notwithstanding Sections 2(a), 2(b) and 2(c) of this Agreement, upon the Participant's termination of employment for any reason other than (i) death, Disability or Retirement or (ii) under the circumstances described in clause (f) below, any unvested RSUs shall immediately terminate for no further consideration.</w:t>
      </w:r>
    </w:p>
    <w:p>
      <w:pPr>
        <w:pStyle w:val="TextBody"/>
        <w:bidi w:val="0"/>
        <w:spacing w:before="0" w:after="200"/>
        <w:ind w:left="0" w:right="0" w:firstLine="1890"/>
        <w:jc w:val="both"/>
        <w:rPr>
          <w:sz w:val="20"/>
        </w:rPr>
      </w:pPr>
      <w:r>
        <w:rPr>
          <w:sz w:val="20"/>
        </w:rPr>
        <w:t>(f)</w:t>
      </w:r>
      <w:r>
        <w:rPr>
          <w:caps w:val="false"/>
          <w:smallCaps w:val="false"/>
          <w:sz w:val="20"/>
        </w:rPr>
        <w:t xml:space="preserve">         </w:t>
      </w:r>
      <w:r>
        <w:rPr>
          <w:sz w:val="20"/>
          <w:u w:val="single"/>
        </w:rPr>
        <w:t>Termination without Cause or for Good Reason within Two Years Following a Change in Control</w:t>
      </w:r>
      <w:r>
        <w:rPr>
          <w:sz w:val="20"/>
        </w:rPr>
        <w:t>.  In the event of the Participant's involuntary termination of employment with the Company or a subsidiary thereof without "Cause" or for "Good Reason" within two years following a Change in Control, the RSUs, to the extent not previously vested and settled, shall immediately become fully vested and settled in Shares on the same terms as applicable to a termination due to death or Disability as described under Section 2(c) above.  For purposes of this Agreement, "Cause" shall mean the occurrence of any of the following: (a) the willful and continued failure of the Participant to perform substantially all of his or her duties with the Company (other than any such failure resulting from incapacity due to physical or mental illness) for a period of 10 days following a written demand for substantial performance that is delivered to such Participant by the Company, which specifically identifies the manner in which the Company believes the Participant has not substantially performed his or her duties; (b) dishonesty in the performance of the Participant's duties with the Company; (c) the Participant's conviction of, or plea of guilty or nolo contendere to, a crime under the laws of the United States or any state thereof constituting a felony or a misdemeanor involving moral turpitude; (d) the Participant's willful malfeasance or willful misconduct in connection with the Participant's duties with the Company or any act or omission which is injurious to the financial condition or business reputation of the Company or its affiliates; or (e) the Participant's breach of the provisions of Section 11 of this Agreement.  For purposes of this Agreement, "Good Reason" shall mean the occurrence of any of the following, without the Participant's express written consent:  (a) any material diminution in the Participant's duties, titles or responsibilities with the Company from those in effect immediately prior to a Change in Control or (b) any reduction in the Participant's annual base salary or any material reduction in the Participant's annual bonus opportunity, annual equity awards or long-term incentive program awards from the Participant's annual base salary or annual bonus opportunity, annual equity awards or long-term incentive program awards in effect immediately prior to a Change in Control.  Notwithstanding the foregoing, no event shall constitute Good Reason unless the Participant provides the Company with written notice of such event within 60 days after the occurrence thereof and the Company fails to cure or resolve the behavior otherwise constituting Good Reason within 30 days of its receipt of such notice.</w:t>
      </w:r>
    </w:p>
    <w:p>
      <w:pPr>
        <w:pStyle w:val="TextBody"/>
        <w:bidi w:val="0"/>
        <w:spacing w:before="0" w:after="200"/>
        <w:ind w:left="0" w:right="0" w:firstLine="1440"/>
        <w:jc w:val="both"/>
        <w:rPr>
          <w:sz w:val="20"/>
        </w:rPr>
      </w:pPr>
      <w:r>
        <w:rPr>
          <w:sz w:val="20"/>
        </w:rPr>
        <w:t>3.</w:t>
      </w:r>
      <w:r>
        <w:rPr>
          <w:caps w:val="false"/>
          <w:smallCaps w:val="false"/>
          <w:sz w:val="20"/>
        </w:rPr>
        <w:t xml:space="preserve">          </w:t>
      </w:r>
      <w:r>
        <w:rPr>
          <w:sz w:val="20"/>
          <w:u w:val="single"/>
        </w:rPr>
        <w:t>Dividends</w:t>
      </w:r>
      <w:r>
        <w:rPr>
          <w:sz w:val="20"/>
        </w:rPr>
        <w:t>.  If on any date while RSUs are outstanding hereunder the Company shall pay any dividend on the Shares (other than a dividend payable in Shares), the number of RSUs granted to the Participant shall, as of such dividend payment date, be increased by a number of RSUs equal to: (a) the product of (x) the number of RSUs held by the Participant as of the related dividend record date, multiplied by (y) the per Share amount of any cash dividend (or, in the case of any dividend payable in whole or in part other than in cash, the per Share value of such dividend, as determined in good faith by the Committee), divided by (b) the Fair Market Value of a Share on the payment date of such dividend.  In the case of any dividend declared on Shares that is payable in the form of Shares, the number of RSUs granted to the Participant shall be increased by a number equal to the product of (a) the RSUs that are held by the Participant on the related dividend record date, multiplied by (b) the number of Shares (including any fraction thereof) payable as a dividend on a Share.  Any RSUs attributable to dividends under this Section 3 shall be subject to the vesting provisions provided in Section 2.</w:t>
      </w:r>
    </w:p>
    <w:p>
      <w:pPr>
        <w:pStyle w:val="TextBody"/>
        <w:bidi w:val="0"/>
        <w:spacing w:before="0" w:after="200"/>
        <w:ind w:left="0" w:right="0" w:firstLine="1440"/>
        <w:jc w:val="both"/>
        <w:rPr>
          <w:sz w:val="20"/>
        </w:rPr>
      </w:pPr>
      <w:r>
        <w:rPr>
          <w:sz w:val="20"/>
        </w:rPr>
        <w:t>4.</w:t>
      </w:r>
      <w:r>
        <w:rPr>
          <w:caps w:val="false"/>
          <w:smallCaps w:val="false"/>
          <w:sz w:val="20"/>
        </w:rPr>
        <w:t xml:space="preserve">          </w:t>
      </w:r>
      <w:r>
        <w:rPr>
          <w:sz w:val="20"/>
          <w:u w:val="single"/>
        </w:rPr>
        <w:t>Adjustments Upon Certain Events</w:t>
      </w:r>
      <w:r>
        <w:rPr>
          <w:sz w:val="20"/>
        </w:rPr>
        <w:t>.  Subject to the terms of the Plan, in the event of any change in the outstanding Shares by reason of any Share dividend or split, reorganization, recapitalization, merger, consolidation, amalgamation, spin-off or combination transaction or exchange of Shares or other similar events (collectively, an "Adjustment Event"), the Committee shall, in its sole discretion, make an appropriate and equitable adjustment in the number of RSUs subject to this Agreement to reflect such Adjustment Event.  Any such adjustment made by the Committee shall be final and binding upon the Participant, the Company and all other interested persons.</w:t>
      </w:r>
    </w:p>
    <w:p>
      <w:pPr>
        <w:pStyle w:val="TextBody"/>
        <w:bidi w:val="0"/>
        <w:spacing w:before="0" w:after="200"/>
        <w:ind w:left="0" w:right="0" w:firstLine="1440"/>
        <w:jc w:val="both"/>
        <w:rPr>
          <w:sz w:val="20"/>
        </w:rPr>
      </w:pPr>
      <w:r>
        <w:rPr>
          <w:sz w:val="20"/>
        </w:rPr>
        <w:t>5.</w:t>
      </w:r>
      <w:r>
        <w:rPr>
          <w:caps w:val="false"/>
          <w:smallCaps w:val="false"/>
          <w:sz w:val="20"/>
        </w:rPr>
        <w:t xml:space="preserve">          </w:t>
      </w:r>
      <w:r>
        <w:rPr>
          <w:sz w:val="20"/>
          <w:u w:val="single"/>
        </w:rPr>
        <w:t>No Right to Continued Employment</w:t>
      </w:r>
      <w:r>
        <w:rPr>
          <w:sz w:val="20"/>
        </w:rPr>
        <w:t>.  Neither the Plan nor this Agreement shall be construed as giving the Participant the right to be retained in the employ of, or in any consulting relationship to, the Company or any Affiliate.  Further, the Company or an Affiliate may at any time dismiss the Participant, free from any liability or any claim under the Plan or this Agreement, except as otherwise expressly provided herein.</w:t>
      </w:r>
    </w:p>
    <w:p>
      <w:pPr>
        <w:pStyle w:val="TextBody"/>
        <w:bidi w:val="0"/>
        <w:spacing w:before="0" w:after="200"/>
        <w:ind w:left="0" w:right="0" w:firstLine="1440"/>
        <w:jc w:val="both"/>
        <w:rPr>
          <w:sz w:val="20"/>
        </w:rPr>
      </w:pPr>
      <w:r>
        <w:rPr>
          <w:sz w:val="20"/>
        </w:rPr>
        <w:t>6.</w:t>
      </w:r>
      <w:r>
        <w:rPr>
          <w:caps w:val="false"/>
          <w:smallCaps w:val="false"/>
          <w:sz w:val="20"/>
        </w:rPr>
        <w:t xml:space="preserve">          </w:t>
      </w:r>
      <w:r>
        <w:rPr>
          <w:sz w:val="20"/>
          <w:u w:val="single"/>
        </w:rPr>
        <w:t>No Acquired Rights</w:t>
      </w:r>
      <w:r>
        <w:rPr>
          <w:sz w:val="20"/>
        </w:rPr>
        <w:t>.  In participating in the Plan, the Participant acknowledges and accepts that the Board has the power to amend or terminate the Plan, to the extent permitted thereunder, at any time and that the opportunity given to the Participant to participate in the Plan is entirely at the discretion of the Committee and does not obligate the Company or any of its Affiliates to offer such participation in the future (whether on the same or different terms).  The Participant further acknowledges and accepts that such Participant's participation in the Plan is not to be considered part of any normal or expected compensation and that the termination of the Participant's employment under any circumstances whatsoever will give the Participant no claim or right of action against the Company or its Affiliates in respect of any loss of rights under this Agreement or the Plan that may arise as a result of such termination of employment.</w:t>
      </w:r>
    </w:p>
    <w:p>
      <w:pPr>
        <w:pStyle w:val="TextBody"/>
        <w:bidi w:val="0"/>
        <w:spacing w:before="0" w:after="0"/>
        <w:ind w:left="0" w:right="0" w:firstLine="1440"/>
        <w:jc w:val="both"/>
        <w:rPr>
          <w:sz w:val="20"/>
        </w:rPr>
      </w:pPr>
      <w:r>
        <w:rPr>
          <w:sz w:val="20"/>
        </w:rPr>
        <w:t>7.</w:t>
      </w:r>
      <w:r>
        <w:rPr>
          <w:caps w:val="false"/>
          <w:smallCaps w:val="false"/>
          <w:sz w:val="20"/>
        </w:rPr>
        <w:t xml:space="preserve">          </w:t>
      </w:r>
      <w:r>
        <w:rPr>
          <w:sz w:val="20"/>
          <w:u w:val="single"/>
        </w:rPr>
        <w:t>No Rights of a Shareholder</w:t>
      </w:r>
      <w:r>
        <w:rPr>
          <w:sz w:val="20"/>
        </w:rPr>
        <w:t>.  The Participant shall not have any rights or privileges as a shareholder of the Company until the Shares in question have been registered in the Company's register of shareholders.</w:t>
      </w:r>
    </w:p>
    <w:p>
      <w:pPr>
        <w:pStyle w:val="TextBody"/>
        <w:bidi w:val="0"/>
        <w:spacing w:before="0" w:after="0"/>
        <w:jc w:val="left"/>
        <w:rPr/>
      </w:pPr>
      <w:r>
        <w:rPr/>
        <w:t> </w:t>
      </w:r>
    </w:p>
    <w:p>
      <w:pPr>
        <w:pStyle w:val="TextBody"/>
        <w:bidi w:val="0"/>
        <w:spacing w:before="0" w:after="0"/>
        <w:jc w:val="center"/>
        <w:rPr>
          <w:sz w:val="20"/>
        </w:rPr>
      </w:pPr>
      <w:r>
        <w:rPr>
          <w:sz w:val="20"/>
        </w:rPr>
        <w:t>2</w:t>
      </w:r>
    </w:p>
    <w:p>
      <w:pPr>
        <w:pStyle w:val="HorizontalLine"/>
        <w:pBdr>
          <w:bottom w:val="double" w:sz="2" w:space="0" w:color="808080"/>
        </w:pBdr>
        <w:bidi w:val="0"/>
        <w:jc w:val="center"/>
        <w:rPr/>
      </w:pPr>
      <w:r>
        <w:rPr/>
      </w:r>
    </w:p>
    <w:p>
      <w:pPr>
        <w:pStyle w:val="Heading1"/>
        <w:bidi w:val="0"/>
        <w:spacing w:before="0" w:after="200"/>
        <w:ind w:left="0" w:right="0" w:firstLine="1440"/>
        <w:jc w:val="both"/>
        <w:rPr>
          <w:sz w:val="20"/>
        </w:rPr>
      </w:pPr>
      <w:r>
        <w:rPr>
          <w:b w:val="false"/>
          <w:sz w:val="20"/>
        </w:rPr>
        <w:t>8.</w:t>
      </w:r>
      <w:r>
        <w:rPr>
          <w:caps w:val="false"/>
          <w:smallCaps w:val="false"/>
          <w:sz w:val="20"/>
        </w:rPr>
        <w:t xml:space="preserve">          </w:t>
      </w:r>
      <w:r>
        <w:rPr>
          <w:b w:val="false"/>
          <w:sz w:val="20"/>
          <w:u w:val="single"/>
        </w:rPr>
        <w:t>Legend on Certificates</w:t>
      </w:r>
      <w:r>
        <w:rPr>
          <w:b w:val="false"/>
          <w:sz w:val="20"/>
        </w:rPr>
        <w:t>.</w:t>
      </w:r>
      <w:r>
        <w:rPr>
          <w:sz w:val="20"/>
        </w:rPr>
        <w:t xml:space="preserve">  </w:t>
      </w:r>
      <w:r>
        <w:rPr>
          <w:b w:val="false"/>
          <w:sz w:val="20"/>
        </w:rPr>
        <w:t>Any Shares issued or transferred to the Participant pursuant to Section 2 of this Agreement shall be subject to such stop transfer orders and other restrictions as the Committee may deem advisable under the Plan or the rules, regulations, and other requirements of the Securities and Exchange Commission, any stock exchange upon which such Shares are listed, and any applicable Federal or state laws or relevant securities laws of the jurisdiction of the domicile of the Participant, and the Committee may cause a legend or legends to be put on any certificates representing such Shares to make appropriate reference to such restrictions.</w:t>
      </w:r>
      <w:r>
        <w:rPr>
          <w:sz w:val="20"/>
        </w:rPr>
        <w:t xml:space="preserve">  </w:t>
      </w:r>
      <w:r>
        <w:rPr>
          <w:b w:val="false"/>
          <w:sz w:val="20"/>
        </w:rPr>
        <w:t>Whenever reference in this Agreement is made to the issuance or delivery of certificates representing Shares, the Company may elect to issue or deliver such Shares in book entry form in lieu of certificates.</w:t>
      </w:r>
    </w:p>
    <w:p>
      <w:pPr>
        <w:pStyle w:val="TextBody"/>
        <w:bidi w:val="0"/>
        <w:spacing w:before="0" w:after="200"/>
        <w:ind w:left="0" w:right="0" w:firstLine="1440"/>
        <w:jc w:val="both"/>
        <w:rPr>
          <w:sz w:val="20"/>
        </w:rPr>
      </w:pPr>
      <w:r>
        <w:rPr>
          <w:sz w:val="20"/>
        </w:rPr>
        <w:t>9.</w:t>
      </w:r>
      <w:r>
        <w:rPr>
          <w:caps w:val="false"/>
          <w:smallCaps w:val="false"/>
          <w:sz w:val="20"/>
        </w:rPr>
        <w:t xml:space="preserve">          </w:t>
      </w:r>
      <w:r>
        <w:rPr>
          <w:sz w:val="20"/>
          <w:u w:val="single"/>
        </w:rPr>
        <w:t>Transferability</w:t>
      </w:r>
      <w:r>
        <w:rPr>
          <w:sz w:val="20"/>
        </w:rPr>
        <w:t>.  RSUs may not be assigned, alienated, pledged, attached, sold or otherwise transferred or encumbered by the Participant otherwise than by will or by the laws of descent and distribution, and any purported assignment, alienation, pledge, attachment, sale, transfer or encumbrance not permitted by this Section 9 shall be void and unenforceable against the Company or any Affiliate.</w:t>
      </w:r>
    </w:p>
    <w:p>
      <w:pPr>
        <w:pStyle w:val="TextBody"/>
        <w:bidi w:val="0"/>
        <w:spacing w:before="0" w:after="200"/>
        <w:ind w:left="0" w:right="0" w:firstLine="1440"/>
        <w:jc w:val="both"/>
        <w:rPr>
          <w:sz w:val="20"/>
        </w:rPr>
      </w:pPr>
      <w:r>
        <w:rPr>
          <w:sz w:val="20"/>
        </w:rPr>
        <w:t>10.</w:t>
      </w:r>
      <w:r>
        <w:rPr>
          <w:caps w:val="false"/>
          <w:smallCaps w:val="false"/>
          <w:sz w:val="20"/>
        </w:rPr>
        <w:t xml:space="preserve">       </w:t>
      </w:r>
      <w:r>
        <w:rPr>
          <w:sz w:val="20"/>
          <w:u w:val="single"/>
        </w:rPr>
        <w:t>Withholding</w:t>
      </w:r>
      <w:r>
        <w:rPr>
          <w:sz w:val="20"/>
        </w:rPr>
        <w:t xml:space="preserve">.  The Participant may be required to pay to the Company or any Affiliate and the Company or any Affiliate shall have the right and is hereby authorized to withhold from any transfer due under this Agreement or under the Plan or from any compensation or other amount owing to the Participant, applicable withholding taxes with respect to any transfer under this Agreement or under the Plan and to take such action as may be necessary in the opinion of the Company to satisfy all obligations for the payment of such taxes.  </w:t>
      </w:r>
    </w:p>
    <w:p>
      <w:pPr>
        <w:pStyle w:val="TextBody"/>
        <w:bidi w:val="0"/>
        <w:spacing w:before="0" w:after="240"/>
        <w:ind w:left="0" w:right="0" w:firstLine="1440"/>
        <w:jc w:val="left"/>
        <w:rPr>
          <w:sz w:val="20"/>
        </w:rPr>
      </w:pPr>
      <w:r>
        <w:rPr>
          <w:b/>
          <w:sz w:val="20"/>
        </w:rPr>
        <w:t>11.</w:t>
      </w:r>
      <w:r>
        <w:rPr>
          <w:sz w:val="20"/>
        </w:rPr>
        <w:t xml:space="preserve">   </w:t>
      </w:r>
      <w:r>
        <w:rPr>
          <w:b/>
          <w:sz w:val="20"/>
          <w:u w:val="single"/>
        </w:rPr>
        <w:t>Non-Solicitation Covenants</w:t>
      </w:r>
      <w:r>
        <w:rPr>
          <w:b/>
          <w:sz w:val="20"/>
        </w:rPr>
        <w:t>.</w:t>
      </w:r>
      <w:r>
        <w:rPr>
          <w:sz w:val="20"/>
        </w:rPr>
        <w:t xml:space="preserve">  </w:t>
      </w:r>
    </w:p>
    <w:p>
      <w:pPr>
        <w:pStyle w:val="TextBody"/>
        <w:bidi w:val="0"/>
        <w:spacing w:before="0" w:after="200"/>
        <w:ind w:left="0" w:right="0" w:firstLine="1890"/>
        <w:jc w:val="both"/>
        <w:rPr>
          <w:sz w:val="20"/>
        </w:rPr>
      </w:pPr>
      <w:r>
        <w:rPr>
          <w:b/>
          <w:sz w:val="20"/>
        </w:rPr>
        <w:t>(a)</w:t>
      </w:r>
      <w:r>
        <w:rPr>
          <w:caps w:val="false"/>
          <w:smallCaps w:val="false"/>
          <w:sz w:val="20"/>
        </w:rPr>
        <w:t xml:space="preserve">       </w:t>
      </w:r>
      <w:r>
        <w:rPr>
          <w:b/>
          <w:sz w:val="20"/>
        </w:rPr>
        <w:t>The Participant acknowledges and agrees that, during the Participant's employment with the Company and its Affiliates and upon the Participant's termination of Employment with the Company and its Affiliates for any reason, for a period commencing on the termination of such Employment and ending on the second anniversary of such termination, the Participant shall not, whether on Participant's own behalf or on behalf of or in conjunction with any person, company, business entity or other organization whatsoever, directly or indirectly:</w:t>
      </w:r>
    </w:p>
    <w:p>
      <w:pPr>
        <w:pStyle w:val="TextBody"/>
        <w:bidi w:val="0"/>
        <w:spacing w:before="0" w:after="200"/>
        <w:ind w:left="0" w:right="0" w:firstLine="2340"/>
        <w:jc w:val="both"/>
        <w:rPr>
          <w:sz w:val="20"/>
        </w:rPr>
      </w:pPr>
      <w:r>
        <w:rPr>
          <w:b/>
          <w:sz w:val="20"/>
        </w:rPr>
        <w:t>(i)</w:t>
      </w:r>
      <w:r>
        <w:rPr>
          <w:caps w:val="false"/>
          <w:smallCaps w:val="false"/>
          <w:sz w:val="20"/>
        </w:rPr>
        <w:t xml:space="preserve">            </w:t>
      </w:r>
      <w:r>
        <w:rPr>
          <w:b/>
          <w:sz w:val="20"/>
        </w:rPr>
        <w:t>solicit any employee of the Company or its Affiliates with whom the Participant had any contact during the last two years of the Participant's employment, or who worked in the same business segment or division as the Participant during that period to terminate employment with the Company or its Affiliates;</w:t>
      </w:r>
    </w:p>
    <w:p>
      <w:pPr>
        <w:pStyle w:val="TextBody"/>
        <w:bidi w:val="0"/>
        <w:spacing w:before="0" w:after="200"/>
        <w:ind w:left="0" w:right="0" w:firstLine="2340"/>
        <w:jc w:val="both"/>
        <w:rPr>
          <w:sz w:val="20"/>
        </w:rPr>
      </w:pPr>
      <w:r>
        <w:rPr>
          <w:b/>
          <w:sz w:val="20"/>
        </w:rPr>
        <w:t>(ii)</w:t>
      </w:r>
      <w:r>
        <w:rPr>
          <w:caps w:val="false"/>
          <w:smallCaps w:val="false"/>
          <w:sz w:val="20"/>
        </w:rPr>
        <w:t xml:space="preserve">          </w:t>
      </w:r>
      <w:r>
        <w:rPr>
          <w:b/>
          <w:sz w:val="20"/>
        </w:rPr>
        <w:t>solicit the employment or services of, or hire, any such employee whose employment with the Company or its Affiliates terminated coincident with, or within twelve (12) months prior to or after the termination of Participant's employment with the Company and its Affiliates;</w:t>
      </w:r>
    </w:p>
    <w:p>
      <w:pPr>
        <w:pStyle w:val="TextBody"/>
        <w:bidi w:val="0"/>
        <w:spacing w:before="0" w:after="200"/>
        <w:ind w:left="0" w:right="0" w:firstLine="2340"/>
        <w:jc w:val="both"/>
        <w:rPr>
          <w:sz w:val="20"/>
        </w:rPr>
      </w:pPr>
      <w:r>
        <w:rPr>
          <w:b/>
          <w:sz w:val="20"/>
        </w:rPr>
        <w:t>(iii)</w:t>
      </w:r>
      <w:r>
        <w:rPr>
          <w:caps w:val="false"/>
          <w:smallCaps w:val="false"/>
          <w:sz w:val="20"/>
        </w:rPr>
        <w:t xml:space="preserve">        </w:t>
      </w:r>
      <w:r>
        <w:rPr>
          <w:b/>
          <w:sz w:val="20"/>
        </w:rPr>
        <w:t>directly or indirectly, solicit to cease to work with the Company or its Affiliates any consultant then under contract with the Company or its Affiliates.</w:t>
      </w:r>
    </w:p>
    <w:p>
      <w:pPr>
        <w:pStyle w:val="TextBody"/>
        <w:bidi w:val="0"/>
        <w:spacing w:before="0" w:after="0"/>
        <w:ind w:left="0" w:right="0" w:firstLine="1886"/>
        <w:jc w:val="both"/>
        <w:rPr>
          <w:sz w:val="20"/>
        </w:rPr>
      </w:pPr>
      <w:r>
        <w:rPr>
          <w:b/>
          <w:sz w:val="20"/>
        </w:rPr>
        <w:t>(b)</w:t>
      </w:r>
      <w:r>
        <w:rPr>
          <w:caps w:val="false"/>
          <w:smallCaps w:val="false"/>
          <w:sz w:val="20"/>
        </w:rPr>
        <w:t xml:space="preserve">       </w:t>
      </w:r>
      <w:r>
        <w:rPr>
          <w:b/>
          <w:sz w:val="20"/>
        </w:rPr>
        <w:t>It is expressly understood and agreed that although the Participant and the Company consider the restrictions contained in this Section 11 to be reasonable, if a final judicial determination is made by a court of competent jurisdiction that the time or any other restriction contained in this Agreement is an unenforceable restriction against the Participant, the provisions of this Agreement shall not be rendered void but shall be deemed amended to apply as to such maximum time and terri</w:t>
        <w:softHyphen/>
        <w:t>tory and to such maximum extent as such court may judicially determine or indicate to be enforceable.</w:t>
      </w:r>
      <w:r>
        <w:rPr>
          <w:sz w:val="20"/>
        </w:rPr>
        <w:t xml:space="preserve">  </w:t>
      </w:r>
      <w:r>
        <w:rPr>
          <w:b/>
          <w:sz w:val="20"/>
        </w:rPr>
        <w:t>Alternatively, if any court of competent jurisdiction finds that any restric</w:t>
        <w:softHyphen/>
        <w:t>tion contained in this Agreement is unenforceable, and such restriction cannot be amended so as to make it enforceable, such finding shall not affect the enforceability of any of the other restrictions contained herein.</w:t>
      </w:r>
    </w:p>
    <w:p>
      <w:pPr>
        <w:pStyle w:val="TextBody"/>
        <w:bidi w:val="0"/>
        <w:spacing w:before="0" w:after="0"/>
        <w:ind w:left="0" w:right="0" w:firstLine="1440"/>
        <w:jc w:val="left"/>
        <w:rPr/>
      </w:pPr>
      <w:r>
        <w:rPr/>
        <w:t> </w:t>
      </w:r>
    </w:p>
    <w:p>
      <w:pPr>
        <w:pStyle w:val="TextBody"/>
        <w:bidi w:val="0"/>
        <w:spacing w:before="0" w:after="240"/>
        <w:ind w:left="0" w:right="0" w:firstLine="1440"/>
        <w:jc w:val="left"/>
        <w:rPr/>
      </w:pPr>
      <w:r>
        <w:rPr>
          <w:b/>
          <w:sz w:val="20"/>
        </w:rPr>
        <w:t>12.</w:t>
      </w:r>
      <w:r>
        <w:rPr/>
        <w:t xml:space="preserve">  </w:t>
      </w:r>
      <w:r>
        <w:rPr>
          <w:b/>
          <w:sz w:val="20"/>
          <w:u w:val="single"/>
        </w:rPr>
        <w:t>Specific Performance</w:t>
      </w:r>
      <w:r>
        <w:rPr>
          <w:b/>
          <w:sz w:val="20"/>
        </w:rPr>
        <w:t>.</w:t>
      </w:r>
      <w:r>
        <w:rPr/>
        <w:t xml:space="preserve">  </w:t>
      </w:r>
      <w:r>
        <w:rPr>
          <w:b/>
          <w:sz w:val="20"/>
        </w:rPr>
        <w:t>The Participant acknowledges and agrees that the Company's remedies at law for a breach or threatened breach of any of the provisions of Section 11 would be inadequate and the Company would suffer irreparable damages as a result of such breach or threatened breach.</w:t>
      </w:r>
      <w:r>
        <w:rPr/>
        <w:t xml:space="preserve">  </w:t>
      </w:r>
      <w:r>
        <w:rPr>
          <w:b/>
          <w:sz w:val="20"/>
        </w:rPr>
        <w:t>In recognition of this fact, the Participant agrees that, in the event of such a breach or threatened breach, in addition to any remedies at law, the Company, without posting any bond, shall be entitled to cease making any payments or providing any benefit otherwise required by this Agreement and obtain equitable relief in the form of specific performance, temporary restraining order, temporary or permanent injunction or any other equitable remedy which may then be available.</w:t>
      </w:r>
    </w:p>
    <w:p>
      <w:pPr>
        <w:pStyle w:val="TextBody"/>
        <w:bidi w:val="0"/>
        <w:spacing w:before="0" w:after="0"/>
        <w:ind w:left="0" w:right="0" w:firstLine="1440"/>
        <w:jc w:val="both"/>
        <w:rPr>
          <w:sz w:val="20"/>
        </w:rPr>
      </w:pPr>
      <w:r>
        <w:rPr>
          <w:b/>
          <w:sz w:val="20"/>
        </w:rPr>
        <w:t>13.</w:t>
      </w:r>
      <w:r>
        <w:rPr>
          <w:caps w:val="false"/>
          <w:smallCaps w:val="false"/>
          <w:sz w:val="20"/>
        </w:rPr>
        <w:t xml:space="preserve">    </w:t>
      </w:r>
      <w:r>
        <w:rPr>
          <w:b/>
          <w:sz w:val="20"/>
          <w:u w:val="single"/>
        </w:rPr>
        <w:t>Choice of Law</w:t>
      </w:r>
      <w:r>
        <w:rPr>
          <w:b/>
          <w:sz w:val="20"/>
        </w:rPr>
        <w:t>.</w:t>
      </w:r>
      <w:r>
        <w:rPr>
          <w:sz w:val="20"/>
        </w:rPr>
        <w:t xml:space="preserve">  </w:t>
      </w:r>
      <w:r>
        <w:rPr>
          <w:b/>
          <w:sz w:val="20"/>
        </w:rPr>
        <w:t>THE INTERPRETATION, PERFORMANCE AND ENFORCEMENT OF THIS AGREEMENT SHALL BE GOVERNED BY THE LAWS OF THE STATE OF DELAWARE WITHOUT REGARD TO PRINCIPLES OF CONFLICTS OF LAW.</w:t>
      </w:r>
    </w:p>
    <w:p>
      <w:pPr>
        <w:pStyle w:val="TextBody"/>
        <w:bidi w:val="0"/>
        <w:spacing w:before="0" w:after="0"/>
        <w:jc w:val="left"/>
        <w:rPr/>
      </w:pPr>
      <w:r>
        <w:rPr/>
        <w:t> </w:t>
      </w:r>
    </w:p>
    <w:p>
      <w:pPr>
        <w:pStyle w:val="TextBody"/>
        <w:bidi w:val="0"/>
        <w:spacing w:before="0" w:after="0"/>
        <w:ind w:left="0" w:right="0" w:firstLine="1440"/>
        <w:jc w:val="both"/>
        <w:rPr>
          <w:sz w:val="20"/>
        </w:rPr>
      </w:pPr>
      <w:r>
        <w:rPr>
          <w:sz w:val="20"/>
        </w:rPr>
        <w:t>14.</w:t>
      </w:r>
      <w:r>
        <w:rPr>
          <w:caps w:val="false"/>
          <w:smallCaps w:val="false"/>
          <w:sz w:val="20"/>
        </w:rPr>
        <w:t xml:space="preserve">    </w:t>
      </w:r>
      <w:r>
        <w:rPr>
          <w:sz w:val="20"/>
          <w:u w:val="single"/>
        </w:rPr>
        <w:t>RSUs Subject to Plan</w:t>
      </w:r>
      <w:r>
        <w:rPr>
          <w:sz w:val="20"/>
        </w:rPr>
        <w:t>.  By entering into this Agreement, the Participant agrees and acknowledges that the Participant has received and read a copy of the Plan.  All RSUs are subject to the Plan.  In the event of a conflict between any term or provision contained herein and a term or provision of the Plan, the applicable terms and provisions of the Plan will govern and prevail.</w:t>
      </w:r>
    </w:p>
    <w:p>
      <w:pPr>
        <w:pStyle w:val="TextBody"/>
        <w:bidi w:val="0"/>
        <w:spacing w:before="0" w:after="0"/>
        <w:ind w:left="1440" w:right="0" w:hanging="0"/>
        <w:jc w:val="both"/>
        <w:rPr/>
      </w:pPr>
      <w:r>
        <w:rPr/>
        <w:t> </w:t>
      </w:r>
    </w:p>
    <w:p>
      <w:pPr>
        <w:pStyle w:val="TextBody"/>
        <w:bidi w:val="0"/>
        <w:spacing w:before="0" w:after="0"/>
        <w:ind w:left="0" w:right="0" w:firstLine="1440"/>
        <w:jc w:val="both"/>
        <w:rPr>
          <w:sz w:val="20"/>
        </w:rPr>
      </w:pPr>
      <w:r>
        <w:rPr>
          <w:sz w:val="20"/>
        </w:rPr>
        <w:t>15.</w:t>
      </w:r>
      <w:r>
        <w:rPr>
          <w:caps w:val="false"/>
          <w:smallCaps w:val="false"/>
          <w:sz w:val="20"/>
        </w:rPr>
        <w:t xml:space="preserve">    </w:t>
      </w:r>
      <w:r>
        <w:rPr>
          <w:sz w:val="20"/>
          <w:u w:val="single"/>
        </w:rPr>
        <w:t>Signature in Counterparts</w:t>
      </w:r>
      <w:r>
        <w:rPr>
          <w:sz w:val="20"/>
        </w:rPr>
        <w:t>.  This Agreement may be signed in counterparts, each of which shall be an original, with the same effect as if the signatures thereto and hereto were upon the same instrument.</w:t>
      </w:r>
    </w:p>
    <w:p>
      <w:pPr>
        <w:pStyle w:val="TextBody"/>
        <w:bidi w:val="0"/>
        <w:spacing w:before="0" w:after="0"/>
        <w:ind w:left="1440" w:right="0" w:hanging="0"/>
        <w:jc w:val="both"/>
        <w:rPr/>
      </w:pPr>
      <w:r>
        <w:rPr/>
        <w:t> </w:t>
      </w:r>
    </w:p>
    <w:p>
      <w:pPr>
        <w:pStyle w:val="TextBody"/>
        <w:bidi w:val="0"/>
        <w:spacing w:before="0" w:after="0"/>
        <w:ind w:left="0" w:right="0" w:firstLine="1440"/>
        <w:jc w:val="both"/>
        <w:rPr>
          <w:sz w:val="20"/>
        </w:rPr>
      </w:pPr>
      <w:r>
        <w:rPr>
          <w:sz w:val="20"/>
        </w:rPr>
        <w:t>16.</w:t>
      </w:r>
      <w:r>
        <w:rPr>
          <w:caps w:val="false"/>
          <w:smallCaps w:val="false"/>
          <w:sz w:val="20"/>
        </w:rPr>
        <w:t xml:space="preserve">       </w:t>
      </w:r>
      <w:r>
        <w:rPr>
          <w:sz w:val="20"/>
          <w:u w:val="single"/>
        </w:rPr>
        <w:t>409A</w:t>
      </w:r>
      <w:r>
        <w:rPr>
          <w:sz w:val="20"/>
        </w:rPr>
        <w:t>.  Notwithstanding any other provisions of this Agreement or the Plan, this RSU shall not be deferred, accelerated, extended, paid out or modified in a manner that would result in the imposition of an additional tax under Section 409A of the Code upon the Participant.  In the event it is reasonably determined by the Committee that, as a result of Section 409A of the Code, the transfer of Class A Shares under this Agreement may not be made at the time contemplated hereunder without causing the Participant to be subject to taxation under Section 409A of the Code (including due to the Participant's status as a "specified employee" within the meaning of Section 409A of the Code), the Company will make such payment on the first day that would not result in the Participant incurring any tax liability under Section 409A of the Code.</w:t>
      </w:r>
    </w:p>
    <w:p>
      <w:pPr>
        <w:pStyle w:val="TextBody"/>
        <w:bidi w:val="0"/>
        <w:spacing w:before="0" w:after="0"/>
        <w:jc w:val="left"/>
        <w:rPr/>
      </w:pPr>
      <w:r>
        <w:rPr/>
        <w:t> </w:t>
      </w:r>
    </w:p>
    <w:p>
      <w:pPr>
        <w:pStyle w:val="TextBody"/>
        <w:bidi w:val="0"/>
        <w:spacing w:before="0" w:after="0"/>
        <w:jc w:val="center"/>
        <w:rPr>
          <w:sz w:val="20"/>
        </w:rPr>
      </w:pPr>
      <w:r>
        <w:rPr>
          <w:sz w:val="20"/>
        </w:rPr>
        <w:t>3</w:t>
      </w:r>
    </w:p>
    <w:p>
      <w:pPr>
        <w:pStyle w:val="HorizontalLine"/>
        <w:pBdr>
          <w:bottom w:val="double" w:sz="2" w:space="0" w:color="808080"/>
        </w:pBdr>
        <w:bidi w:val="0"/>
        <w:jc w:val="center"/>
        <w:rPr/>
      </w:pPr>
      <w:r>
        <w:rPr/>
      </w:r>
    </w:p>
    <w:p>
      <w:pPr>
        <w:pStyle w:val="TextBody"/>
        <w:bidi w:val="0"/>
        <w:spacing w:before="0" w:after="0"/>
        <w:ind w:left="0" w:right="0" w:firstLine="1440"/>
        <w:jc w:val="left"/>
        <w:rPr>
          <w:sz w:val="20"/>
        </w:rPr>
      </w:pPr>
      <w:r>
        <w:rPr>
          <w:sz w:val="20"/>
        </w:rPr>
        <w:t>IN WITNESS WHEREOF, the parties hereto have executed this Agreement.</w:t>
      </w:r>
    </w:p>
    <w:p>
      <w:pPr>
        <w:pStyle w:val="TextBody"/>
        <w:bidi w:val="0"/>
        <w:spacing w:before="0" w:after="0"/>
        <w:jc w:val="left"/>
        <w:rPr/>
      </w:pPr>
      <w:r>
        <w:rPr/>
        <w:t> </w:t>
      </w:r>
    </w:p>
    <w:tbl>
      <w:tblPr>
        <w:tblW w:w="3019" w:type="dxa"/>
        <w:jc w:val="left"/>
        <w:tblInd w:w="0" w:type="dxa"/>
        <w:tblLayout w:type="fixed"/>
        <w:tblCellMar>
          <w:top w:w="0" w:type="dxa"/>
          <w:left w:w="0" w:type="dxa"/>
          <w:bottom w:w="0" w:type="dxa"/>
          <w:right w:w="0" w:type="dxa"/>
        </w:tblCellMar>
      </w:tblPr>
      <w:tblGrid>
        <w:gridCol w:w="75"/>
        <w:gridCol w:w="2285"/>
        <w:gridCol w:w="659"/>
      </w:tblGrid>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0" w:after="0"/>
              <w:jc w:val="left"/>
              <w:rPr>
                <w:sz w:val="20"/>
              </w:rPr>
            </w:pPr>
            <w:r>
              <w:rPr>
                <w:sz w:val="20"/>
              </w:rPr>
              <w:t>HOVNANIAN ENTERPRISES, INC.</w:t>
            </w:r>
          </w:p>
        </w:tc>
      </w:tr>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sz w:val="20"/>
              </w:rPr>
            </w:pPr>
            <w:r>
              <w:rPr>
                <w:sz w:val="20"/>
              </w:rPr>
              <w:t>By:</w:t>
            </w:r>
          </w:p>
        </w:tc>
        <w:tc>
          <w:tcPr>
            <w:tcW w:w="659" w:type="dxa"/>
            <w:tcBorders>
              <w:bottom w:val="single" w:sz="6" w:space="0" w:color="000000"/>
            </w:tcBorders>
            <w:tcMar>
              <w:bottom w:w="28" w:type="dxa"/>
            </w:tcMar>
            <w:vAlign w:val="center"/>
          </w:tcPr>
          <w:p>
            <w:pPr>
              <w:pStyle w:val="TableContents"/>
              <w:widowControl w:val="false"/>
              <w:bidi w:val="0"/>
              <w:spacing w:before="0" w:after="6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top w:val="single" w:sz="6" w:space="0" w:color="000000"/>
            </w:tcBorders>
            <w:tcMar>
              <w:top w:w="28" w:type="dxa"/>
            </w:tcMar>
            <w:vAlign w:val="center"/>
          </w:tcPr>
          <w:p>
            <w:pPr>
              <w:pStyle w:val="TableContents"/>
              <w:widowControl w:val="false"/>
              <w:bidi w:val="0"/>
              <w:spacing w:before="2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120" w:after="0"/>
              <w:jc w:val="left"/>
              <w:rPr>
                <w:sz w:val="20"/>
              </w:rPr>
            </w:pPr>
            <w:r>
              <w:rPr>
                <w:sz w:val="20"/>
              </w:rPr>
              <w:t>PARTICIPANT</w:t>
            </w:r>
            <w:r>
              <w:rPr>
                <w:sz w:val="13"/>
              </w:rPr>
              <w:t>1</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sz w:val="20"/>
              </w:rPr>
            </w:pPr>
            <w:r>
              <w:rPr>
                <w:sz w:val="20"/>
              </w:rPr>
              <w:t>By:</w:t>
            </w:r>
          </w:p>
        </w:tc>
        <w:tc>
          <w:tcPr>
            <w:tcW w:w="659"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top w:val="single" w:sz="6" w:space="0" w:color="000000"/>
            </w:tcBorders>
            <w:tcMar>
              <w:top w:w="28" w:type="dxa"/>
            </w:tcMar>
            <w:vAlign w:val="center"/>
          </w:tcPr>
          <w:p>
            <w:pPr>
              <w:pStyle w:val="TableContents"/>
              <w:widowControl w:val="false"/>
              <w:bidi w:val="0"/>
              <w:spacing w:before="2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28" w:type="dxa"/>
          <w:right w:w="0" w:type="dxa"/>
        </w:tblCellMar>
      </w:tblPr>
      <w:tblGrid>
        <w:gridCol w:w="164"/>
        <w:gridCol w:w="4457"/>
        <w:gridCol w:w="5584"/>
      </w:tblGrid>
      <w:tr>
        <w:trPr/>
        <w:tc>
          <w:tcPr>
            <w:tcW w:w="164" w:type="dxa"/>
            <w:tcBorders>
              <w:bottom w:val="single" w:sz="6" w:space="0" w:color="000000"/>
            </w:tcBorders>
            <w:vAlign w:val="center"/>
          </w:tcPr>
          <w:p>
            <w:pPr>
              <w:pStyle w:val="TableContents"/>
              <w:widowControl w:val="false"/>
              <w:bidi w:val="0"/>
              <w:spacing w:before="0" w:after="0"/>
              <w:jc w:val="left"/>
              <w:rPr/>
            </w:pPr>
            <w:r>
              <w:rPr/>
              <w:t> </w:t>
            </w:r>
          </w:p>
        </w:tc>
        <w:tc>
          <w:tcPr>
            <w:tcW w:w="4457" w:type="dxa"/>
            <w:tcBorders>
              <w:bottom w:val="single" w:sz="6" w:space="0" w:color="000000"/>
            </w:tcBorders>
            <w:vAlign w:val="center"/>
          </w:tcPr>
          <w:p>
            <w:pPr>
              <w:pStyle w:val="TableContents"/>
              <w:widowControl w:val="false"/>
              <w:bidi w:val="0"/>
              <w:spacing w:before="0" w:after="0"/>
              <w:jc w:val="left"/>
              <w:rPr/>
            </w:pPr>
            <w:r>
              <w:rPr/>
              <w:t> </w:t>
            </w:r>
          </w:p>
        </w:tc>
        <w:tc>
          <w:tcPr>
            <w:tcW w:w="5584" w:type="dxa"/>
            <w:tcBorders/>
            <w:tcMar>
              <w:bottom w:w="0" w:type="dxa"/>
            </w:tcMar>
            <w:vAlign w:val="center"/>
          </w:tcPr>
          <w:p>
            <w:pPr>
              <w:pStyle w:val="TableContents"/>
              <w:widowControl w:val="false"/>
              <w:bidi w:val="0"/>
              <w:spacing w:before="0" w:after="0"/>
              <w:jc w:val="left"/>
              <w:rPr/>
            </w:pPr>
            <w:r>
              <w:rPr/>
              <w:t> </w:t>
            </w:r>
          </w:p>
        </w:tc>
      </w:tr>
      <w:tr>
        <w:trPr/>
        <w:tc>
          <w:tcPr>
            <w:tcW w:w="164" w:type="dxa"/>
            <w:tcBorders/>
            <w:tcMar>
              <w:bottom w:w="0" w:type="dxa"/>
            </w:tcMar>
            <w:vAlign w:val="center"/>
          </w:tcPr>
          <w:p>
            <w:pPr>
              <w:pStyle w:val="TableContents"/>
              <w:widowControl w:val="false"/>
              <w:bidi w:val="0"/>
              <w:spacing w:before="80" w:after="0"/>
              <w:jc w:val="left"/>
              <w:rPr>
                <w:sz w:val="20"/>
              </w:rPr>
            </w:pPr>
            <w:r>
              <w:rPr>
                <w:sz w:val="20"/>
              </w:rPr>
              <w:t>1.</w:t>
            </w:r>
          </w:p>
        </w:tc>
        <w:tc>
          <w:tcPr>
            <w:tcW w:w="10041" w:type="dxa"/>
            <w:gridSpan w:val="2"/>
            <w:tcBorders/>
            <w:tcMar>
              <w:bottom w:w="0" w:type="dxa"/>
            </w:tcMar>
            <w:vAlign w:val="center"/>
          </w:tcPr>
          <w:p>
            <w:pPr>
              <w:pStyle w:val="TableContents"/>
              <w:widowControl w:val="false"/>
              <w:bidi w:val="0"/>
              <w:spacing w:before="80" w:after="0"/>
              <w:jc w:val="both"/>
              <w:rPr>
                <w:sz w:val="20"/>
              </w:rPr>
            </w:pPr>
            <w:r>
              <w:rPr>
                <w:sz w:val="20"/>
              </w:rPr>
              <w:t>To the extent that the Company has established, either itself or through a third-party plan administrator, the ability to accept this award electronically, such acceptance shall constitute the Participant’s signature hereof.</w:t>
            </w:r>
          </w:p>
        </w:tc>
      </w:tr>
    </w:tbl>
    <w:p>
      <w:pPr>
        <w:pStyle w:val="TextBody"/>
        <w:bidi w:val="0"/>
        <w:spacing w:before="0" w:after="0"/>
        <w:jc w:val="left"/>
        <w:rPr/>
      </w:pPr>
      <w:r>
        <w:rPr/>
        <w:t> </w:t>
      </w:r>
    </w:p>
    <w:p>
      <w:pPr>
        <w:pStyle w:val="TextBody"/>
        <w:bidi w:val="0"/>
        <w:spacing w:before="0" w:after="0"/>
        <w:jc w:val="center"/>
        <w:rPr>
          <w:sz w:val="20"/>
        </w:rPr>
      </w:pPr>
      <w:r>
        <w:rPr>
          <w:sz w:val="20"/>
        </w:rPr>
        <w:t>4</w:t>
      </w:r>
    </w:p>
    <w:p>
      <w:pPr>
        <w:pStyle w:val="HorizontalLine"/>
        <w:pBdr>
          <w:bottom w:val="double" w:sz="2" w:space="0" w:color="808080"/>
        </w:pBdr>
        <w:bidi w:val="0"/>
        <w:jc w:val="center"/>
        <w:rPr/>
      </w:pPr>
      <w:r>
        <w:rPr/>
      </w:r>
    </w:p>
    <w:p>
      <w:pPr>
        <w:pStyle w:val="TextBody"/>
        <w:bidi w:val="0"/>
        <w:spacing w:before="0" w:after="0"/>
        <w:jc w:val="right"/>
        <w:rPr>
          <w:b/>
          <w:sz w:val="20"/>
        </w:rPr>
      </w:pPr>
      <w:bookmarkStart w:id="33" w:name="ex10H_8.htm"/>
      <w:bookmarkStart w:id="34" w:name="ksex10H_8"/>
      <w:bookmarkEnd w:id="33"/>
      <w:bookmarkEnd w:id="34"/>
      <w:r>
        <w:rPr>
          <w:b/>
          <w:sz w:val="20"/>
        </w:rPr>
        <w:t>Exhibit 10(h)</w:t>
      </w:r>
      <w:r>
        <w:br w:type="page"/>
      </w:r>
    </w:p>
    <w:p>
      <w:pPr>
        <w:pStyle w:val="TextBody"/>
        <w:bidi w:val="0"/>
        <w:spacing w:before="0" w:after="0"/>
        <w:jc w:val="left"/>
        <w:rPr/>
      </w:pPr>
      <w:r>
        <w:rPr/>
        <w:t> </w:t>
      </w:r>
    </w:p>
    <w:p>
      <w:pPr>
        <w:pStyle w:val="TextBody"/>
        <w:bidi w:val="0"/>
        <w:spacing w:before="0" w:after="0"/>
        <w:jc w:val="center"/>
        <w:rPr>
          <w:sz w:val="20"/>
        </w:rPr>
      </w:pPr>
      <w:r>
        <w:rPr>
          <w:b/>
          <w:sz w:val="20"/>
        </w:rPr>
        <w:t>2020 HOVNANIAN ENTERPRISES, INC.</w:t>
      </w:r>
      <w:r>
        <w:rPr>
          <w:sz w:val="20"/>
        </w:rPr>
        <w:br/>
      </w:r>
      <w:r>
        <w:rPr>
          <w:b/>
          <w:sz w:val="20"/>
        </w:rPr>
        <w:t>FOURTH AMENDED AND RESTATED STOCK INCENTIVE PLAN</w:t>
      </w:r>
    </w:p>
    <w:p>
      <w:pPr>
        <w:pStyle w:val="TextBody"/>
        <w:bidi w:val="0"/>
        <w:spacing w:before="0" w:after="0"/>
        <w:jc w:val="left"/>
        <w:rPr/>
      </w:pPr>
      <w:r>
        <w:rPr/>
        <w:t> </w:t>
      </w:r>
    </w:p>
    <w:p>
      <w:pPr>
        <w:pStyle w:val="TextBody"/>
        <w:bidi w:val="0"/>
        <w:spacing w:before="0" w:after="0"/>
        <w:jc w:val="center"/>
        <w:rPr>
          <w:b/>
          <w:sz w:val="20"/>
        </w:rPr>
      </w:pPr>
      <w:r>
        <w:rPr>
          <w:b/>
          <w:sz w:val="20"/>
        </w:rPr>
        <w:t>RESTRICTED SHARE UNIT AGREEMENT</w:t>
      </w:r>
    </w:p>
    <w:p>
      <w:pPr>
        <w:pStyle w:val="TextBody"/>
        <w:bidi w:val="0"/>
        <w:spacing w:before="0" w:after="0"/>
        <w:jc w:val="center"/>
        <w:rPr>
          <w:sz w:val="20"/>
        </w:rPr>
      </w:pPr>
      <w:r>
        <w:rPr>
          <w:sz w:val="20"/>
        </w:rPr>
        <w:t>(Directors)</w:t>
      </w:r>
    </w:p>
    <w:p>
      <w:pPr>
        <w:pStyle w:val="TextBody"/>
        <w:bidi w:val="0"/>
        <w:spacing w:before="0" w:after="0"/>
        <w:jc w:val="left"/>
        <w:rPr/>
      </w:pPr>
      <w:r>
        <w:rPr/>
        <w:t> </w:t>
      </w:r>
    </w:p>
    <w:tbl>
      <w:tblPr>
        <w:tblW w:w="4313" w:type="dxa"/>
        <w:jc w:val="left"/>
        <w:tblInd w:w="0" w:type="dxa"/>
        <w:tblLayout w:type="fixed"/>
        <w:tblCellMar>
          <w:top w:w="0" w:type="dxa"/>
          <w:left w:w="0" w:type="dxa"/>
          <w:bottom w:w="0" w:type="dxa"/>
          <w:right w:w="0" w:type="dxa"/>
        </w:tblCellMar>
      </w:tblPr>
      <w:tblGrid>
        <w:gridCol w:w="2711"/>
        <w:gridCol w:w="113"/>
        <w:gridCol w:w="60"/>
        <w:gridCol w:w="1290"/>
        <w:gridCol w:w="64"/>
        <w:gridCol w:w="75"/>
      </w:tblGrid>
      <w:tr>
        <w:trPr/>
        <w:tc>
          <w:tcPr>
            <w:tcW w:w="2711" w:type="dxa"/>
            <w:tcBorders/>
            <w:vAlign w:val="center"/>
          </w:tcPr>
          <w:p>
            <w:pPr>
              <w:pStyle w:val="TableContents"/>
              <w:widowControl w:val="false"/>
              <w:bidi w:val="0"/>
              <w:spacing w:before="0" w:after="0"/>
              <w:jc w:val="left"/>
              <w:rPr>
                <w:i/>
                <w:sz w:val="20"/>
              </w:rPr>
            </w:pPr>
            <w:r>
              <w:rPr>
                <w:i/>
                <w:sz w:val="20"/>
              </w:rPr>
              <w:t>Participant:</w:t>
            </w:r>
          </w:p>
        </w:tc>
        <w:tc>
          <w:tcPr>
            <w:tcW w:w="113"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1290" w:type="dxa"/>
            <w:tcBorders/>
            <w:vAlign w:val="center"/>
          </w:tcPr>
          <w:p>
            <w:pPr>
              <w:pStyle w:val="TableContents"/>
              <w:widowControl w:val="false"/>
              <w:bidi w:val="0"/>
              <w:spacing w:before="0" w:after="0"/>
              <w:jc w:val="left"/>
              <w:rPr>
                <w:i/>
                <w:sz w:val="20"/>
              </w:rPr>
            </w:pPr>
            <w:r>
              <w:rPr>
                <w:i/>
                <w:sz w:val="20"/>
              </w:rPr>
              <w:t>Date of Grant:</w:t>
            </w:r>
          </w:p>
        </w:tc>
        <w:tc>
          <w:tcPr>
            <w:tcW w:w="6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11"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113"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1290"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64"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11"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113"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1290"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64"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11" w:type="dxa"/>
            <w:tcBorders/>
            <w:vAlign w:val="center"/>
          </w:tcPr>
          <w:p>
            <w:pPr>
              <w:pStyle w:val="TableContents"/>
              <w:widowControl w:val="false"/>
              <w:bidi w:val="0"/>
              <w:spacing w:before="0" w:after="0"/>
              <w:jc w:val="left"/>
              <w:rPr/>
            </w:pPr>
            <w:r>
              <w:rPr/>
              <w:t> </w:t>
            </w:r>
          </w:p>
        </w:tc>
        <w:tc>
          <w:tcPr>
            <w:tcW w:w="113"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1290" w:type="dxa"/>
            <w:tcBorders/>
            <w:vAlign w:val="center"/>
          </w:tcPr>
          <w:p>
            <w:pPr>
              <w:pStyle w:val="TableContents"/>
              <w:widowControl w:val="false"/>
              <w:bidi w:val="0"/>
              <w:spacing w:before="0" w:after="0"/>
              <w:jc w:val="left"/>
              <w:rPr/>
            </w:pPr>
            <w:r>
              <w:rPr/>
              <w:t> </w:t>
            </w:r>
          </w:p>
        </w:tc>
        <w:tc>
          <w:tcPr>
            <w:tcW w:w="6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11" w:type="dxa"/>
            <w:tcBorders/>
            <w:vAlign w:val="center"/>
          </w:tcPr>
          <w:p>
            <w:pPr>
              <w:pStyle w:val="TableContents"/>
              <w:widowControl w:val="false"/>
              <w:bidi w:val="0"/>
              <w:spacing w:before="0" w:after="0"/>
              <w:jc w:val="left"/>
              <w:rPr>
                <w:i/>
                <w:sz w:val="20"/>
              </w:rPr>
            </w:pPr>
            <w:r>
              <w:rPr>
                <w:i/>
                <w:sz w:val="20"/>
              </w:rPr>
              <w:t>Number of RSUs:</w:t>
            </w:r>
          </w:p>
        </w:tc>
        <w:tc>
          <w:tcPr>
            <w:tcW w:w="113"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60"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c>
          <w:tcPr>
            <w:tcW w:w="1290" w:type="dxa"/>
            <w:tcBorders/>
            <w:vAlign w:val="center"/>
          </w:tcPr>
          <w:p>
            <w:pPr>
              <w:pStyle w:val="TableContents"/>
              <w:widowControl w:val="false"/>
              <w:bidi w:val="0"/>
              <w:spacing w:before="0" w:after="0"/>
              <w:jc w:val="left"/>
              <w:rPr/>
            </w:pPr>
            <w:r>
              <w:rPr/>
              <w:t> </w:t>
            </w:r>
          </w:p>
        </w:tc>
        <w:tc>
          <w:tcPr>
            <w:tcW w:w="6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11" w:type="dxa"/>
            <w:tcBorders/>
            <w:vAlign w:val="center"/>
          </w:tcPr>
          <w:p>
            <w:pPr>
              <w:pStyle w:val="TableContents"/>
              <w:widowControl w:val="false"/>
              <w:bidi w:val="0"/>
              <w:spacing w:before="0" w:after="0"/>
              <w:jc w:val="left"/>
              <w:rPr/>
            </w:pPr>
            <w:r>
              <w:rPr/>
              <w:t> </w:t>
            </w:r>
          </w:p>
        </w:tc>
        <w:tc>
          <w:tcPr>
            <w:tcW w:w="113"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60" w:type="dxa"/>
            <w:tcBorders>
              <w:top w:val="single" w:sz="6" w:space="0" w:color="000000"/>
            </w:tcBorders>
            <w:tcMar>
              <w:top w:w="28" w:type="dxa"/>
            </w:tcMar>
            <w:vAlign w:val="center"/>
          </w:tcPr>
          <w:p>
            <w:pPr>
              <w:pStyle w:val="TableContents"/>
              <w:widowControl w:val="false"/>
              <w:bidi w:val="0"/>
              <w:spacing w:before="0" w:after="0"/>
              <w:jc w:val="left"/>
              <w:rPr/>
            </w:pPr>
            <w:r>
              <w:rPr/>
              <w:t> </w:t>
            </w:r>
          </w:p>
        </w:tc>
        <w:tc>
          <w:tcPr>
            <w:tcW w:w="1290" w:type="dxa"/>
            <w:tcBorders/>
            <w:vAlign w:val="center"/>
          </w:tcPr>
          <w:p>
            <w:pPr>
              <w:pStyle w:val="TableContents"/>
              <w:widowControl w:val="false"/>
              <w:bidi w:val="0"/>
              <w:spacing w:before="0" w:after="0"/>
              <w:jc w:val="left"/>
              <w:rPr/>
            </w:pPr>
            <w:r>
              <w:rPr/>
              <w:t> </w:t>
            </w:r>
          </w:p>
        </w:tc>
        <w:tc>
          <w:tcPr>
            <w:tcW w:w="6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11" w:type="dxa"/>
            <w:tcBorders/>
            <w:vAlign w:val="center"/>
          </w:tcPr>
          <w:p>
            <w:pPr>
              <w:pStyle w:val="TableContents"/>
              <w:widowControl w:val="false"/>
              <w:bidi w:val="0"/>
              <w:spacing w:before="0" w:after="0"/>
              <w:jc w:val="left"/>
              <w:rPr/>
            </w:pPr>
            <w:r>
              <w:rPr/>
              <w:t> </w:t>
            </w:r>
          </w:p>
        </w:tc>
        <w:tc>
          <w:tcPr>
            <w:tcW w:w="113"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1290" w:type="dxa"/>
            <w:tcBorders/>
            <w:vAlign w:val="center"/>
          </w:tcPr>
          <w:p>
            <w:pPr>
              <w:pStyle w:val="TableContents"/>
              <w:widowControl w:val="false"/>
              <w:bidi w:val="0"/>
              <w:spacing w:before="0" w:after="0"/>
              <w:jc w:val="left"/>
              <w:rPr/>
            </w:pPr>
            <w:r>
              <w:rPr/>
              <w:t> </w:t>
            </w:r>
          </w:p>
        </w:tc>
        <w:tc>
          <w:tcPr>
            <w:tcW w:w="6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824" w:type="dxa"/>
            <w:gridSpan w:val="2"/>
            <w:tcBorders/>
            <w:vAlign w:val="center"/>
          </w:tcPr>
          <w:p>
            <w:pPr>
              <w:pStyle w:val="TableContents"/>
              <w:widowControl w:val="false"/>
              <w:bidi w:val="0"/>
              <w:spacing w:before="0" w:after="0"/>
              <w:jc w:val="left"/>
              <w:rPr>
                <w:i/>
                <w:sz w:val="20"/>
              </w:rPr>
            </w:pPr>
            <w:r>
              <w:rPr>
                <w:i/>
                <w:sz w:val="20"/>
              </w:rPr>
              <w:t>Date of Vesting of Class A Shares:</w:t>
            </w:r>
          </w:p>
        </w:tc>
        <w:tc>
          <w:tcPr>
            <w:tcW w:w="60" w:type="dxa"/>
            <w:tcBorders/>
            <w:vAlign w:val="center"/>
          </w:tcPr>
          <w:p>
            <w:pPr>
              <w:pStyle w:val="TableContents"/>
              <w:widowControl w:val="false"/>
              <w:bidi w:val="0"/>
              <w:spacing w:before="0" w:after="0"/>
              <w:jc w:val="left"/>
              <w:rPr/>
            </w:pPr>
            <w:r>
              <w:rPr/>
              <w:t> </w:t>
            </w:r>
          </w:p>
        </w:tc>
        <w:tc>
          <w:tcPr>
            <w:tcW w:w="1290" w:type="dxa"/>
            <w:tcBorders/>
            <w:vAlign w:val="center"/>
          </w:tcPr>
          <w:p>
            <w:pPr>
              <w:pStyle w:val="TableContents"/>
              <w:widowControl w:val="false"/>
              <w:bidi w:val="0"/>
              <w:spacing w:before="0" w:after="0"/>
              <w:jc w:val="left"/>
              <w:rPr/>
            </w:pPr>
            <w:r>
              <w:rPr/>
              <w:t> </w:t>
            </w:r>
          </w:p>
        </w:tc>
        <w:tc>
          <w:tcPr>
            <w:tcW w:w="6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11" w:type="dxa"/>
            <w:tcBorders/>
            <w:vAlign w:val="center"/>
          </w:tcPr>
          <w:p>
            <w:pPr>
              <w:pStyle w:val="TableContents"/>
              <w:widowControl w:val="false"/>
              <w:bidi w:val="0"/>
              <w:spacing w:before="0" w:after="0"/>
              <w:jc w:val="left"/>
              <w:rPr/>
            </w:pPr>
            <w:r>
              <w:rPr/>
              <w:t> </w:t>
            </w:r>
          </w:p>
        </w:tc>
        <w:tc>
          <w:tcPr>
            <w:tcW w:w="113"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1290" w:type="dxa"/>
            <w:tcBorders/>
            <w:vAlign w:val="center"/>
          </w:tcPr>
          <w:p>
            <w:pPr>
              <w:pStyle w:val="TableContents"/>
              <w:widowControl w:val="false"/>
              <w:bidi w:val="0"/>
              <w:spacing w:before="0" w:after="0"/>
              <w:jc w:val="left"/>
              <w:rPr/>
            </w:pPr>
            <w:r>
              <w:rPr/>
              <w:t> </w:t>
            </w:r>
          </w:p>
        </w:tc>
        <w:tc>
          <w:tcPr>
            <w:tcW w:w="6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r>
        <w:trPr/>
        <w:tc>
          <w:tcPr>
            <w:tcW w:w="2711" w:type="dxa"/>
            <w:tcBorders/>
            <w:vAlign w:val="center"/>
          </w:tcPr>
          <w:p>
            <w:pPr>
              <w:pStyle w:val="TableContents"/>
              <w:widowControl w:val="false"/>
              <w:bidi w:val="0"/>
              <w:spacing w:before="0" w:after="80"/>
              <w:jc w:val="left"/>
              <w:rPr>
                <w:i/>
                <w:sz w:val="20"/>
                <w:u w:val="single"/>
              </w:rPr>
            </w:pPr>
            <w:r>
              <w:rPr>
                <w:i/>
                <w:sz w:val="20"/>
                <w:u w:val="single"/>
              </w:rPr>
              <w:t>Date</w:t>
            </w:r>
          </w:p>
        </w:tc>
        <w:tc>
          <w:tcPr>
            <w:tcW w:w="113" w:type="dxa"/>
            <w:tcBorders/>
            <w:vAlign w:val="center"/>
          </w:tcPr>
          <w:p>
            <w:pPr>
              <w:pStyle w:val="TableContents"/>
              <w:widowControl w:val="false"/>
              <w:bidi w:val="0"/>
              <w:spacing w:before="0" w:after="80"/>
              <w:jc w:val="left"/>
              <w:rPr/>
            </w:pPr>
            <w:r>
              <w:rPr/>
              <w:t> </w:t>
            </w:r>
          </w:p>
        </w:tc>
        <w:tc>
          <w:tcPr>
            <w:tcW w:w="60" w:type="dxa"/>
            <w:tcBorders/>
            <w:vAlign w:val="center"/>
          </w:tcPr>
          <w:p>
            <w:pPr>
              <w:pStyle w:val="TableContents"/>
              <w:widowControl w:val="false"/>
              <w:bidi w:val="0"/>
              <w:spacing w:before="0" w:after="80"/>
              <w:jc w:val="left"/>
              <w:rPr/>
            </w:pPr>
            <w:r>
              <w:rPr/>
              <w:t> </w:t>
            </w:r>
          </w:p>
        </w:tc>
        <w:tc>
          <w:tcPr>
            <w:tcW w:w="1354" w:type="dxa"/>
            <w:gridSpan w:val="2"/>
            <w:tcBorders/>
            <w:vAlign w:val="center"/>
          </w:tcPr>
          <w:p>
            <w:pPr>
              <w:pStyle w:val="TableContents"/>
              <w:widowControl w:val="false"/>
              <w:bidi w:val="0"/>
              <w:spacing w:before="0" w:after="80"/>
              <w:jc w:val="left"/>
              <w:rPr>
                <w:i/>
                <w:sz w:val="20"/>
                <w:u w:val="single"/>
              </w:rPr>
            </w:pPr>
            <w:r>
              <w:rPr>
                <w:i/>
                <w:sz w:val="20"/>
                <w:u w:val="single"/>
              </w:rPr>
              <w:t>Number of RSUs</w:t>
            </w:r>
          </w:p>
        </w:tc>
        <w:tc>
          <w:tcPr>
            <w:tcW w:w="75" w:type="dxa"/>
            <w:tcBorders/>
            <w:vAlign w:val="center"/>
          </w:tcPr>
          <w:p>
            <w:pPr>
              <w:pStyle w:val="TableContents"/>
              <w:widowControl w:val="false"/>
              <w:bidi w:val="0"/>
              <w:spacing w:before="0" w:after="0"/>
              <w:jc w:val="left"/>
              <w:rPr/>
            </w:pPr>
            <w:r>
              <w:rPr/>
              <w:t> </w:t>
            </w:r>
          </w:p>
        </w:tc>
      </w:tr>
      <w:tr>
        <w:trPr/>
        <w:tc>
          <w:tcPr>
            <w:tcW w:w="2711" w:type="dxa"/>
            <w:tcBorders>
              <w:bottom w:val="single" w:sz="6" w:space="0" w:color="000000"/>
            </w:tcBorders>
            <w:tcMar>
              <w:bottom w:w="28" w:type="dxa"/>
            </w:tcMar>
            <w:vAlign w:val="center"/>
          </w:tcPr>
          <w:p>
            <w:pPr>
              <w:pStyle w:val="TableContents"/>
              <w:widowControl w:val="false"/>
              <w:bidi w:val="0"/>
              <w:spacing w:before="0" w:after="0"/>
              <w:jc w:val="center"/>
              <w:rPr/>
            </w:pPr>
            <w:r>
              <w:rPr/>
              <w:t> </w:t>
            </w:r>
          </w:p>
        </w:tc>
        <w:tc>
          <w:tcPr>
            <w:tcW w:w="113"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1290" w:type="dxa"/>
            <w:tcBorders>
              <w:bottom w:val="single" w:sz="6" w:space="0" w:color="000000"/>
            </w:tcBorders>
            <w:tcMar>
              <w:bottom w:w="28" w:type="dxa"/>
            </w:tcMar>
            <w:vAlign w:val="center"/>
          </w:tcPr>
          <w:p>
            <w:pPr>
              <w:pStyle w:val="TableContents"/>
              <w:widowControl w:val="false"/>
              <w:bidi w:val="0"/>
              <w:spacing w:before="0" w:after="0"/>
              <w:jc w:val="center"/>
              <w:rPr/>
            </w:pPr>
            <w:r>
              <w:rPr/>
              <w:t> </w:t>
            </w:r>
          </w:p>
        </w:tc>
        <w:tc>
          <w:tcPr>
            <w:tcW w:w="64" w:type="dxa"/>
            <w:tcBorders/>
            <w:vAlign w:val="center"/>
          </w:tcPr>
          <w:p>
            <w:pPr>
              <w:pStyle w:val="TableContents"/>
              <w:widowControl w:val="false"/>
              <w:bidi w:val="0"/>
              <w:spacing w:before="0" w:after="0"/>
              <w:jc w:val="left"/>
              <w:rPr/>
            </w:pPr>
            <w:r>
              <w:rPr/>
              <w:t> </w:t>
            </w:r>
          </w:p>
        </w:tc>
        <w:tc>
          <w:tcPr>
            <w:tcW w:w="75" w:type="dxa"/>
            <w:tcBorders/>
            <w:vAlign w:val="center"/>
          </w:tcPr>
          <w:p>
            <w:pPr>
              <w:pStyle w:val="TableContents"/>
              <w:widowControl w:val="false"/>
              <w:bidi w:val="0"/>
              <w:spacing w:before="0" w:after="0"/>
              <w:jc w:val="left"/>
              <w:rPr/>
            </w:pPr>
            <w:r>
              <w:rPr/>
              <w:t> </w:t>
            </w:r>
          </w:p>
        </w:tc>
      </w:tr>
    </w:tbl>
    <w:p>
      <w:pPr>
        <w:pStyle w:val="TextBody"/>
        <w:bidi w:val="0"/>
        <w:spacing w:before="0" w:after="0"/>
        <w:jc w:val="left"/>
        <w:rPr/>
      </w:pPr>
      <w:r>
        <w:rPr/>
        <w:t> </w:t>
      </w:r>
    </w:p>
    <w:p>
      <w:pPr>
        <w:pStyle w:val="Heading1"/>
        <w:bidi w:val="0"/>
        <w:spacing w:before="0" w:after="200"/>
        <w:ind w:left="0" w:right="0" w:firstLine="1440"/>
        <w:jc w:val="both"/>
        <w:rPr>
          <w:sz w:val="20"/>
        </w:rPr>
      </w:pPr>
      <w:r>
        <w:rPr>
          <w:b w:val="false"/>
          <w:sz w:val="20"/>
        </w:rPr>
        <w:t>1.</w:t>
      </w:r>
      <w:r>
        <w:rPr>
          <w:caps w:val="false"/>
          <w:smallCaps w:val="false"/>
          <w:sz w:val="20"/>
        </w:rPr>
        <w:t xml:space="preserve">       </w:t>
      </w:r>
      <w:r>
        <w:rPr>
          <w:b w:val="false"/>
          <w:sz w:val="20"/>
          <w:u w:val="single"/>
        </w:rPr>
        <w:t>Grant of RSUs</w:t>
      </w:r>
      <w:r>
        <w:rPr>
          <w:b w:val="false"/>
          <w:sz w:val="20"/>
        </w:rPr>
        <w:t>.</w:t>
      </w:r>
      <w:r>
        <w:rPr>
          <w:sz w:val="20"/>
        </w:rPr>
        <w:t xml:space="preserve">  </w:t>
      </w:r>
      <w:r>
        <w:rPr>
          <w:b w:val="false"/>
          <w:sz w:val="20"/>
        </w:rPr>
        <w:t>For valuable consideration, receipt of which is hereby acknowledged, Hovnanian Enterprises, Inc., a Delaware Corporation (the "Company"), hereby grants the number of restricted share units ("RSUs") listed above to the Participant, on the terms and conditions hereinafter set forth.</w:t>
      </w:r>
      <w:r>
        <w:rPr>
          <w:sz w:val="20"/>
        </w:rPr>
        <w:t xml:space="preserve">  </w:t>
      </w:r>
      <w:r>
        <w:rPr>
          <w:b w:val="false"/>
          <w:sz w:val="20"/>
        </w:rPr>
        <w:t>This grant is made pursuant to the terms and conditions of the 2020 Company Fourth Amended and Restated Stock Incentive Plan (the "Plan"), which Plan, as amended from time to time, is incorporated herein by reference and made a part of this Agreement.</w:t>
      </w:r>
      <w:r>
        <w:rPr>
          <w:sz w:val="20"/>
        </w:rPr>
        <w:t xml:space="preserve">  </w:t>
      </w:r>
      <w:r>
        <w:rPr>
          <w:b w:val="false"/>
          <w:sz w:val="20"/>
        </w:rPr>
        <w:t>Each RSU represents the unfunded, unsecured right of the Participant to receive a Share on the date(s) specified herein.</w:t>
      </w:r>
      <w:r>
        <w:rPr>
          <w:sz w:val="20"/>
        </w:rPr>
        <w:t xml:space="preserve">  </w:t>
      </w:r>
      <w:r>
        <w:rPr>
          <w:b w:val="false"/>
          <w:sz w:val="20"/>
        </w:rPr>
        <w:t>Capitalized terms not otherwise defined herein shall have the same meanings as in the Plan.</w:t>
      </w:r>
    </w:p>
    <w:p>
      <w:pPr>
        <w:pStyle w:val="TextBody"/>
        <w:bidi w:val="0"/>
        <w:spacing w:before="0" w:after="200"/>
        <w:ind w:left="0" w:right="0" w:firstLine="1440"/>
        <w:jc w:val="both"/>
        <w:rPr>
          <w:sz w:val="20"/>
        </w:rPr>
      </w:pPr>
      <w:r>
        <w:rPr>
          <w:sz w:val="20"/>
        </w:rPr>
        <w:t>2.</w:t>
      </w:r>
      <w:r>
        <w:rPr>
          <w:caps w:val="false"/>
          <w:smallCaps w:val="false"/>
          <w:sz w:val="20"/>
        </w:rPr>
        <w:t xml:space="preserve">       </w:t>
      </w:r>
      <w:r>
        <w:rPr>
          <w:sz w:val="20"/>
          <w:u w:val="single"/>
        </w:rPr>
        <w:t>Vesting and Timing of Transfer</w:t>
      </w:r>
      <w:r>
        <w:rPr>
          <w:sz w:val="20"/>
        </w:rPr>
        <w:t>.</w:t>
      </w:r>
    </w:p>
    <w:p>
      <w:pPr>
        <w:pStyle w:val="TextBody"/>
        <w:bidi w:val="0"/>
        <w:spacing w:before="0" w:after="200"/>
        <w:ind w:left="0" w:right="0" w:firstLine="1800"/>
        <w:jc w:val="both"/>
        <w:rPr>
          <w:sz w:val="20"/>
        </w:rPr>
      </w:pPr>
      <w:r>
        <w:rPr>
          <w:sz w:val="20"/>
        </w:rPr>
        <w:t>(a)</w:t>
      </w:r>
      <w:r>
        <w:rPr>
          <w:caps w:val="false"/>
          <w:smallCaps w:val="false"/>
          <w:sz w:val="20"/>
        </w:rPr>
        <w:t xml:space="preserve">        </w:t>
      </w:r>
      <w:r>
        <w:rPr>
          <w:sz w:val="20"/>
        </w:rPr>
        <w:t>The Participant will become vested in the RSUs in accordance with the schedule set forth above (each such vesting date, a "Vesting Date").</w:t>
      </w:r>
    </w:p>
    <w:p>
      <w:pPr>
        <w:pStyle w:val="TextBody"/>
        <w:bidi w:val="0"/>
        <w:spacing w:before="0" w:after="200"/>
        <w:ind w:left="0" w:right="0" w:firstLine="1800"/>
        <w:jc w:val="both"/>
        <w:rPr>
          <w:sz w:val="20"/>
        </w:rPr>
      </w:pPr>
      <w:r>
        <w:rPr>
          <w:sz w:val="20"/>
        </w:rPr>
        <w:t>(b)</w:t>
      </w:r>
      <w:r>
        <w:rPr>
          <w:caps w:val="false"/>
          <w:smallCaps w:val="false"/>
          <w:sz w:val="20"/>
        </w:rPr>
        <w:t xml:space="preserve">       </w:t>
      </w:r>
      <w:r>
        <w:rPr>
          <w:sz w:val="20"/>
        </w:rPr>
        <w:t xml:space="preserve">The Company shall transfer to the Participant, as soon as practicable but not later than 60 days after an applicable "Delivery Date" (as defined below), a number of Class A Shares equal to the number of RSUs that became vested on the corresponding Vesting Date (rounded up to the next whole share), </w:t>
      </w:r>
      <w:r>
        <w:rPr>
          <w:sz w:val="20"/>
          <w:u w:val="single"/>
        </w:rPr>
        <w:t>provided</w:t>
      </w:r>
      <w:r>
        <w:rPr>
          <w:sz w:val="20"/>
        </w:rPr>
        <w:t xml:space="preserve">, </w:t>
      </w:r>
      <w:r>
        <w:rPr>
          <w:sz w:val="20"/>
          <w:u w:val="single"/>
        </w:rPr>
        <w:t>however</w:t>
      </w:r>
      <w:r>
        <w:rPr>
          <w:sz w:val="20"/>
        </w:rPr>
        <w:t>, that upon the final transfer of Shares to the Participant (i) such number of Shares shall be reduced to the extent necessary to reflect any previous rounding up pursuant to this sentence.  If the Participant is eligible to participate in, and has elected to defer the transfer of Shares pursuant to the terms of a nonqualified deferred compensation plan maintained by the Company, such Shares shall be so deferred, and any such deferral, when paid, shall be paid in Shares. Once the transfer of any Shares is deferred, the rights and privileges of the Participant with respect to such Shares shall be determined solely pursuant to the terms of the applicable plan, and not pursuant to the terms and conditions of this Agreement.  For purposes of this Agreement, the "Delivery Date" with respect to each Vesting Date shall mean the date that is the earlier of (i) the second anniversary of such Vesting Date or (ii) the second anniversary of the date of the Participant’s Qualified Termination (as defined below), if applicable.</w:t>
      </w:r>
    </w:p>
    <w:p>
      <w:pPr>
        <w:pStyle w:val="TextBody"/>
        <w:bidi w:val="0"/>
        <w:spacing w:before="0" w:after="0"/>
        <w:ind w:left="0" w:right="0" w:firstLine="1800"/>
        <w:jc w:val="both"/>
        <w:rPr>
          <w:sz w:val="20"/>
        </w:rPr>
      </w:pPr>
      <w:r>
        <w:rPr>
          <w:sz w:val="20"/>
        </w:rPr>
        <w:t>(c)</w:t>
      </w:r>
      <w:r>
        <w:rPr>
          <w:caps w:val="false"/>
          <w:smallCaps w:val="false"/>
          <w:sz w:val="20"/>
        </w:rPr>
        <w:t xml:space="preserve">        </w:t>
      </w:r>
      <w:r>
        <w:rPr>
          <w:sz w:val="20"/>
        </w:rPr>
        <w:t xml:space="preserve">Notwithstanding Sections 2(a) and 2(b) of this Agreement, if the Participant ceases to be a member of the Board of Directors  due to (i) death, (ii) Disability or (iii) Retirement (any such termination, a "Qualified Termination"), any previously unvested RSUs shall become fully vested and the Shares underlying all of the Participant’s outstanding RSUs shall be delivered to the Participant as soon as practicable but not later than 60 days after the corresponding Delivery Date(s).  In the event of the death of the Participant, the transfer of Shares under this Section 2(c) shall be made in accordance with the beneficiary designation form on file with the Company; </w:t>
      </w:r>
      <w:r>
        <w:rPr>
          <w:sz w:val="20"/>
          <w:u w:val="single"/>
        </w:rPr>
        <w:t>provided</w:t>
      </w:r>
      <w:r>
        <w:rPr>
          <w:sz w:val="20"/>
        </w:rPr>
        <w:t xml:space="preserve">, </w:t>
      </w:r>
      <w:r>
        <w:rPr>
          <w:sz w:val="20"/>
          <w:u w:val="single"/>
        </w:rPr>
        <w:t>however</w:t>
      </w:r>
      <w:r>
        <w:rPr>
          <w:sz w:val="20"/>
        </w:rPr>
        <w:t xml:space="preserve">, that, in the absence of any such beneficiary designation form, the transfer of Shares under this Section 2(c) shall be made to the person or persons to whom the Participant's rights under the Agreement shall pass by will or by the applicable laws of descent and distribution. For purposes of this Agreement, "Disability" shall mean disability within the meaning of Section 22(e)(3) of the Code, and "Retirement" shall mean termination as a member of the Board of Directors on or after age 60, or on or after age 58 with at least 15 years of "Service" to the Company immediately preceding such termination.  For this purpose, "Service" means the period of service as a member of the Board of Directors immediately preceding Retirement, plus any prior periods of service as a member of the Board of Directors of one or more years' duration, unless they were succeeded by a period of non-service as a member of the Board of Directors of at least three years' duration.        </w:t>
      </w:r>
    </w:p>
    <w:p>
      <w:pPr>
        <w:pStyle w:val="TextBody"/>
        <w:bidi w:val="0"/>
        <w:spacing w:before="0" w:after="0"/>
        <w:jc w:val="left"/>
        <w:rPr/>
      </w:pPr>
      <w:r>
        <w:rPr/>
        <w:t> </w:t>
      </w:r>
    </w:p>
    <w:p>
      <w:pPr>
        <w:pStyle w:val="TextBody"/>
        <w:bidi w:val="0"/>
        <w:spacing w:before="0" w:after="0"/>
        <w:jc w:val="center"/>
        <w:rPr>
          <w:sz w:val="20"/>
        </w:rPr>
      </w:pPr>
      <w:r>
        <w:rPr>
          <w:sz w:val="20"/>
        </w:rPr>
        <w:t>1</w:t>
      </w:r>
    </w:p>
    <w:p>
      <w:pPr>
        <w:pStyle w:val="HorizontalLine"/>
        <w:pBdr>
          <w:bottom w:val="double" w:sz="2" w:space="0" w:color="808080"/>
        </w:pBdr>
        <w:bidi w:val="0"/>
        <w:jc w:val="center"/>
        <w:rPr/>
      </w:pPr>
      <w:r>
        <w:rPr/>
      </w:r>
    </w:p>
    <w:p>
      <w:pPr>
        <w:pStyle w:val="Heading2"/>
        <w:bidi w:val="0"/>
        <w:spacing w:before="0" w:after="200"/>
        <w:ind w:left="0" w:right="0" w:firstLine="1800"/>
        <w:jc w:val="both"/>
        <w:rPr>
          <w:sz w:val="20"/>
        </w:rPr>
      </w:pPr>
      <w:r>
        <w:rPr>
          <w:b w:val="false"/>
          <w:sz w:val="20"/>
        </w:rPr>
        <w:t>(d)</w:t>
      </w:r>
      <w:r>
        <w:rPr>
          <w:caps w:val="false"/>
          <w:smallCaps w:val="false"/>
          <w:sz w:val="20"/>
        </w:rPr>
        <w:t xml:space="preserve">       </w:t>
      </w:r>
      <w:r>
        <w:rPr>
          <w:b w:val="false"/>
          <w:sz w:val="20"/>
        </w:rPr>
        <w:t>Upon each transfer or deferral of Shares in accordance with Sections 2(a), 2(b) and 2(c) of this Agreement, a number of RSUs equal to the number of Shares transferred to the Participant or deferred shall be extinguished.</w:t>
      </w:r>
    </w:p>
    <w:p>
      <w:pPr>
        <w:pStyle w:val="TextBody"/>
        <w:bidi w:val="0"/>
        <w:spacing w:before="0" w:after="200"/>
        <w:ind w:left="0" w:right="0" w:firstLine="1800"/>
        <w:jc w:val="both"/>
        <w:rPr>
          <w:sz w:val="20"/>
        </w:rPr>
      </w:pPr>
      <w:r>
        <w:rPr>
          <w:sz w:val="20"/>
        </w:rPr>
        <w:t>(e)</w:t>
      </w:r>
      <w:r>
        <w:rPr>
          <w:caps w:val="false"/>
          <w:smallCaps w:val="false"/>
          <w:sz w:val="20"/>
        </w:rPr>
        <w:t xml:space="preserve">        </w:t>
      </w:r>
      <w:r>
        <w:rPr>
          <w:sz w:val="20"/>
        </w:rPr>
        <w:t>Notwithstanding Sections 2(a), 2(b) and 2(c) of this Agreement, upon the date that the Participant ceases to be a member of the Board of Directors for any reason other than death, Disability or Retirement, any unvested RSUs shall immediately terminate for no further consideration.</w:t>
      </w:r>
    </w:p>
    <w:p>
      <w:pPr>
        <w:pStyle w:val="TextBody"/>
        <w:bidi w:val="0"/>
        <w:spacing w:before="0" w:after="200"/>
        <w:ind w:left="0" w:right="0" w:firstLine="1440"/>
        <w:jc w:val="both"/>
        <w:rPr>
          <w:sz w:val="20"/>
        </w:rPr>
      </w:pPr>
      <w:r>
        <w:rPr>
          <w:sz w:val="20"/>
        </w:rPr>
        <w:t>3.</w:t>
      </w:r>
      <w:r>
        <w:rPr>
          <w:caps w:val="false"/>
          <w:smallCaps w:val="false"/>
          <w:sz w:val="20"/>
        </w:rPr>
        <w:t xml:space="preserve">       </w:t>
      </w:r>
      <w:r>
        <w:rPr>
          <w:sz w:val="20"/>
          <w:u w:val="single"/>
        </w:rPr>
        <w:t>Dividends</w:t>
      </w:r>
      <w:r>
        <w:rPr>
          <w:sz w:val="20"/>
        </w:rPr>
        <w:t>.  If on any date while RSUs are outstanding hereunder the Company shall pay any dividend on the Shares (other than a dividend payable in Shares), the number of RSUs granted to the Participant shall, as of such dividend payment date, be increased by a number of RSUs equal to: (a) the product of (x) the number of RSUs held by the Participant as of the related dividend record date, multiplied by (y) the per Share amount of any cash dividend (or, in the case of any dividend payable in whole or in part other than in cash, the per Share value of such dividend, as determined in good faith by the Committee), divided by (b) the Fair Market Value of a Share on the payment date of such dividend.  In the case of any dividend declared on Shares that is payable in the form of Shares, the number of RSUs granted to the Participant shall be increased by a number equal to the product of (a) the RSUs that are held by the Participant on the related dividend record date, multiplied by (b) the number of Shares (including any fraction thereof) payable as a dividend on a Share.  Any RSUs attributable to dividends under this Section 3 shall be subject to the vesting provisions provided in Section 2.</w:t>
      </w:r>
    </w:p>
    <w:p>
      <w:pPr>
        <w:pStyle w:val="TextBody"/>
        <w:bidi w:val="0"/>
        <w:spacing w:before="0" w:after="200"/>
        <w:ind w:left="0" w:right="0" w:firstLine="1440"/>
        <w:jc w:val="both"/>
        <w:rPr>
          <w:sz w:val="20"/>
        </w:rPr>
      </w:pPr>
      <w:r>
        <w:rPr>
          <w:sz w:val="20"/>
        </w:rPr>
        <w:t>4.</w:t>
      </w:r>
      <w:r>
        <w:rPr>
          <w:caps w:val="false"/>
          <w:smallCaps w:val="false"/>
          <w:sz w:val="20"/>
        </w:rPr>
        <w:t xml:space="preserve">       </w:t>
      </w:r>
      <w:r>
        <w:rPr>
          <w:sz w:val="20"/>
          <w:u w:val="single"/>
        </w:rPr>
        <w:t>Adjustments Upon Certain Events</w:t>
      </w:r>
      <w:r>
        <w:rPr>
          <w:sz w:val="20"/>
        </w:rPr>
        <w:t>.  Subject to the terms of the Plan, in the event of any change in the outstanding Shares by reason of any Share dividend or split, reorganization, recapitalization, merger, consolidation, amalgamation, spin-off or combination transaction or exchange of Shares or other similar events (collectively, an "Adjustment Event"), the Committee shall, in its sole discretion, make an appropriate and equitable adjustment in the number of RSUs subject to this Agreement to reflect such Adjustment Event. Any such adjustment made by the Committee shall be final and binding upon the Participant, the Company and all other interested persons.</w:t>
      </w:r>
    </w:p>
    <w:p>
      <w:pPr>
        <w:pStyle w:val="TextBody"/>
        <w:bidi w:val="0"/>
        <w:spacing w:before="0" w:after="200"/>
        <w:ind w:left="0" w:right="0" w:firstLine="1440"/>
        <w:jc w:val="both"/>
        <w:rPr>
          <w:sz w:val="20"/>
        </w:rPr>
      </w:pPr>
      <w:r>
        <w:rPr>
          <w:sz w:val="20"/>
        </w:rPr>
        <w:t>5.</w:t>
      </w:r>
      <w:r>
        <w:rPr>
          <w:caps w:val="false"/>
          <w:smallCaps w:val="false"/>
          <w:sz w:val="20"/>
        </w:rPr>
        <w:t xml:space="preserve">       </w:t>
      </w:r>
      <w:r>
        <w:rPr>
          <w:sz w:val="20"/>
          <w:u w:val="single"/>
        </w:rPr>
        <w:t>No Acquired Rights</w:t>
      </w:r>
      <w:r>
        <w:rPr>
          <w:sz w:val="20"/>
        </w:rPr>
        <w:t xml:space="preserve">.  In participating in the Plan, the Participant acknowledges and accepts that the Board has the power to amend or terminate the Plan, to the extent permitted thereunder, at any time and that the opportunity given to the Participant to participate in the Plan is entirely at the discretion of the Board and does not obligate the Company or any of its Affiliates to offer such participation in the future (whether on the same or different terms).  </w:t>
      </w:r>
    </w:p>
    <w:p>
      <w:pPr>
        <w:pStyle w:val="TextBody"/>
        <w:bidi w:val="0"/>
        <w:spacing w:before="0" w:after="200"/>
        <w:ind w:left="0" w:right="0" w:firstLine="1440"/>
        <w:jc w:val="both"/>
        <w:rPr>
          <w:sz w:val="20"/>
        </w:rPr>
      </w:pPr>
      <w:r>
        <w:rPr>
          <w:sz w:val="20"/>
        </w:rPr>
        <w:t>6.</w:t>
      </w:r>
      <w:r>
        <w:rPr>
          <w:caps w:val="false"/>
          <w:smallCaps w:val="false"/>
          <w:sz w:val="20"/>
        </w:rPr>
        <w:t xml:space="preserve">       </w:t>
      </w:r>
      <w:r>
        <w:rPr>
          <w:sz w:val="20"/>
          <w:u w:val="single"/>
        </w:rPr>
        <w:t>No Rights of a Shareholder</w:t>
      </w:r>
      <w:r>
        <w:rPr>
          <w:sz w:val="20"/>
        </w:rPr>
        <w:t>.  The Participant shall not have any rights or privileges as a shareholder of the Company until the Shares in question have been registered in the Company's register of shareholders.</w:t>
      </w:r>
    </w:p>
    <w:p>
      <w:pPr>
        <w:pStyle w:val="TextBody"/>
        <w:bidi w:val="0"/>
        <w:spacing w:before="0" w:after="200"/>
        <w:ind w:left="0" w:right="0" w:firstLine="1440"/>
        <w:jc w:val="both"/>
        <w:rPr>
          <w:sz w:val="20"/>
        </w:rPr>
      </w:pPr>
      <w:r>
        <w:rPr>
          <w:sz w:val="20"/>
        </w:rPr>
        <w:t>7.</w:t>
      </w:r>
      <w:r>
        <w:rPr>
          <w:caps w:val="false"/>
          <w:smallCaps w:val="false"/>
          <w:sz w:val="20"/>
        </w:rPr>
        <w:t xml:space="preserve">       </w:t>
      </w:r>
      <w:r>
        <w:rPr>
          <w:sz w:val="20"/>
          <w:u w:val="single"/>
        </w:rPr>
        <w:t>Legend on Certificates</w:t>
      </w:r>
      <w:r>
        <w:rPr>
          <w:sz w:val="20"/>
        </w:rPr>
        <w:t>.  Any Shares issued or transferred to the Participant pursuant to Section 2 of this Agreement shall be subject to such stop transfer orders and other restrictions as the Committee may deem advisable under the Plan or the rules, regulations, and other requirements of the Securities and Exchange Commission, any stock exchange upon which such Shares are listed, and any applicable Federal or state laws or relevant securities laws of the jurisdiction of the domicile of the Participant, and the Committee may cause a legend or legends to be put on any certificates representing such Shares to make appropriate reference to such restrictions.  Whenever reference in this Agreement is made to the issuance or delivery of certificates representing Shares, the Company may elect to issue or deliver such Shares in book entry form in lieu of certificates.</w:t>
      </w:r>
    </w:p>
    <w:p>
      <w:pPr>
        <w:pStyle w:val="TextBody"/>
        <w:bidi w:val="0"/>
        <w:spacing w:before="0" w:after="200"/>
        <w:ind w:left="0" w:right="0" w:firstLine="1440"/>
        <w:jc w:val="both"/>
        <w:rPr>
          <w:sz w:val="20"/>
        </w:rPr>
      </w:pPr>
      <w:r>
        <w:rPr>
          <w:sz w:val="20"/>
        </w:rPr>
        <w:t>8.</w:t>
      </w:r>
      <w:r>
        <w:rPr>
          <w:caps w:val="false"/>
          <w:smallCaps w:val="false"/>
          <w:sz w:val="20"/>
        </w:rPr>
        <w:t xml:space="preserve">       </w:t>
      </w:r>
      <w:r>
        <w:rPr>
          <w:sz w:val="20"/>
          <w:u w:val="single"/>
        </w:rPr>
        <w:t>Transferability</w:t>
      </w:r>
      <w:r>
        <w:rPr>
          <w:sz w:val="20"/>
        </w:rPr>
        <w:t>.  RSUs may not be assigned, alienated, pledged, attached, sold or otherwise transferred or encumbered by the Participant otherwise than by will or by the laws of descent and distribution, and any purported assignment, alienation, pledge, attachment, sale, transfer or encumbrance not permitted by this Section 8 shall be void and unenforceable against the Company or any Affiliate.</w:t>
      </w:r>
    </w:p>
    <w:p>
      <w:pPr>
        <w:pStyle w:val="TextBody"/>
        <w:bidi w:val="0"/>
        <w:spacing w:before="0" w:after="200"/>
        <w:ind w:left="0" w:right="0" w:firstLine="1440"/>
        <w:jc w:val="both"/>
        <w:rPr>
          <w:sz w:val="20"/>
        </w:rPr>
      </w:pPr>
      <w:r>
        <w:rPr>
          <w:sz w:val="20"/>
        </w:rPr>
        <w:t>9.</w:t>
      </w:r>
      <w:r>
        <w:rPr>
          <w:caps w:val="false"/>
          <w:smallCaps w:val="false"/>
          <w:sz w:val="20"/>
        </w:rPr>
        <w:t xml:space="preserve">       </w:t>
      </w:r>
      <w:r>
        <w:rPr>
          <w:sz w:val="20"/>
          <w:u w:val="single"/>
        </w:rPr>
        <w:t>Withholding</w:t>
      </w:r>
      <w:r>
        <w:rPr>
          <w:sz w:val="20"/>
        </w:rPr>
        <w:t xml:space="preserve">.  The Participant may be required to pay to the Company or any Affiliate and the Company or any Affiliate shall have the right and is hereby authorized to withhold from any transfer due under this Agreement or under the Plan or from any compensation or other amount owing to the Participant, applicable withholding taxes with respect to any transfer under this Agreement or under the Plan and to take such action as may be necessary in the opinion of the Company to satisfy all obligations for the payment of such taxes.  </w:t>
      </w:r>
    </w:p>
    <w:p>
      <w:pPr>
        <w:pStyle w:val="TextBody"/>
        <w:bidi w:val="0"/>
        <w:spacing w:before="0" w:after="200"/>
        <w:ind w:left="0" w:right="0" w:firstLine="1440"/>
        <w:jc w:val="both"/>
        <w:rPr>
          <w:sz w:val="20"/>
        </w:rPr>
      </w:pPr>
      <w:r>
        <w:rPr>
          <w:b/>
          <w:sz w:val="20"/>
        </w:rPr>
        <w:t>10.</w:t>
      </w:r>
      <w:r>
        <w:rPr>
          <w:caps w:val="false"/>
          <w:smallCaps w:val="false"/>
          <w:sz w:val="20"/>
        </w:rPr>
        <w:t xml:space="preserve">    </w:t>
      </w:r>
      <w:r>
        <w:rPr>
          <w:b/>
          <w:sz w:val="20"/>
          <w:u w:val="single"/>
        </w:rPr>
        <w:t>Choice of Law</w:t>
      </w:r>
      <w:r>
        <w:rPr>
          <w:b/>
          <w:sz w:val="20"/>
        </w:rPr>
        <w:t>.</w:t>
      </w:r>
      <w:r>
        <w:rPr>
          <w:sz w:val="20"/>
        </w:rPr>
        <w:t xml:space="preserve">  </w:t>
      </w:r>
      <w:r>
        <w:rPr>
          <w:b/>
          <w:sz w:val="20"/>
        </w:rPr>
        <w:t>THE INTERPRETATION, PERFORMANCE AND ENFORCEMENT OF THIS AGREEMENT SHALL BE GOVERNED BY THE LAWS OF THE STATE OF DELAWARE WITHOUT REGARD TO PRINCIPLES OF CONFLICTS OF LAW.</w:t>
      </w:r>
    </w:p>
    <w:p>
      <w:pPr>
        <w:pStyle w:val="TextBody"/>
        <w:bidi w:val="0"/>
        <w:spacing w:before="0" w:after="200"/>
        <w:ind w:left="0" w:right="0" w:firstLine="1440"/>
        <w:jc w:val="both"/>
        <w:rPr>
          <w:sz w:val="20"/>
        </w:rPr>
      </w:pPr>
      <w:r>
        <w:rPr>
          <w:sz w:val="20"/>
        </w:rPr>
        <w:t>11.</w:t>
      </w:r>
      <w:r>
        <w:rPr>
          <w:caps w:val="false"/>
          <w:smallCaps w:val="false"/>
          <w:sz w:val="20"/>
        </w:rPr>
        <w:t xml:space="preserve">    </w:t>
      </w:r>
      <w:r>
        <w:rPr>
          <w:sz w:val="20"/>
          <w:u w:val="single"/>
        </w:rPr>
        <w:t>RSUs Subject to Plan</w:t>
      </w:r>
      <w:r>
        <w:rPr>
          <w:sz w:val="20"/>
        </w:rPr>
        <w:t>.  By entering into this Agreement, the Participant agrees and acknowledges that the Participant has received and read a copy of the Plan.  All RSUs are subject to the Plan.  In the event of a conflict between any term or provision contained herein and a term or provision of the Plan, the applicable terms and provisions of the Plan will govern and prevail.</w:t>
      </w:r>
    </w:p>
    <w:p>
      <w:pPr>
        <w:pStyle w:val="TextBody"/>
        <w:bidi w:val="0"/>
        <w:spacing w:before="0" w:after="200"/>
        <w:ind w:left="0" w:right="0" w:firstLine="1440"/>
        <w:jc w:val="both"/>
        <w:rPr>
          <w:sz w:val="20"/>
        </w:rPr>
      </w:pPr>
      <w:r>
        <w:rPr>
          <w:sz w:val="20"/>
        </w:rPr>
        <w:t>12.</w:t>
      </w:r>
      <w:r>
        <w:rPr>
          <w:caps w:val="false"/>
          <w:smallCaps w:val="false"/>
          <w:sz w:val="20"/>
        </w:rPr>
        <w:t xml:space="preserve">    </w:t>
      </w:r>
      <w:r>
        <w:rPr>
          <w:sz w:val="20"/>
          <w:u w:val="single"/>
        </w:rPr>
        <w:t>Signature in Counterparts</w:t>
      </w:r>
      <w:r>
        <w:rPr>
          <w:sz w:val="20"/>
        </w:rPr>
        <w:t>.  This Agreement may be signed in counterparts, each of which shall be an original, with the same effect as if the signatures thereto and hereto were upon the same instrument.</w:t>
      </w:r>
    </w:p>
    <w:p>
      <w:pPr>
        <w:pStyle w:val="TextBody"/>
        <w:bidi w:val="0"/>
        <w:spacing w:before="0" w:after="0"/>
        <w:ind w:left="0" w:right="0" w:firstLine="1440"/>
        <w:jc w:val="both"/>
        <w:rPr>
          <w:sz w:val="20"/>
        </w:rPr>
      </w:pPr>
      <w:r>
        <w:rPr>
          <w:sz w:val="20"/>
        </w:rPr>
        <w:t>13.</w:t>
      </w:r>
      <w:r>
        <w:rPr>
          <w:caps w:val="false"/>
          <w:smallCaps w:val="false"/>
          <w:sz w:val="20"/>
        </w:rPr>
        <w:t xml:space="preserve">    </w:t>
      </w:r>
      <w:r>
        <w:rPr>
          <w:sz w:val="20"/>
          <w:u w:val="single"/>
        </w:rPr>
        <w:t>409A</w:t>
      </w:r>
      <w:r>
        <w:rPr>
          <w:sz w:val="20"/>
        </w:rPr>
        <w:t>.  Notwithstanding any other provisions of this Agreement or the Plan, this RSU shall not be deferred, accelerated, extended, paid out or modified in a manner that would result in the imposition of an additional tax under Section 409A of the Code upon the Participant.  In the event it is reasonably determined by the Committee that, as a result of Section 409A of the Code, the transfer of Class A Shares under this Agreement may not be made at the time contemplated hereunder without causing the Participant to be subject to taxation under Section 409A of the Code (including due to the Participant's status as a "specified employee" within the meaning of Section 409A of the Code), the Company will make such payment on the first day that would not result in the Participant incurring any tax liability under Section 409A of the Code.</w:t>
      </w:r>
    </w:p>
    <w:p>
      <w:pPr>
        <w:pStyle w:val="TextBody"/>
        <w:bidi w:val="0"/>
        <w:spacing w:before="0" w:after="0"/>
        <w:jc w:val="left"/>
        <w:rPr/>
      </w:pPr>
      <w:r>
        <w:rPr/>
        <w:t> </w:t>
      </w:r>
    </w:p>
    <w:p>
      <w:pPr>
        <w:pStyle w:val="TextBody"/>
        <w:bidi w:val="0"/>
        <w:spacing w:before="0" w:after="0"/>
        <w:jc w:val="center"/>
        <w:rPr>
          <w:sz w:val="20"/>
        </w:rPr>
      </w:pPr>
      <w:r>
        <w:rPr>
          <w:sz w:val="20"/>
        </w:rPr>
        <w:t>2</w:t>
      </w:r>
    </w:p>
    <w:p>
      <w:pPr>
        <w:pStyle w:val="HorizontalLine"/>
        <w:pBdr>
          <w:bottom w:val="double" w:sz="2" w:space="0" w:color="808080"/>
        </w:pBdr>
        <w:bidi w:val="0"/>
        <w:jc w:val="center"/>
        <w:rPr/>
      </w:pPr>
      <w:r>
        <w:rPr/>
      </w:r>
    </w:p>
    <w:p>
      <w:pPr>
        <w:pStyle w:val="Heading1"/>
        <w:bidi w:val="0"/>
        <w:spacing w:before="0" w:after="0"/>
        <w:ind w:left="720" w:right="0" w:firstLine="720"/>
        <w:jc w:val="both"/>
        <w:rPr>
          <w:b w:val="false"/>
          <w:sz w:val="20"/>
        </w:rPr>
      </w:pPr>
      <w:r>
        <w:rPr>
          <w:b w:val="false"/>
          <w:sz w:val="20"/>
        </w:rPr>
        <w:t>IN WITNESS WHEREOF, the parties hereto have executed this Agreement.</w:t>
      </w:r>
    </w:p>
    <w:p>
      <w:pPr>
        <w:pStyle w:val="TextBody"/>
        <w:bidi w:val="0"/>
        <w:spacing w:before="0" w:after="0"/>
        <w:jc w:val="left"/>
        <w:rPr/>
      </w:pPr>
      <w:r>
        <w:rPr/>
        <w:t> </w:t>
      </w:r>
    </w:p>
    <w:tbl>
      <w:tblPr>
        <w:tblW w:w="3019" w:type="dxa"/>
        <w:jc w:val="left"/>
        <w:tblInd w:w="0" w:type="dxa"/>
        <w:tblLayout w:type="fixed"/>
        <w:tblCellMar>
          <w:top w:w="0" w:type="dxa"/>
          <w:left w:w="0" w:type="dxa"/>
          <w:bottom w:w="0" w:type="dxa"/>
          <w:right w:w="0" w:type="dxa"/>
        </w:tblCellMar>
      </w:tblPr>
      <w:tblGrid>
        <w:gridCol w:w="75"/>
        <w:gridCol w:w="2285"/>
        <w:gridCol w:w="659"/>
      </w:tblGrid>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0" w:after="0"/>
              <w:jc w:val="left"/>
              <w:rPr>
                <w:sz w:val="20"/>
              </w:rPr>
            </w:pPr>
            <w:r>
              <w:rPr>
                <w:sz w:val="20"/>
              </w:rPr>
              <w:t>HOVNANIAN ENTERPRISES, INC.</w:t>
            </w:r>
          </w:p>
        </w:tc>
      </w:tr>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sz w:val="20"/>
              </w:rPr>
            </w:pPr>
            <w:r>
              <w:rPr>
                <w:sz w:val="20"/>
              </w:rPr>
              <w:t>By:</w:t>
            </w:r>
          </w:p>
        </w:tc>
        <w:tc>
          <w:tcPr>
            <w:tcW w:w="659" w:type="dxa"/>
            <w:tcBorders>
              <w:bottom w:val="single" w:sz="6" w:space="0" w:color="000000"/>
            </w:tcBorders>
            <w:tcMar>
              <w:bottom w:w="28" w:type="dxa"/>
            </w:tcMar>
            <w:vAlign w:val="center"/>
          </w:tcPr>
          <w:p>
            <w:pPr>
              <w:pStyle w:val="TableContents"/>
              <w:widowControl w:val="false"/>
              <w:bidi w:val="0"/>
              <w:spacing w:before="0" w:after="6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top w:val="single" w:sz="6" w:space="0" w:color="000000"/>
            </w:tcBorders>
            <w:tcMar>
              <w:top w:w="28" w:type="dxa"/>
            </w:tcMar>
            <w:vAlign w:val="center"/>
          </w:tcPr>
          <w:p>
            <w:pPr>
              <w:pStyle w:val="TableContents"/>
              <w:widowControl w:val="false"/>
              <w:bidi w:val="0"/>
              <w:spacing w:before="2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944" w:type="dxa"/>
            <w:gridSpan w:val="2"/>
            <w:tcBorders/>
            <w:vAlign w:val="center"/>
          </w:tcPr>
          <w:p>
            <w:pPr>
              <w:pStyle w:val="TableContents"/>
              <w:widowControl w:val="false"/>
              <w:bidi w:val="0"/>
              <w:spacing w:before="120" w:after="0"/>
              <w:jc w:val="left"/>
              <w:rPr>
                <w:sz w:val="20"/>
              </w:rPr>
            </w:pPr>
            <w:r>
              <w:rPr>
                <w:sz w:val="20"/>
              </w:rPr>
              <w:t>PARTICIPANT</w:t>
            </w:r>
            <w:r>
              <w:rPr>
                <w:sz w:val="13"/>
              </w:rPr>
              <w:t>1</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sz w:val="20"/>
              </w:rPr>
            </w:pPr>
            <w:r>
              <w:rPr>
                <w:sz w:val="20"/>
              </w:rPr>
              <w:t>By:</w:t>
            </w:r>
          </w:p>
        </w:tc>
        <w:tc>
          <w:tcPr>
            <w:tcW w:w="659" w:type="dxa"/>
            <w:tcBorders>
              <w:bottom w:val="single" w:sz="6" w:space="0" w:color="000000"/>
            </w:tcBorders>
            <w:tcMar>
              <w:bottom w:w="28" w:type="dxa"/>
            </w:tcMar>
            <w:vAlign w:val="center"/>
          </w:tcPr>
          <w:p>
            <w:pPr>
              <w:pStyle w:val="TableContents"/>
              <w:widowControl w:val="false"/>
              <w:bidi w:val="0"/>
              <w:spacing w:before="0" w:after="0"/>
              <w:jc w:val="left"/>
              <w:rPr/>
            </w:pPr>
            <w:r>
              <w:rPr/>
              <w:t> </w:t>
            </w:r>
          </w:p>
        </w:tc>
      </w:tr>
      <w:tr>
        <w:trPr/>
        <w:tc>
          <w:tcPr>
            <w:tcW w:w="75" w:type="dxa"/>
            <w:tcBorders/>
            <w:vAlign w:val="center"/>
          </w:tcPr>
          <w:p>
            <w:pPr>
              <w:pStyle w:val="TableContents"/>
              <w:widowControl w:val="false"/>
              <w:bidi w:val="0"/>
              <w:spacing w:before="0" w:after="0"/>
              <w:jc w:val="left"/>
              <w:rPr/>
            </w:pPr>
            <w:r>
              <w:rPr/>
              <w:t> </w:t>
            </w:r>
          </w:p>
        </w:tc>
        <w:tc>
          <w:tcPr>
            <w:tcW w:w="2285" w:type="dxa"/>
            <w:tcBorders/>
            <w:vAlign w:val="center"/>
          </w:tcPr>
          <w:p>
            <w:pPr>
              <w:pStyle w:val="TableContents"/>
              <w:widowControl w:val="false"/>
              <w:bidi w:val="0"/>
              <w:spacing w:before="0" w:after="0"/>
              <w:jc w:val="left"/>
              <w:rPr/>
            </w:pPr>
            <w:r>
              <w:rPr/>
              <w:t> </w:t>
            </w:r>
          </w:p>
        </w:tc>
        <w:tc>
          <w:tcPr>
            <w:tcW w:w="659" w:type="dxa"/>
            <w:tcBorders>
              <w:top w:val="single" w:sz="6" w:space="0" w:color="000000"/>
            </w:tcBorders>
            <w:tcMar>
              <w:top w:w="28" w:type="dxa"/>
            </w:tcMar>
            <w:vAlign w:val="center"/>
          </w:tcPr>
          <w:p>
            <w:pPr>
              <w:pStyle w:val="TableContents"/>
              <w:widowControl w:val="false"/>
              <w:bidi w:val="0"/>
              <w:spacing w:before="2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28" w:type="dxa"/>
          <w:right w:w="0" w:type="dxa"/>
        </w:tblCellMar>
      </w:tblPr>
      <w:tblGrid>
        <w:gridCol w:w="164"/>
        <w:gridCol w:w="4457"/>
        <w:gridCol w:w="5584"/>
      </w:tblGrid>
      <w:tr>
        <w:trPr/>
        <w:tc>
          <w:tcPr>
            <w:tcW w:w="164" w:type="dxa"/>
            <w:tcBorders>
              <w:bottom w:val="single" w:sz="6" w:space="0" w:color="000000"/>
            </w:tcBorders>
            <w:vAlign w:val="center"/>
          </w:tcPr>
          <w:p>
            <w:pPr>
              <w:pStyle w:val="TableContents"/>
              <w:widowControl w:val="false"/>
              <w:bidi w:val="0"/>
              <w:spacing w:before="0" w:after="0"/>
              <w:jc w:val="left"/>
              <w:rPr/>
            </w:pPr>
            <w:r>
              <w:rPr/>
              <w:t> </w:t>
            </w:r>
          </w:p>
        </w:tc>
        <w:tc>
          <w:tcPr>
            <w:tcW w:w="4457" w:type="dxa"/>
            <w:tcBorders>
              <w:bottom w:val="single" w:sz="6" w:space="0" w:color="000000"/>
            </w:tcBorders>
            <w:vAlign w:val="center"/>
          </w:tcPr>
          <w:p>
            <w:pPr>
              <w:pStyle w:val="TableContents"/>
              <w:widowControl w:val="false"/>
              <w:bidi w:val="0"/>
              <w:spacing w:before="0" w:after="0"/>
              <w:jc w:val="left"/>
              <w:rPr/>
            </w:pPr>
            <w:r>
              <w:rPr/>
              <w:t> </w:t>
            </w:r>
          </w:p>
        </w:tc>
        <w:tc>
          <w:tcPr>
            <w:tcW w:w="5584" w:type="dxa"/>
            <w:tcBorders/>
            <w:tcMar>
              <w:bottom w:w="0" w:type="dxa"/>
            </w:tcMar>
            <w:vAlign w:val="center"/>
          </w:tcPr>
          <w:p>
            <w:pPr>
              <w:pStyle w:val="TableContents"/>
              <w:widowControl w:val="false"/>
              <w:bidi w:val="0"/>
              <w:spacing w:before="0" w:after="0"/>
              <w:jc w:val="left"/>
              <w:rPr/>
            </w:pPr>
            <w:r>
              <w:rPr/>
              <w:t> </w:t>
            </w:r>
          </w:p>
        </w:tc>
      </w:tr>
      <w:tr>
        <w:trPr/>
        <w:tc>
          <w:tcPr>
            <w:tcW w:w="164" w:type="dxa"/>
            <w:tcBorders/>
            <w:tcMar>
              <w:bottom w:w="0" w:type="dxa"/>
            </w:tcMar>
            <w:vAlign w:val="center"/>
          </w:tcPr>
          <w:p>
            <w:pPr>
              <w:pStyle w:val="TableContents"/>
              <w:widowControl w:val="false"/>
              <w:bidi w:val="0"/>
              <w:spacing w:before="80" w:after="0"/>
              <w:jc w:val="left"/>
              <w:rPr>
                <w:sz w:val="20"/>
              </w:rPr>
            </w:pPr>
            <w:r>
              <w:rPr>
                <w:sz w:val="20"/>
              </w:rPr>
              <w:t>1.</w:t>
            </w:r>
          </w:p>
        </w:tc>
        <w:tc>
          <w:tcPr>
            <w:tcW w:w="10041" w:type="dxa"/>
            <w:gridSpan w:val="2"/>
            <w:tcBorders/>
            <w:tcMar>
              <w:bottom w:w="0" w:type="dxa"/>
            </w:tcMar>
            <w:vAlign w:val="center"/>
          </w:tcPr>
          <w:p>
            <w:pPr>
              <w:pStyle w:val="TableContents"/>
              <w:widowControl w:val="false"/>
              <w:bidi w:val="0"/>
              <w:spacing w:before="80" w:after="0"/>
              <w:jc w:val="both"/>
              <w:rPr>
                <w:sz w:val="20"/>
              </w:rPr>
            </w:pPr>
            <w:r>
              <w:rPr>
                <w:sz w:val="20"/>
              </w:rPr>
              <w:t>To the extent that the Company has established, either itself or through a third-party plan administrator, the ability to accept this award electronically, such acceptance shall constitute the Participant’s signature hereof.</w:t>
            </w:r>
          </w:p>
        </w:tc>
      </w:tr>
    </w:tbl>
    <w:p>
      <w:pPr>
        <w:pStyle w:val="TextBody"/>
        <w:bidi w:val="0"/>
        <w:spacing w:before="0" w:after="0"/>
        <w:jc w:val="left"/>
        <w:rPr/>
      </w:pPr>
      <w:r>
        <w:rPr/>
        <w:t> </w:t>
      </w:r>
    </w:p>
    <w:p>
      <w:pPr>
        <w:pStyle w:val="TextBody"/>
        <w:bidi w:val="0"/>
        <w:spacing w:before="0" w:after="0"/>
        <w:jc w:val="center"/>
        <w:rPr>
          <w:sz w:val="20"/>
        </w:rPr>
      </w:pPr>
      <w:r>
        <w:rPr>
          <w:sz w:val="20"/>
        </w:rPr>
        <w:t>3</w:t>
      </w:r>
    </w:p>
    <w:p>
      <w:pPr>
        <w:pStyle w:val="HorizontalLine"/>
        <w:pBdr>
          <w:bottom w:val="double" w:sz="2" w:space="0" w:color="808080"/>
        </w:pBdr>
        <w:bidi w:val="0"/>
        <w:jc w:val="center"/>
        <w:rPr/>
      </w:pPr>
      <w:r>
        <w:rPr/>
      </w:r>
      <w:r>
        <w:br w:type="page"/>
      </w:r>
    </w:p>
    <w:p>
      <w:pPr>
        <w:pStyle w:val="TextBody"/>
        <w:bidi w:val="0"/>
        <w:spacing w:before="0" w:after="0"/>
        <w:jc w:val="left"/>
        <w:rPr/>
      </w:pPr>
      <w:bookmarkStart w:id="35" w:name="ex31A_9.htm"/>
      <w:bookmarkStart w:id="36" w:name="ksex31A_9"/>
      <w:bookmarkEnd w:id="35"/>
      <w:bookmarkEnd w:id="36"/>
      <w:r>
        <w:rPr/>
        <w:t> </w:t>
      </w:r>
    </w:p>
    <w:p>
      <w:pPr>
        <w:pStyle w:val="TextBody"/>
        <w:bidi w:val="0"/>
        <w:spacing w:lineRule="atLeast" w:line="240" w:before="0" w:after="0"/>
        <w:ind w:left="0" w:right="0" w:firstLine="720"/>
        <w:jc w:val="center"/>
        <w:rPr>
          <w:b/>
          <w:sz w:val="20"/>
        </w:rPr>
      </w:pPr>
      <w:r>
        <w:rPr>
          <w:b/>
          <w:sz w:val="20"/>
        </w:rPr>
        <w:t>CERTIFICATIONS</w:t>
      </w:r>
    </w:p>
    <w:p>
      <w:pPr>
        <w:pStyle w:val="TextBody"/>
        <w:bidi w:val="0"/>
        <w:spacing w:lineRule="atLeast" w:line="240" w:before="0" w:after="0"/>
        <w:ind w:left="0" w:right="0" w:firstLine="720"/>
        <w:jc w:val="center"/>
        <w:rPr>
          <w:b/>
          <w:sz w:val="20"/>
        </w:rPr>
      </w:pPr>
      <w:r>
        <w:rPr>
          <w:b/>
          <w:sz w:val="20"/>
        </w:rPr>
        <w:t>Exhibit 31(a)</w:t>
      </w:r>
    </w:p>
    <w:p>
      <w:pPr>
        <w:pStyle w:val="TextBody"/>
        <w:bidi w:val="0"/>
        <w:spacing w:lineRule="atLeast" w:line="240" w:before="0" w:after="0"/>
        <w:jc w:val="center"/>
        <w:rPr/>
      </w:pPr>
      <w:r>
        <w:rPr/>
        <w:t> </w:t>
      </w:r>
    </w:p>
    <w:p>
      <w:pPr>
        <w:pStyle w:val="TextBody"/>
        <w:bidi w:val="0"/>
        <w:spacing w:lineRule="atLeast" w:line="240" w:before="0" w:after="0"/>
        <w:jc w:val="left"/>
        <w:rPr>
          <w:sz w:val="20"/>
        </w:rPr>
      </w:pPr>
      <w:r>
        <w:rPr>
          <w:sz w:val="20"/>
        </w:rPr>
        <w:t>I, Ara K. Hovnanian, certify that:</w:t>
      </w:r>
    </w:p>
    <w:p>
      <w:pPr>
        <w:pStyle w:val="TextBody"/>
        <w:bidi w:val="0"/>
        <w:spacing w:lineRule="atLeast" w:line="240" w:before="150" w:after="150"/>
        <w:jc w:val="left"/>
        <w:rPr/>
      </w:pPr>
      <w:r>
        <w:rPr>
          <w:sz w:val="20"/>
        </w:rPr>
        <w:t>1.</w:t>
      </w:r>
      <w:r>
        <w:rPr/>
        <w:t xml:space="preserve">   </w:t>
      </w:r>
      <w:r>
        <w:rPr>
          <w:sz w:val="20"/>
        </w:rPr>
        <w:t>I have reviewed this Quarterly Report on Form 10-Q for the period ended July 31, 2026</w:t>
      </w:r>
      <w:r>
        <w:rPr/>
        <w:t> </w:t>
      </w:r>
      <w:r>
        <w:rPr>
          <w:sz w:val="20"/>
        </w:rPr>
        <w:t>of Hovnanian Enterprises, Inc. (the “registrant”);</w:t>
      </w:r>
    </w:p>
    <w:p>
      <w:pPr>
        <w:pStyle w:val="TextBody"/>
        <w:bidi w:val="0"/>
        <w:spacing w:lineRule="atLeast" w:line="240" w:before="0" w:after="150"/>
        <w:jc w:val="left"/>
        <w:rPr/>
      </w:pPr>
      <w:r>
        <w:rPr>
          <w:sz w:val="20"/>
        </w:rPr>
        <w:t>2.</w:t>
      </w:r>
      <w:r>
        <w:rPr/>
        <w:t xml:space="preserve">   </w:t>
      </w: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tLeast" w:line="240" w:before="0" w:after="150"/>
        <w:jc w:val="left"/>
        <w:rPr/>
      </w:pPr>
      <w:r>
        <w:rPr>
          <w:sz w:val="20"/>
        </w:rPr>
        <w:t>3.</w:t>
      </w:r>
      <w:r>
        <w:rPr/>
        <w:t xml:space="preserve">   </w:t>
      </w: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tLeast" w:line="240" w:before="0" w:after="150"/>
        <w:jc w:val="left"/>
        <w:rPr/>
      </w:pPr>
      <w:r>
        <w:rPr>
          <w:sz w:val="20"/>
        </w:rPr>
        <w:t>4.</w:t>
      </w:r>
      <w:r>
        <w:rPr/>
        <w:t xml:space="preserve">   </w:t>
      </w:r>
      <w:r>
        <w:rPr>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tLeast" w:line="240" w:before="0" w:after="150"/>
        <w:ind w:left="750" w:right="0" w:hanging="0"/>
        <w:jc w:val="left"/>
        <w:rPr>
          <w:sz w:val="20"/>
        </w:rPr>
      </w:pPr>
      <w:r>
        <w:rPr>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tLeast" w:line="240" w:before="0" w:after="150"/>
        <w:ind w:left="750" w:right="0" w:hanging="0"/>
        <w:jc w:val="left"/>
        <w:rPr>
          <w:sz w:val="20"/>
        </w:rPr>
      </w:pPr>
      <w:r>
        <w:rPr>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tLeast" w:line="240" w:before="0" w:after="150"/>
        <w:ind w:left="750" w:right="0" w:hanging="0"/>
        <w:jc w:val="left"/>
        <w:rPr>
          <w:sz w:val="20"/>
        </w:rPr>
      </w:pPr>
      <w:r>
        <w:rPr>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tLeast" w:line="240" w:before="0" w:after="150"/>
        <w:ind w:left="750" w:right="0" w:hanging="0"/>
        <w:jc w:val="left"/>
        <w:rPr>
          <w:sz w:val="20"/>
        </w:rPr>
      </w:pPr>
      <w:r>
        <w:rPr>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tLeast" w:line="240" w:before="0" w:after="150"/>
        <w:jc w:val="left"/>
        <w:rPr/>
      </w:pPr>
      <w:r>
        <w:rPr>
          <w:sz w:val="20"/>
        </w:rPr>
        <w:t>5.</w:t>
      </w:r>
      <w:r>
        <w:rPr/>
        <w:t xml:space="preserve">   </w:t>
      </w: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tLeast" w:line="240" w:before="0" w:after="150"/>
        <w:ind w:left="750" w:right="0" w:hanging="0"/>
        <w:jc w:val="left"/>
        <w:rPr>
          <w:sz w:val="20"/>
        </w:rPr>
      </w:pPr>
      <w:r>
        <w:rPr>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tLeast" w:line="240" w:before="0" w:after="150"/>
        <w:ind w:left="750" w:right="0" w:hanging="0"/>
        <w:jc w:val="left"/>
        <w:rPr>
          <w:sz w:val="20"/>
        </w:rPr>
      </w:pPr>
      <w:r>
        <w:rPr>
          <w:sz w:val="20"/>
        </w:rPr>
        <w:t>(b) any fraud, whether or not material, that involves management or other employees who have a significant role in the registrant’s internal control over financial reporting.</w:t>
      </w:r>
    </w:p>
    <w:tbl>
      <w:tblPr>
        <w:tblW w:w="3260" w:type="dxa"/>
        <w:jc w:val="left"/>
        <w:tblInd w:w="0" w:type="dxa"/>
        <w:tblLayout w:type="fixed"/>
        <w:tblCellMar>
          <w:top w:w="0" w:type="dxa"/>
          <w:left w:w="0" w:type="dxa"/>
          <w:bottom w:w="0" w:type="dxa"/>
          <w:right w:w="0" w:type="dxa"/>
        </w:tblCellMar>
      </w:tblPr>
      <w:tblGrid>
        <w:gridCol w:w="3185"/>
        <w:gridCol w:w="75"/>
      </w:tblGrid>
      <w:tr>
        <w:trPr/>
        <w:tc>
          <w:tcPr>
            <w:tcW w:w="3185" w:type="dxa"/>
            <w:tcBorders/>
            <w:vAlign w:val="center"/>
          </w:tcPr>
          <w:p>
            <w:pPr>
              <w:pStyle w:val="TableContents"/>
              <w:bidi w:val="0"/>
              <w:spacing w:before="0" w:after="0"/>
              <w:jc w:val="left"/>
              <w:rPr>
                <w:sz w:val="20"/>
              </w:rPr>
            </w:pPr>
            <w:r>
              <w:rPr>
                <w:sz w:val="20"/>
              </w:rPr>
              <w:t>Date: August 28, 2026</w:t>
            </w:r>
          </w:p>
        </w:tc>
        <w:tc>
          <w:tcPr>
            <w:tcW w:w="75" w:type="dxa"/>
            <w:tcBorders/>
            <w:vAlign w:val="center"/>
          </w:tcPr>
          <w:p>
            <w:pPr>
              <w:pStyle w:val="TableContents"/>
              <w:bidi w:val="0"/>
              <w:spacing w:before="0" w:after="0"/>
              <w:jc w:val="left"/>
              <w:rPr/>
            </w:pPr>
            <w:r>
              <w:rPr/>
              <w:t> </w:t>
            </w:r>
          </w:p>
        </w:tc>
      </w:tr>
      <w:tr>
        <w:trPr/>
        <w:tc>
          <w:tcPr>
            <w:tcW w:w="3185"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3185" w:type="dxa"/>
            <w:tcBorders/>
            <w:vAlign w:val="center"/>
          </w:tcPr>
          <w:p>
            <w:pPr>
              <w:pStyle w:val="TableContents"/>
              <w:bidi w:val="0"/>
              <w:spacing w:before="0" w:after="0"/>
              <w:jc w:val="left"/>
              <w:rPr>
                <w:sz w:val="20"/>
                <w:u w:val="single"/>
              </w:rPr>
            </w:pPr>
            <w:r>
              <w:rPr>
                <w:sz w:val="20"/>
                <w:u w:val="single"/>
              </w:rPr>
              <w:t>/s/ ARA K. HOVNANIAN</w:t>
            </w:r>
          </w:p>
        </w:tc>
        <w:tc>
          <w:tcPr>
            <w:tcW w:w="75" w:type="dxa"/>
            <w:tcBorders/>
            <w:vAlign w:val="center"/>
          </w:tcPr>
          <w:p>
            <w:pPr>
              <w:pStyle w:val="TableContents"/>
              <w:bidi w:val="0"/>
              <w:spacing w:before="0" w:after="0"/>
              <w:jc w:val="left"/>
              <w:rPr/>
            </w:pPr>
            <w:r>
              <w:rPr/>
              <w:t> </w:t>
            </w:r>
          </w:p>
        </w:tc>
      </w:tr>
      <w:tr>
        <w:trPr/>
        <w:tc>
          <w:tcPr>
            <w:tcW w:w="3185" w:type="dxa"/>
            <w:tcBorders/>
            <w:vAlign w:val="center"/>
          </w:tcPr>
          <w:p>
            <w:pPr>
              <w:pStyle w:val="TableContents"/>
              <w:bidi w:val="0"/>
              <w:spacing w:before="0" w:after="0"/>
              <w:jc w:val="left"/>
              <w:rPr>
                <w:sz w:val="20"/>
              </w:rPr>
            </w:pPr>
            <w:r>
              <w:rPr>
                <w:sz w:val="20"/>
              </w:rPr>
              <w:t>Ara K. Hovnanian</w:t>
            </w:r>
          </w:p>
        </w:tc>
        <w:tc>
          <w:tcPr>
            <w:tcW w:w="75" w:type="dxa"/>
            <w:tcBorders/>
            <w:vAlign w:val="center"/>
          </w:tcPr>
          <w:p>
            <w:pPr>
              <w:pStyle w:val="TableContents"/>
              <w:bidi w:val="0"/>
              <w:spacing w:before="0" w:after="0"/>
              <w:jc w:val="left"/>
              <w:rPr/>
            </w:pPr>
            <w:r>
              <w:rPr/>
              <w:t> </w:t>
            </w:r>
          </w:p>
        </w:tc>
      </w:tr>
      <w:tr>
        <w:trPr/>
        <w:tc>
          <w:tcPr>
            <w:tcW w:w="3185" w:type="dxa"/>
            <w:tcBorders/>
            <w:vAlign w:val="center"/>
          </w:tcPr>
          <w:p>
            <w:pPr>
              <w:pStyle w:val="TableContents"/>
              <w:bidi w:val="0"/>
              <w:spacing w:before="0" w:after="0"/>
              <w:jc w:val="left"/>
              <w:rPr>
                <w:sz w:val="20"/>
              </w:rPr>
            </w:pPr>
            <w:r>
              <w:rPr>
                <w:sz w:val="20"/>
              </w:rPr>
              <w:t xml:space="preserve">Chairman and Chief Executive Officer </w:t>
            </w:r>
          </w:p>
        </w:tc>
        <w:tc>
          <w:tcPr>
            <w:tcW w:w="75" w:type="dxa"/>
            <w:tcBorders/>
            <w:vAlign w:val="center"/>
          </w:tcPr>
          <w:p>
            <w:pPr>
              <w:pStyle w:val="TableContents"/>
              <w:bidi w:val="0"/>
              <w:spacing w:before="0" w:after="0"/>
              <w:jc w:val="left"/>
              <w:rPr/>
            </w:pPr>
            <w:r>
              <w:rPr/>
              <w:t> </w:t>
            </w:r>
          </w:p>
        </w:tc>
      </w:tr>
    </w:tbl>
    <w:p>
      <w:pPr>
        <w:pStyle w:val="TextBody"/>
        <w:bidi w:val="0"/>
        <w:spacing w:lineRule="atLeast" w:line="240" w:before="0" w:after="0"/>
        <w:jc w:val="left"/>
        <w:rPr/>
      </w:pPr>
      <w:r>
        <w:rPr/>
        <w:t> </w:t>
      </w:r>
      <w:r>
        <w:br w:type="page"/>
      </w:r>
    </w:p>
    <w:p>
      <w:pPr>
        <w:pStyle w:val="TextBody"/>
        <w:bidi w:val="0"/>
        <w:spacing w:before="0" w:after="0"/>
        <w:jc w:val="left"/>
        <w:rPr/>
      </w:pPr>
      <w:bookmarkStart w:id="37" w:name="ex31B_10.htm"/>
      <w:bookmarkStart w:id="38" w:name="ksex31B_10"/>
      <w:bookmarkEnd w:id="37"/>
      <w:bookmarkEnd w:id="38"/>
      <w:r>
        <w:rPr/>
        <w:t> </w:t>
      </w:r>
    </w:p>
    <w:p>
      <w:pPr>
        <w:pStyle w:val="TextBody"/>
        <w:bidi w:val="0"/>
        <w:spacing w:lineRule="atLeast" w:line="240" w:before="0" w:after="0"/>
        <w:ind w:left="0" w:right="0" w:firstLine="720"/>
        <w:jc w:val="center"/>
        <w:rPr>
          <w:b/>
          <w:sz w:val="20"/>
        </w:rPr>
      </w:pPr>
      <w:r>
        <w:rPr>
          <w:b/>
          <w:sz w:val="20"/>
        </w:rPr>
        <w:t>CERTIFICATIONS</w:t>
      </w:r>
    </w:p>
    <w:p>
      <w:pPr>
        <w:pStyle w:val="TextBody"/>
        <w:bidi w:val="0"/>
        <w:spacing w:lineRule="atLeast" w:line="240" w:before="0" w:after="200"/>
        <w:ind w:left="0" w:right="0" w:firstLine="720"/>
        <w:jc w:val="center"/>
        <w:rPr>
          <w:b/>
          <w:sz w:val="20"/>
        </w:rPr>
      </w:pPr>
      <w:r>
        <w:rPr>
          <w:b/>
          <w:sz w:val="20"/>
        </w:rPr>
        <w:t>Exhibit 31(b)</w:t>
      </w:r>
    </w:p>
    <w:p>
      <w:pPr>
        <w:pStyle w:val="TextBody"/>
        <w:bidi w:val="0"/>
        <w:spacing w:lineRule="atLeast" w:line="240" w:before="0" w:after="0"/>
        <w:jc w:val="left"/>
        <w:rPr>
          <w:sz w:val="20"/>
        </w:rPr>
      </w:pPr>
      <w:r>
        <w:rPr>
          <w:sz w:val="20"/>
        </w:rPr>
        <w:t>I, Brad O’Connor, certify that:</w:t>
      </w:r>
    </w:p>
    <w:p>
      <w:pPr>
        <w:pStyle w:val="TextBody"/>
        <w:bidi w:val="0"/>
        <w:spacing w:lineRule="atLeast" w:line="240" w:before="150" w:after="150"/>
        <w:jc w:val="left"/>
        <w:rPr/>
      </w:pPr>
      <w:r>
        <w:rPr>
          <w:sz w:val="20"/>
        </w:rPr>
        <w:t>1.</w:t>
      </w:r>
      <w:r>
        <w:rPr/>
        <w:t xml:space="preserve">   </w:t>
      </w:r>
      <w:r>
        <w:rPr>
          <w:sz w:val="20"/>
        </w:rPr>
        <w:t>I have reviewed this Quarterly Report on Form 10-Q for the period ended July 31, 2026</w:t>
      </w:r>
      <w:r>
        <w:rPr/>
        <w:t xml:space="preserve"> </w:t>
      </w:r>
      <w:r>
        <w:rPr>
          <w:sz w:val="20"/>
        </w:rPr>
        <w:t>of Hovnanian Enterprises, Inc. (the “registrant”);</w:t>
      </w:r>
    </w:p>
    <w:p>
      <w:pPr>
        <w:pStyle w:val="TextBody"/>
        <w:bidi w:val="0"/>
        <w:spacing w:lineRule="atLeast" w:line="240" w:before="0" w:after="150"/>
        <w:jc w:val="left"/>
        <w:rPr/>
      </w:pPr>
      <w:r>
        <w:rPr>
          <w:sz w:val="20"/>
        </w:rPr>
        <w:t>2.</w:t>
      </w:r>
      <w:r>
        <w:rPr/>
        <w:t xml:space="preserve">   </w:t>
      </w: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tLeast" w:line="240" w:before="0" w:after="150"/>
        <w:jc w:val="left"/>
        <w:rPr/>
      </w:pPr>
      <w:r>
        <w:rPr>
          <w:sz w:val="20"/>
        </w:rPr>
        <w:t>3.</w:t>
      </w:r>
      <w:r>
        <w:rPr/>
        <w:t xml:space="preserve">   </w:t>
      </w: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tLeast" w:line="240" w:before="0" w:after="150"/>
        <w:jc w:val="left"/>
        <w:rPr/>
      </w:pPr>
      <w:r>
        <w:rPr>
          <w:sz w:val="20"/>
        </w:rPr>
        <w:t>4.</w:t>
      </w:r>
      <w:r>
        <w:rPr/>
        <w:t xml:space="preserve">   </w:t>
      </w:r>
      <w:r>
        <w:rPr>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tLeast" w:line="240" w:before="0" w:after="150"/>
        <w:ind w:left="750" w:right="0" w:hanging="0"/>
        <w:jc w:val="left"/>
        <w:rPr>
          <w:sz w:val="20"/>
        </w:rPr>
      </w:pPr>
      <w:r>
        <w:rPr>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tLeast" w:line="240" w:before="0" w:after="150"/>
        <w:ind w:left="750" w:right="0" w:hanging="0"/>
        <w:jc w:val="left"/>
        <w:rPr>
          <w:sz w:val="20"/>
        </w:rPr>
      </w:pPr>
      <w:r>
        <w:rPr>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tLeast" w:line="240" w:before="0" w:after="150"/>
        <w:ind w:left="750" w:right="0" w:hanging="0"/>
        <w:jc w:val="left"/>
        <w:rPr>
          <w:sz w:val="20"/>
        </w:rPr>
      </w:pPr>
      <w:r>
        <w:rPr>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tLeast" w:line="240" w:before="0" w:after="150"/>
        <w:ind w:left="750" w:right="0" w:hanging="0"/>
        <w:jc w:val="left"/>
        <w:rPr>
          <w:sz w:val="20"/>
        </w:rPr>
      </w:pPr>
      <w:r>
        <w:rPr>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tLeast" w:line="240" w:before="0" w:after="150"/>
        <w:jc w:val="left"/>
        <w:rPr/>
      </w:pPr>
      <w:r>
        <w:rPr>
          <w:sz w:val="20"/>
        </w:rPr>
        <w:t>5.</w:t>
      </w:r>
      <w:r>
        <w:rPr/>
        <w:t xml:space="preserve">   </w:t>
      </w: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tLeast" w:line="240" w:before="0" w:after="150"/>
        <w:ind w:left="750" w:right="0" w:hanging="0"/>
        <w:jc w:val="left"/>
        <w:rPr>
          <w:sz w:val="20"/>
        </w:rPr>
      </w:pPr>
      <w:r>
        <w:rPr>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tLeast" w:line="240" w:before="0" w:after="150"/>
        <w:ind w:left="750" w:right="0" w:hanging="0"/>
        <w:jc w:val="left"/>
        <w:rPr>
          <w:sz w:val="20"/>
        </w:rPr>
      </w:pPr>
      <w:r>
        <w:rPr>
          <w:sz w:val="20"/>
        </w:rPr>
        <w:t>(b) any fraud, whether or not material, that involves management or other employees who have a significant role in the registrant’s internal control over financial reporting.</w:t>
      </w:r>
    </w:p>
    <w:tbl>
      <w:tblPr>
        <w:tblW w:w="1970" w:type="dxa"/>
        <w:jc w:val="left"/>
        <w:tblInd w:w="0" w:type="dxa"/>
        <w:tblLayout w:type="fixed"/>
        <w:tblCellMar>
          <w:top w:w="0" w:type="dxa"/>
          <w:left w:w="0" w:type="dxa"/>
          <w:bottom w:w="0" w:type="dxa"/>
          <w:right w:w="0" w:type="dxa"/>
        </w:tblCellMar>
      </w:tblPr>
      <w:tblGrid>
        <w:gridCol w:w="1895"/>
        <w:gridCol w:w="75"/>
      </w:tblGrid>
      <w:tr>
        <w:trPr/>
        <w:tc>
          <w:tcPr>
            <w:tcW w:w="1895" w:type="dxa"/>
            <w:tcBorders/>
            <w:vAlign w:val="center"/>
          </w:tcPr>
          <w:p>
            <w:pPr>
              <w:pStyle w:val="TableContents"/>
              <w:bidi w:val="0"/>
              <w:spacing w:before="0" w:after="0"/>
              <w:jc w:val="left"/>
              <w:rPr>
                <w:sz w:val="20"/>
              </w:rPr>
            </w:pPr>
            <w:r>
              <w:rPr>
                <w:sz w:val="20"/>
              </w:rPr>
              <w:t>Date: August 28, 2026</w:t>
            </w:r>
          </w:p>
        </w:tc>
        <w:tc>
          <w:tcPr>
            <w:tcW w:w="75" w:type="dxa"/>
            <w:tcBorders/>
            <w:vAlign w:val="center"/>
          </w:tcPr>
          <w:p>
            <w:pPr>
              <w:pStyle w:val="TableContents"/>
              <w:bidi w:val="0"/>
              <w:spacing w:before="0" w:after="0"/>
              <w:jc w:val="left"/>
              <w:rPr/>
            </w:pPr>
            <w:r>
              <w:rPr/>
              <w:t> </w:t>
            </w:r>
          </w:p>
        </w:tc>
      </w:tr>
      <w:tr>
        <w:trPr/>
        <w:tc>
          <w:tcPr>
            <w:tcW w:w="1895"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895" w:type="dxa"/>
            <w:tcBorders/>
            <w:vAlign w:val="center"/>
          </w:tcPr>
          <w:p>
            <w:pPr>
              <w:pStyle w:val="TableContents"/>
              <w:bidi w:val="0"/>
              <w:spacing w:before="0" w:after="0"/>
              <w:jc w:val="left"/>
              <w:rPr>
                <w:sz w:val="20"/>
                <w:u w:val="single"/>
              </w:rPr>
            </w:pPr>
            <w:r>
              <w:rPr>
                <w:sz w:val="20"/>
                <w:u w:val="single"/>
              </w:rPr>
              <w:t>/s/ BRAD O’CONNOR</w:t>
            </w:r>
          </w:p>
        </w:tc>
        <w:tc>
          <w:tcPr>
            <w:tcW w:w="75" w:type="dxa"/>
            <w:tcBorders/>
            <w:vAlign w:val="center"/>
          </w:tcPr>
          <w:p>
            <w:pPr>
              <w:pStyle w:val="TableContents"/>
              <w:bidi w:val="0"/>
              <w:spacing w:before="0" w:after="0"/>
              <w:jc w:val="left"/>
              <w:rPr/>
            </w:pPr>
            <w:r>
              <w:rPr/>
              <w:t> </w:t>
            </w:r>
          </w:p>
        </w:tc>
      </w:tr>
      <w:tr>
        <w:trPr/>
        <w:tc>
          <w:tcPr>
            <w:tcW w:w="1895" w:type="dxa"/>
            <w:tcBorders/>
            <w:vAlign w:val="center"/>
          </w:tcPr>
          <w:p>
            <w:pPr>
              <w:pStyle w:val="TableContents"/>
              <w:bidi w:val="0"/>
              <w:spacing w:before="0" w:after="0"/>
              <w:jc w:val="left"/>
              <w:rPr>
                <w:sz w:val="20"/>
              </w:rPr>
            </w:pPr>
            <w:r>
              <w:rPr>
                <w:sz w:val="20"/>
              </w:rPr>
              <w:t>Brad O’Connor</w:t>
            </w:r>
          </w:p>
        </w:tc>
        <w:tc>
          <w:tcPr>
            <w:tcW w:w="75" w:type="dxa"/>
            <w:tcBorders/>
            <w:vAlign w:val="center"/>
          </w:tcPr>
          <w:p>
            <w:pPr>
              <w:pStyle w:val="TableContents"/>
              <w:bidi w:val="0"/>
              <w:spacing w:before="0" w:after="0"/>
              <w:jc w:val="left"/>
              <w:rPr/>
            </w:pPr>
            <w:r>
              <w:rPr/>
              <w:t> </w:t>
            </w:r>
          </w:p>
        </w:tc>
      </w:tr>
      <w:tr>
        <w:trPr/>
        <w:tc>
          <w:tcPr>
            <w:tcW w:w="1895" w:type="dxa"/>
            <w:tcBorders/>
            <w:vAlign w:val="center"/>
          </w:tcPr>
          <w:p>
            <w:pPr>
              <w:pStyle w:val="TableContents"/>
              <w:bidi w:val="0"/>
              <w:spacing w:before="0" w:after="0"/>
              <w:jc w:val="left"/>
              <w:rPr>
                <w:sz w:val="20"/>
              </w:rPr>
            </w:pPr>
            <w:r>
              <w:rPr>
                <w:sz w:val="20"/>
              </w:rPr>
              <w:t>Chief Financial Officer</w:t>
            </w:r>
          </w:p>
        </w:tc>
        <w:tc>
          <w:tcPr>
            <w:tcW w:w="75" w:type="dxa"/>
            <w:tcBorders/>
            <w:vAlign w:val="center"/>
          </w:tcPr>
          <w:p>
            <w:pPr>
              <w:pStyle w:val="TableContents"/>
              <w:bidi w:val="0"/>
              <w:spacing w:before="0" w:after="0"/>
              <w:jc w:val="left"/>
              <w:rPr/>
            </w:pPr>
            <w:r>
              <w:rPr/>
              <w:t> </w:t>
            </w:r>
          </w:p>
        </w:tc>
      </w:tr>
    </w:tbl>
    <w:p>
      <w:pPr>
        <w:pStyle w:val="TextBody"/>
        <w:bidi w:val="0"/>
        <w:spacing w:lineRule="atLeast" w:line="240" w:before="0" w:after="0"/>
        <w:jc w:val="left"/>
        <w:rPr/>
      </w:pPr>
      <w:r>
        <w:rPr/>
        <w:t> </w:t>
      </w:r>
      <w:r>
        <w:br w:type="page"/>
      </w:r>
    </w:p>
    <w:p>
      <w:pPr>
        <w:pStyle w:val="TextBody"/>
        <w:bidi w:val="0"/>
        <w:spacing w:before="0" w:after="0"/>
        <w:jc w:val="left"/>
        <w:rPr/>
      </w:pPr>
      <w:bookmarkStart w:id="39" w:name="ex32A_11.htm"/>
      <w:bookmarkStart w:id="40" w:name="ksex32A_11"/>
      <w:bookmarkEnd w:id="39"/>
      <w:bookmarkEnd w:id="40"/>
      <w:r>
        <w:rPr/>
        <w:t> </w:t>
      </w:r>
    </w:p>
    <w:p>
      <w:pPr>
        <w:pStyle w:val="TextBody"/>
        <w:bidi w:val="0"/>
        <w:spacing w:lineRule="atLeast" w:line="240" w:before="0" w:after="0"/>
        <w:jc w:val="center"/>
        <w:rPr>
          <w:b/>
          <w:sz w:val="20"/>
        </w:rPr>
      </w:pPr>
      <w:r>
        <w:rPr>
          <w:b/>
          <w:sz w:val="20"/>
        </w:rPr>
        <w:t>Exhibit 32(a)</w:t>
      </w:r>
    </w:p>
    <w:p>
      <w:pPr>
        <w:pStyle w:val="TextBody"/>
        <w:bidi w:val="0"/>
        <w:spacing w:lineRule="atLeast" w:line="240" w:before="0" w:after="0"/>
        <w:jc w:val="center"/>
        <w:rPr/>
      </w:pPr>
      <w:r>
        <w:rPr/>
        <w:t> </w:t>
      </w:r>
    </w:p>
    <w:p>
      <w:pPr>
        <w:pStyle w:val="TextBody"/>
        <w:bidi w:val="0"/>
        <w:spacing w:lineRule="atLeast" w:line="240" w:before="0" w:after="0"/>
        <w:jc w:val="center"/>
        <w:rPr>
          <w:b/>
          <w:sz w:val="20"/>
        </w:rPr>
      </w:pPr>
      <w:r>
        <w:rPr>
          <w:b/>
          <w:sz w:val="20"/>
        </w:rPr>
        <w:t>CERTIFICATION PURSUANT TO</w:t>
      </w:r>
    </w:p>
    <w:p>
      <w:pPr>
        <w:pStyle w:val="TextBody"/>
        <w:bidi w:val="0"/>
        <w:spacing w:lineRule="atLeast" w:line="240" w:before="0" w:after="0"/>
        <w:jc w:val="center"/>
        <w:rPr>
          <w:b/>
          <w:sz w:val="20"/>
        </w:rPr>
      </w:pPr>
      <w:r>
        <w:rPr>
          <w:b/>
          <w:sz w:val="20"/>
        </w:rPr>
        <w:t>18 U.S.C. SECTION 1350,</w:t>
      </w:r>
    </w:p>
    <w:p>
      <w:pPr>
        <w:pStyle w:val="TextBody"/>
        <w:bidi w:val="0"/>
        <w:spacing w:lineRule="atLeast" w:line="240" w:before="0" w:after="200"/>
        <w:jc w:val="center"/>
        <w:rPr/>
      </w:pPr>
      <w:r>
        <w:rPr>
          <w:b/>
          <w:sz w:val="20"/>
        </w:rPr>
        <w:t>AS ADOPTED PURSUANT TO</w:t>
      </w:r>
      <w:r>
        <w:rPr/>
        <w:br/>
      </w:r>
      <w:r>
        <w:rPr>
          <w:b/>
          <w:sz w:val="20"/>
        </w:rPr>
        <w:t>SECTION 906 OF THE SARBANES-OXLEY ACT OF 2002</w:t>
      </w:r>
    </w:p>
    <w:p>
      <w:pPr>
        <w:pStyle w:val="TextBody"/>
        <w:bidi w:val="0"/>
        <w:spacing w:lineRule="atLeast" w:line="240" w:before="0" w:after="150"/>
        <w:jc w:val="left"/>
        <w:rPr/>
      </w:pPr>
      <w:r>
        <w:rPr>
          <w:sz w:val="20"/>
        </w:rPr>
        <w:t>In connection with the Quarterly Report of Hovnanian Enterprises, Inc. (the “Company”) on Form 10</w:t>
      </w:r>
      <w:r>
        <w:rPr/>
        <w:noBreakHyphen/>
      </w:r>
      <w:r>
        <w:rPr>
          <w:sz w:val="20"/>
        </w:rPr>
        <w:t>Q for the period ended</w:t>
      </w:r>
      <w:r>
        <w:rPr/>
        <w:t> </w:t>
      </w:r>
      <w:r>
        <w:rPr>
          <w:sz w:val="20"/>
        </w:rPr>
        <w:t>July 31, 2026</w:t>
      </w:r>
      <w:r>
        <w:rPr/>
        <w:t xml:space="preserve"> </w:t>
      </w:r>
      <w:r>
        <w:rPr>
          <w:sz w:val="20"/>
        </w:rPr>
        <w:t>as filed with the Securities and Exchange Commission on the date hereof (the “Report”), I, Ara K. Hovnanian, Chairman and Chief Executive Officer of the Company, certify, pursuant to 18 U.S.C. Section 1350, as adopted pursuant to Section 906 of the Sarbanes-Oxley Act of 2002, that:</w:t>
      </w:r>
    </w:p>
    <w:p>
      <w:pPr>
        <w:pStyle w:val="TextBody"/>
        <w:bidi w:val="0"/>
        <w:spacing w:lineRule="atLeast" w:line="240" w:before="0" w:after="150"/>
        <w:jc w:val="left"/>
        <w:rPr/>
      </w:pPr>
      <w:r>
        <w:rPr>
          <w:sz w:val="20"/>
        </w:rPr>
        <w:t>1.</w:t>
      </w:r>
      <w:r>
        <w:rPr/>
        <w:t xml:space="preserve">   </w:t>
      </w:r>
      <w:r>
        <w:rPr>
          <w:sz w:val="20"/>
        </w:rPr>
        <w:t>The Report fully complies with the requirements of Section 13(a) or 15(d) of the Securities Exchange Act of 1934; and</w:t>
      </w:r>
    </w:p>
    <w:p>
      <w:pPr>
        <w:pStyle w:val="TextBody"/>
        <w:bidi w:val="0"/>
        <w:spacing w:lineRule="atLeast" w:line="240" w:before="0" w:after="150"/>
        <w:jc w:val="left"/>
        <w:rPr/>
      </w:pPr>
      <w:r>
        <w:rPr>
          <w:sz w:val="20"/>
        </w:rPr>
        <w:t>2.</w:t>
      </w:r>
      <w:r>
        <w:rPr/>
        <w:t xml:space="preserve">   </w:t>
      </w:r>
      <w:r>
        <w:rPr>
          <w:sz w:val="20"/>
        </w:rPr>
        <w:t>The information contained in the Report fairly presents, in all material respects, the financial condition and results of operations of the Company.</w:t>
      </w:r>
    </w:p>
    <w:tbl>
      <w:tblPr>
        <w:tblW w:w="3215" w:type="dxa"/>
        <w:jc w:val="left"/>
        <w:tblInd w:w="0" w:type="dxa"/>
        <w:tblLayout w:type="fixed"/>
        <w:tblCellMar>
          <w:top w:w="0" w:type="dxa"/>
          <w:left w:w="0" w:type="dxa"/>
          <w:bottom w:w="0" w:type="dxa"/>
          <w:right w:w="0" w:type="dxa"/>
        </w:tblCellMar>
      </w:tblPr>
      <w:tblGrid>
        <w:gridCol w:w="3140"/>
        <w:gridCol w:w="75"/>
      </w:tblGrid>
      <w:tr>
        <w:trPr/>
        <w:tc>
          <w:tcPr>
            <w:tcW w:w="3140" w:type="dxa"/>
            <w:tcBorders/>
            <w:vAlign w:val="center"/>
          </w:tcPr>
          <w:p>
            <w:pPr>
              <w:pStyle w:val="TableContents"/>
              <w:bidi w:val="0"/>
              <w:spacing w:before="0" w:after="0"/>
              <w:jc w:val="left"/>
              <w:rPr>
                <w:sz w:val="20"/>
              </w:rPr>
            </w:pPr>
            <w:r>
              <w:rPr>
                <w:sz w:val="20"/>
              </w:rPr>
              <w:t>Date: August 28, 2026</w:t>
            </w:r>
          </w:p>
        </w:tc>
        <w:tc>
          <w:tcPr>
            <w:tcW w:w="75" w:type="dxa"/>
            <w:tcBorders/>
            <w:vAlign w:val="center"/>
          </w:tcPr>
          <w:p>
            <w:pPr>
              <w:pStyle w:val="TableContents"/>
              <w:bidi w:val="0"/>
              <w:spacing w:before="0" w:after="0"/>
              <w:jc w:val="left"/>
              <w:rPr/>
            </w:pPr>
            <w:r>
              <w:rPr/>
              <w:t> </w:t>
            </w:r>
          </w:p>
        </w:tc>
      </w:tr>
      <w:tr>
        <w:trPr/>
        <w:tc>
          <w:tcPr>
            <w:tcW w:w="314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3140" w:type="dxa"/>
            <w:tcBorders/>
            <w:vAlign w:val="center"/>
          </w:tcPr>
          <w:p>
            <w:pPr>
              <w:pStyle w:val="TableContents"/>
              <w:bidi w:val="0"/>
              <w:spacing w:before="0" w:after="0"/>
              <w:jc w:val="left"/>
              <w:rPr>
                <w:sz w:val="20"/>
                <w:u w:val="single"/>
              </w:rPr>
            </w:pPr>
            <w:r>
              <w:rPr>
                <w:sz w:val="20"/>
                <w:u w:val="single"/>
              </w:rPr>
              <w:t>/s/ ARA K. HOVNANIAN</w:t>
            </w:r>
          </w:p>
        </w:tc>
        <w:tc>
          <w:tcPr>
            <w:tcW w:w="75" w:type="dxa"/>
            <w:tcBorders/>
            <w:vAlign w:val="center"/>
          </w:tcPr>
          <w:p>
            <w:pPr>
              <w:pStyle w:val="TableContents"/>
              <w:bidi w:val="0"/>
              <w:spacing w:before="0" w:after="0"/>
              <w:jc w:val="left"/>
              <w:rPr/>
            </w:pPr>
            <w:r>
              <w:rPr/>
              <w:t> </w:t>
            </w:r>
          </w:p>
        </w:tc>
      </w:tr>
      <w:tr>
        <w:trPr/>
        <w:tc>
          <w:tcPr>
            <w:tcW w:w="3140" w:type="dxa"/>
            <w:tcBorders/>
            <w:vAlign w:val="center"/>
          </w:tcPr>
          <w:p>
            <w:pPr>
              <w:pStyle w:val="TableContents"/>
              <w:bidi w:val="0"/>
              <w:spacing w:before="0" w:after="0"/>
              <w:jc w:val="left"/>
              <w:rPr>
                <w:sz w:val="20"/>
              </w:rPr>
            </w:pPr>
            <w:r>
              <w:rPr>
                <w:sz w:val="20"/>
              </w:rPr>
              <w:t>Ara K. Hovnanian</w:t>
            </w:r>
          </w:p>
        </w:tc>
        <w:tc>
          <w:tcPr>
            <w:tcW w:w="75" w:type="dxa"/>
            <w:tcBorders/>
            <w:vAlign w:val="center"/>
          </w:tcPr>
          <w:p>
            <w:pPr>
              <w:pStyle w:val="TableContents"/>
              <w:bidi w:val="0"/>
              <w:spacing w:before="0" w:after="0"/>
              <w:jc w:val="left"/>
              <w:rPr/>
            </w:pPr>
            <w:r>
              <w:rPr/>
              <w:t> </w:t>
            </w:r>
          </w:p>
        </w:tc>
      </w:tr>
      <w:tr>
        <w:trPr/>
        <w:tc>
          <w:tcPr>
            <w:tcW w:w="3140" w:type="dxa"/>
            <w:tcBorders/>
            <w:vAlign w:val="center"/>
          </w:tcPr>
          <w:p>
            <w:pPr>
              <w:pStyle w:val="TableContents"/>
              <w:bidi w:val="0"/>
              <w:spacing w:before="0" w:after="0"/>
              <w:jc w:val="left"/>
              <w:rPr>
                <w:sz w:val="20"/>
              </w:rPr>
            </w:pPr>
            <w:r>
              <w:rPr>
                <w:sz w:val="20"/>
              </w:rPr>
              <w:t>Chairman and Chief Executive Officer</w:t>
            </w:r>
          </w:p>
        </w:tc>
        <w:tc>
          <w:tcPr>
            <w:tcW w:w="75" w:type="dxa"/>
            <w:tcBorders/>
            <w:vAlign w:val="center"/>
          </w:tcPr>
          <w:p>
            <w:pPr>
              <w:pStyle w:val="TableContents"/>
              <w:bidi w:val="0"/>
              <w:spacing w:before="0" w:after="0"/>
              <w:jc w:val="left"/>
              <w:rPr/>
            </w:pPr>
            <w:r>
              <w:rPr/>
              <w:t> </w:t>
            </w:r>
          </w:p>
        </w:tc>
      </w:tr>
    </w:tbl>
    <w:p>
      <w:pPr>
        <w:pStyle w:val="TextBody"/>
        <w:bidi w:val="0"/>
        <w:spacing w:lineRule="atLeast" w:line="240" w:before="0" w:after="0"/>
        <w:jc w:val="left"/>
        <w:rPr/>
      </w:pPr>
      <w:r>
        <w:rPr/>
        <w:t> </w:t>
      </w:r>
      <w:r>
        <w:br w:type="page"/>
      </w:r>
    </w:p>
    <w:p>
      <w:pPr>
        <w:pStyle w:val="TextBody"/>
        <w:bidi w:val="0"/>
        <w:spacing w:before="0" w:after="0"/>
        <w:jc w:val="left"/>
        <w:rPr/>
      </w:pPr>
      <w:bookmarkStart w:id="41" w:name="ex32B_12.htm"/>
      <w:bookmarkStart w:id="42" w:name="ksex32B_12"/>
      <w:bookmarkEnd w:id="41"/>
      <w:bookmarkEnd w:id="42"/>
      <w:r>
        <w:rPr/>
        <w:t> </w:t>
      </w:r>
    </w:p>
    <w:p>
      <w:pPr>
        <w:pStyle w:val="TextBody"/>
        <w:bidi w:val="0"/>
        <w:spacing w:lineRule="atLeast" w:line="240" w:before="0" w:after="0"/>
        <w:jc w:val="center"/>
        <w:rPr>
          <w:b/>
          <w:sz w:val="20"/>
        </w:rPr>
      </w:pPr>
      <w:r>
        <w:rPr>
          <w:b/>
          <w:sz w:val="20"/>
        </w:rPr>
        <w:t>Exhibit 32(b)</w:t>
      </w:r>
    </w:p>
    <w:p>
      <w:pPr>
        <w:pStyle w:val="TextBody"/>
        <w:bidi w:val="0"/>
        <w:spacing w:lineRule="atLeast" w:line="240" w:before="0" w:after="0"/>
        <w:jc w:val="center"/>
        <w:rPr/>
      </w:pPr>
      <w:r>
        <w:rPr/>
        <w:t> </w:t>
      </w:r>
    </w:p>
    <w:p>
      <w:pPr>
        <w:pStyle w:val="TextBody"/>
        <w:bidi w:val="0"/>
        <w:spacing w:lineRule="atLeast" w:line="240" w:before="0" w:after="0"/>
        <w:jc w:val="center"/>
        <w:rPr>
          <w:b/>
          <w:sz w:val="20"/>
        </w:rPr>
      </w:pPr>
      <w:r>
        <w:rPr>
          <w:b/>
          <w:sz w:val="20"/>
        </w:rPr>
        <w:t>CERTIFICATION PURSUANT TO</w:t>
      </w:r>
    </w:p>
    <w:p>
      <w:pPr>
        <w:pStyle w:val="TextBody"/>
        <w:bidi w:val="0"/>
        <w:spacing w:lineRule="atLeast" w:line="240" w:before="0" w:after="0"/>
        <w:jc w:val="center"/>
        <w:rPr>
          <w:b/>
          <w:sz w:val="20"/>
        </w:rPr>
      </w:pPr>
      <w:r>
        <w:rPr>
          <w:b/>
          <w:sz w:val="20"/>
        </w:rPr>
        <w:t>18 U.S.C. SECTION 1350,</w:t>
      </w:r>
    </w:p>
    <w:p>
      <w:pPr>
        <w:pStyle w:val="TextBody"/>
        <w:bidi w:val="0"/>
        <w:spacing w:lineRule="atLeast" w:line="240" w:before="0" w:after="200"/>
        <w:jc w:val="center"/>
        <w:rPr/>
      </w:pPr>
      <w:r>
        <w:rPr>
          <w:b/>
          <w:sz w:val="20"/>
        </w:rPr>
        <w:t>AS ADOPTED PURSUANT TO</w:t>
      </w:r>
      <w:r>
        <w:rPr/>
        <w:br/>
      </w:r>
      <w:r>
        <w:rPr>
          <w:b/>
          <w:sz w:val="20"/>
        </w:rPr>
        <w:t>SECTION 906 OF THE SARBANES-OXLEY ACT OF 2002</w:t>
      </w:r>
    </w:p>
    <w:p>
      <w:pPr>
        <w:pStyle w:val="TextBody"/>
        <w:bidi w:val="0"/>
        <w:spacing w:lineRule="atLeast" w:line="240" w:before="0" w:after="150"/>
        <w:jc w:val="left"/>
        <w:rPr/>
      </w:pPr>
      <w:r>
        <w:rPr>
          <w:sz w:val="20"/>
        </w:rPr>
        <w:t>In connection with the Quarterly Report of Hovnanian Enterprises, Inc. (the “Company”) on Form 10</w:t>
      </w:r>
      <w:r>
        <w:rPr/>
        <w:noBreakHyphen/>
      </w:r>
      <w:r>
        <w:rPr>
          <w:sz w:val="20"/>
        </w:rPr>
        <w:t>Q for the period ended July 31, 2026</w:t>
      </w:r>
      <w:r>
        <w:rPr/>
        <w:t xml:space="preserve"> </w:t>
      </w:r>
      <w:r>
        <w:rPr>
          <w:sz w:val="20"/>
        </w:rPr>
        <w:t>as filed with the Securities and Exchange Commission on the date hereof (the “Report”), I, Brad O’Connor, Chief Financial Officer of the Company, certify, pursuant to 18 U.S.C. Section 1350, as adopted pursuant to Section 906 of the Sarbanes-Oxley Act of 2002, that:</w:t>
      </w:r>
    </w:p>
    <w:p>
      <w:pPr>
        <w:pStyle w:val="TextBody"/>
        <w:bidi w:val="0"/>
        <w:spacing w:lineRule="atLeast" w:line="240" w:before="0" w:after="150"/>
        <w:jc w:val="left"/>
        <w:rPr/>
      </w:pPr>
      <w:r>
        <w:rPr>
          <w:sz w:val="20"/>
        </w:rPr>
        <w:t>1.</w:t>
      </w:r>
      <w:r>
        <w:rPr/>
        <w:t xml:space="preserve">   </w:t>
      </w:r>
      <w:r>
        <w:rPr>
          <w:sz w:val="20"/>
        </w:rPr>
        <w:t>The Report fully complies with the requirements of Section 13(a) or 15(d) of the Securities Exchange Act of 1934; and</w:t>
      </w:r>
    </w:p>
    <w:p>
      <w:pPr>
        <w:pStyle w:val="TextBody"/>
        <w:bidi w:val="0"/>
        <w:spacing w:lineRule="atLeast" w:line="240" w:before="0" w:after="0"/>
        <w:jc w:val="left"/>
        <w:rPr/>
      </w:pPr>
      <w:r>
        <w:rPr>
          <w:sz w:val="20"/>
        </w:rPr>
        <w:t>2.</w:t>
      </w:r>
      <w:r>
        <w:rPr/>
        <w:t xml:space="preserve">   </w:t>
      </w:r>
      <w:r>
        <w:rPr>
          <w:sz w:val="20"/>
        </w:rPr>
        <w:t>The information contained in the Report fairly presents, in all material respects, the financial condition and results of operations of the Company.</w:t>
      </w:r>
    </w:p>
    <w:p>
      <w:pPr>
        <w:pStyle w:val="TextBody"/>
        <w:bidi w:val="0"/>
        <w:spacing w:lineRule="atLeast" w:line="240" w:before="0" w:after="0"/>
        <w:jc w:val="left"/>
        <w:rPr/>
      </w:pPr>
      <w:r>
        <w:rPr/>
        <w:t> </w:t>
      </w:r>
    </w:p>
    <w:tbl>
      <w:tblPr>
        <w:tblW w:w="1970" w:type="dxa"/>
        <w:jc w:val="left"/>
        <w:tblInd w:w="0" w:type="dxa"/>
        <w:tblLayout w:type="fixed"/>
        <w:tblCellMar>
          <w:top w:w="0" w:type="dxa"/>
          <w:left w:w="0" w:type="dxa"/>
          <w:bottom w:w="0" w:type="dxa"/>
          <w:right w:w="0" w:type="dxa"/>
        </w:tblCellMar>
      </w:tblPr>
      <w:tblGrid>
        <w:gridCol w:w="1895"/>
        <w:gridCol w:w="75"/>
      </w:tblGrid>
      <w:tr>
        <w:trPr/>
        <w:tc>
          <w:tcPr>
            <w:tcW w:w="1895" w:type="dxa"/>
            <w:tcBorders/>
            <w:vAlign w:val="center"/>
          </w:tcPr>
          <w:p>
            <w:pPr>
              <w:pStyle w:val="TableContents"/>
              <w:bidi w:val="0"/>
              <w:spacing w:before="0" w:after="0"/>
              <w:jc w:val="left"/>
              <w:rPr>
                <w:sz w:val="20"/>
              </w:rPr>
            </w:pPr>
            <w:r>
              <w:rPr>
                <w:sz w:val="20"/>
              </w:rPr>
              <w:t>Date: August 28, 2026</w:t>
            </w:r>
          </w:p>
        </w:tc>
        <w:tc>
          <w:tcPr>
            <w:tcW w:w="75" w:type="dxa"/>
            <w:tcBorders/>
            <w:vAlign w:val="center"/>
          </w:tcPr>
          <w:p>
            <w:pPr>
              <w:pStyle w:val="TableContents"/>
              <w:bidi w:val="0"/>
              <w:spacing w:before="0" w:after="0"/>
              <w:jc w:val="left"/>
              <w:rPr/>
            </w:pPr>
            <w:r>
              <w:rPr/>
              <w:t> </w:t>
            </w:r>
          </w:p>
        </w:tc>
      </w:tr>
      <w:tr>
        <w:trPr/>
        <w:tc>
          <w:tcPr>
            <w:tcW w:w="1895"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895" w:type="dxa"/>
            <w:tcBorders/>
            <w:vAlign w:val="center"/>
          </w:tcPr>
          <w:p>
            <w:pPr>
              <w:pStyle w:val="TableContents"/>
              <w:bidi w:val="0"/>
              <w:spacing w:before="0" w:after="0"/>
              <w:jc w:val="left"/>
              <w:rPr>
                <w:sz w:val="20"/>
                <w:u w:val="single"/>
              </w:rPr>
            </w:pPr>
            <w:r>
              <w:rPr>
                <w:sz w:val="20"/>
                <w:u w:val="single"/>
              </w:rPr>
              <w:t>/s/ BRAD O’CONNOR</w:t>
            </w:r>
          </w:p>
        </w:tc>
        <w:tc>
          <w:tcPr>
            <w:tcW w:w="75" w:type="dxa"/>
            <w:tcBorders/>
            <w:vAlign w:val="center"/>
          </w:tcPr>
          <w:p>
            <w:pPr>
              <w:pStyle w:val="TableContents"/>
              <w:bidi w:val="0"/>
              <w:spacing w:before="0" w:after="0"/>
              <w:jc w:val="left"/>
              <w:rPr/>
            </w:pPr>
            <w:r>
              <w:rPr/>
              <w:t> </w:t>
            </w:r>
          </w:p>
        </w:tc>
      </w:tr>
      <w:tr>
        <w:trPr/>
        <w:tc>
          <w:tcPr>
            <w:tcW w:w="1895" w:type="dxa"/>
            <w:tcBorders/>
            <w:vAlign w:val="center"/>
          </w:tcPr>
          <w:p>
            <w:pPr>
              <w:pStyle w:val="TableContents"/>
              <w:bidi w:val="0"/>
              <w:spacing w:before="0" w:after="0"/>
              <w:jc w:val="left"/>
              <w:rPr>
                <w:sz w:val="20"/>
              </w:rPr>
            </w:pPr>
            <w:r>
              <w:rPr>
                <w:sz w:val="20"/>
              </w:rPr>
              <w:t>Brad O’Connor</w:t>
            </w:r>
          </w:p>
        </w:tc>
        <w:tc>
          <w:tcPr>
            <w:tcW w:w="75" w:type="dxa"/>
            <w:tcBorders/>
            <w:vAlign w:val="center"/>
          </w:tcPr>
          <w:p>
            <w:pPr>
              <w:pStyle w:val="TableContents"/>
              <w:bidi w:val="0"/>
              <w:spacing w:before="0" w:after="0"/>
              <w:jc w:val="left"/>
              <w:rPr/>
            </w:pPr>
            <w:r>
              <w:rPr/>
              <w:t> </w:t>
            </w:r>
          </w:p>
        </w:tc>
      </w:tr>
      <w:tr>
        <w:trPr/>
        <w:tc>
          <w:tcPr>
            <w:tcW w:w="1895" w:type="dxa"/>
            <w:tcBorders/>
            <w:vAlign w:val="center"/>
          </w:tcPr>
          <w:p>
            <w:pPr>
              <w:pStyle w:val="TableContents"/>
              <w:bidi w:val="0"/>
              <w:spacing w:before="0" w:after="0"/>
              <w:jc w:val="left"/>
              <w:rPr>
                <w:sz w:val="20"/>
              </w:rPr>
            </w:pPr>
            <w:r>
              <w:rPr>
                <w:sz w:val="20"/>
              </w:rPr>
              <w:t>Chief Financial Officer</w:t>
            </w:r>
          </w:p>
        </w:tc>
        <w:tc>
          <w:tcPr>
            <w:tcW w:w="75" w:type="dxa"/>
            <w:tcBorders/>
            <w:vAlign w:val="center"/>
          </w:tcPr>
          <w:p>
            <w:pPr>
              <w:pStyle w:val="TableContents"/>
              <w:bidi w:val="0"/>
              <w:spacing w:before="0" w:after="0"/>
              <w:jc w:val="left"/>
              <w:rPr/>
            </w:pPr>
            <w:r>
              <w:rPr/>
              <w:t> </w:t>
            </w:r>
          </w:p>
        </w:tc>
      </w:tr>
    </w:tbl>
    <w:p>
      <w:pPr>
        <w:pStyle w:val="TextBody"/>
        <w:bidi w:val="0"/>
        <w:spacing w:lineRule="atLeast" w:line="240"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Liberation Serif">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357294/000143774919005975/ex_139015.htm" TargetMode="External"/><Relationship Id="rId3" Type="http://schemas.openxmlformats.org/officeDocument/2006/relationships/hyperlink" Target="http://www.sec.gov/Archives/edgar/data/357294/000143774919005975/ex_139015.htm" TargetMode="External"/><Relationship Id="rId4" Type="http://schemas.openxmlformats.org/officeDocument/2006/relationships/hyperlink" Target="http://www.sec.gov/Archives/edgar/data/357294/000143774919005975/ex_139015.htm" TargetMode="External"/><Relationship Id="rId5" Type="http://schemas.openxmlformats.org/officeDocument/2006/relationships/hyperlink" Target="http://www.sec.gov/Archives/edgar/data/357294/000143774923008254/ex_493796.htm" TargetMode="External"/><Relationship Id="rId6" Type="http://schemas.openxmlformats.org/officeDocument/2006/relationships/hyperlink" Target="http://www.sec.gov/Archives/edgar/data/357294/000143774919005975/ex_139016.htm" TargetMode="External"/><Relationship Id="rId7" Type="http://schemas.openxmlformats.org/officeDocument/2006/relationships/hyperlink" Target="http://www.sec.gov/Archives/edgar/data/357294/000143774919005975/ex_139016.htm" TargetMode="External"/><Relationship Id="rId8" Type="http://schemas.openxmlformats.org/officeDocument/2006/relationships/hyperlink" Target="http://www.sec.gov/Archives/edgar/data/357294/000143774919005975/ex_139016.htm" TargetMode="External"/><Relationship Id="rId9" Type="http://schemas.openxmlformats.org/officeDocument/2006/relationships/hyperlink" Target="http://www.sec.gov/Archives/edgar/data/357294/000143774919005975/ex_139017.htm" TargetMode="External"/><Relationship Id="rId10" Type="http://schemas.openxmlformats.org/officeDocument/2006/relationships/hyperlink" Target="http://www.sec.gov/Archives/edgar/data/357294/000143774919005975/ex_139017.htm" TargetMode="External"/><Relationship Id="rId11" Type="http://schemas.openxmlformats.org/officeDocument/2006/relationships/hyperlink" Target="http://www.sec.gov/Archives/edgar/data/357294/000143774919005975/ex_139017.htm" TargetMode="External"/><Relationship Id="rId12" Type="http://schemas.openxmlformats.org/officeDocument/2006/relationships/hyperlink" Target="http://www.sec.gov/Archives/edgar/data/357294/000110465905032309/a05-11774_2ex4d1.htm" TargetMode="External"/><Relationship Id="rId13" Type="http://schemas.openxmlformats.org/officeDocument/2006/relationships/hyperlink" Target="http://www.sec.gov/Archives/edgar/data/357294/000110465905032309/a05-11774_2ex4d1.htm" TargetMode="External"/><Relationship Id="rId14" Type="http://schemas.openxmlformats.org/officeDocument/2006/relationships/hyperlink" Target="http://www.sec.gov/Archives/edgar/data/357294/000110465905032309/a05-11774_2ex4d1.htm" TargetMode="External"/><Relationship Id="rId15" Type="http://schemas.openxmlformats.org/officeDocument/2006/relationships/hyperlink" Target="http://www.sec.gov/Archives/edgar/data/357294/000110465905032309/a05-11774_2ex4d1.htm" TargetMode="External"/><Relationship Id="rId16" Type="http://schemas.openxmlformats.org/officeDocument/2006/relationships/hyperlink" Target="http://www.sec.gov/Archives/edgar/data/357294/000110465905032309/a05-11774_2ex4d1.htm" TargetMode="External"/><Relationship Id="rId17" Type="http://schemas.openxmlformats.org/officeDocument/2006/relationships/hyperlink" Target="http://www.sec.gov/Archives/edgar/data/357294/000035729408000034/ex4bcertseriesb.htm" TargetMode="External"/><Relationship Id="rId18" Type="http://schemas.openxmlformats.org/officeDocument/2006/relationships/hyperlink" Target="http://www.sec.gov/Archives/edgar/data/357294/000035729408000034/ex4bcertseriesb.htm" TargetMode="External"/><Relationship Id="rId19" Type="http://schemas.openxmlformats.org/officeDocument/2006/relationships/hyperlink" Target="http://www.sec.gov/Archives/edgar/data/357294/000035729408000034/ex4bcertseriesb.htm" TargetMode="External"/><Relationship Id="rId20" Type="http://schemas.openxmlformats.org/officeDocument/2006/relationships/hyperlink" Target="http://www.sec.gov/Archives/edgar/data/357294/000035729408000034/ex4bcertseriesb.htm" TargetMode="External"/><Relationship Id="rId21" Type="http://schemas.openxmlformats.org/officeDocument/2006/relationships/hyperlink" Target="http://www.sec.gov/Archives/edgar/data/357294/000035729408000034/ex4bcertseriesb.htm" TargetMode="External"/><Relationship Id="rId22" Type="http://schemas.openxmlformats.org/officeDocument/2006/relationships/hyperlink" Target="http://www.sec.gov/Archives/edgar/data/357294/000035729408000034/ex4bcertseriesb.htm" TargetMode="External"/><Relationship Id="rId23" Type="http://schemas.openxmlformats.org/officeDocument/2006/relationships/hyperlink" Target="http://www.sec.gov/Archives/edgar/data/357294/000035729408000034/ex4bcertseriesb.htm" TargetMode="External"/><Relationship Id="rId24" Type="http://schemas.openxmlformats.org/officeDocument/2006/relationships/hyperlink" Target="http://www.sec.gov/Archives/edgar/data/357294/000035729408000032/rightsagreementexhibit.htm" TargetMode="External"/><Relationship Id="rId25" Type="http://schemas.openxmlformats.org/officeDocument/2006/relationships/hyperlink" Target="http://www.sec.gov/Archives/edgar/data/357294/000035729408000032/rightsagreementexhibit.htm" TargetMode="External"/><Relationship Id="rId26" Type="http://schemas.openxmlformats.org/officeDocument/2006/relationships/hyperlink" Target="http://www.sec.gov/Archives/edgar/data/357294/000035729408000032/rightsagreementexhibit.htm" TargetMode="External"/><Relationship Id="rId27" Type="http://schemas.openxmlformats.org/officeDocument/2006/relationships/hyperlink" Target="http://www.sec.gov/Archives/edgar/data/357294/000035729408000032/rightsagreementexhibit.htm" TargetMode="External"/><Relationship Id="rId28" Type="http://schemas.openxmlformats.org/officeDocument/2006/relationships/hyperlink" Target="http://www.sec.gov/Archives/edgar/data/357294/000035729408000032/rightsagreementexhibit.htm" TargetMode="External"/><Relationship Id="rId29" Type="http://schemas.openxmlformats.org/officeDocument/2006/relationships/hyperlink" Target="http://www.sec.gov/Archives/edgar/data/357294/000035729408000032/rightsagreementexhibit.htm" TargetMode="External"/><Relationship Id="rId30" Type="http://schemas.openxmlformats.org/officeDocument/2006/relationships/hyperlink" Target="http://www.sec.gov/Archives/edgar/data/357294/000035729408000032/rightsagreementexhibit.htm" TargetMode="External"/><Relationship Id="rId31" Type="http://schemas.openxmlformats.org/officeDocument/2006/relationships/hyperlink" Target="http://www.sec.gov/Archives/edgar/data/357294/000035729408000032/rightsagreementexhibit.htm" TargetMode="External"/><Relationship Id="rId32" Type="http://schemas.openxmlformats.org/officeDocument/2006/relationships/hyperlink" Target="http://www.sec.gov/Archives/edgar/data/357294/000035729408000032/rightsagreementexhibit.htm" TargetMode="External"/><Relationship Id="rId33" Type="http://schemas.openxmlformats.org/officeDocument/2006/relationships/hyperlink" Target="http://www.sec.gov/Archives/edgar/data/357294/000035729408000032/rightsagreementexhibit.htm" TargetMode="External"/><Relationship Id="rId34" Type="http://schemas.openxmlformats.org/officeDocument/2006/relationships/hyperlink" Target="http://www.sec.gov/Archives/edgar/data/357294/000035729408000032/rightsagreementexhibit.htm" TargetMode="External"/><Relationship Id="rId35" Type="http://schemas.openxmlformats.org/officeDocument/2006/relationships/hyperlink" Target="http://www.sec.gov/Archives/edgar/data/357294/000143774918000530/ex_102887.htm" TargetMode="External"/><Relationship Id="rId36" Type="http://schemas.openxmlformats.org/officeDocument/2006/relationships/hyperlink" Target="http://www.sec.gov/Archives/edgar/data/357294/000143774921000881/ex_220860.htm" TargetMode="External"/><Relationship Id="rId37" Type="http://schemas.openxmlformats.org/officeDocument/2006/relationships/hyperlink" Target="http://www.sec.gov/Archives/edgar/data/357294/000143774924001208/ex_614017.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50451</Words>
  <Characters>267107</Characters>
  <CharactersWithSpaces>321507</CharactersWithSpaces>
  <Paragraphs>9549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