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40" w:before="0" w:after="0"/>
        <w:jc w:val="center"/>
        <w:rPr/>
      </w:pPr>
      <w:bookmarkStart w:id="0" w:name="EXH_6a84ab6d48330718d592b3ba"/>
      <w:bookmarkStart w:id="1" w:name="hov-20260820.htm"/>
      <w:bookmarkStart w:id="2" w:name="kshov20260820"/>
      <w:bookmarkEnd w:id="0"/>
      <w:bookmarkEnd w:id="1"/>
      <w:bookmarkEnd w:id="2"/>
      <w:r>
        <w:rPr>
          <w:b/>
          <w:sz w:val="20"/>
        </w:rPr>
        <w:t>UNITED STATES</w:t>
      </w:r>
      <w:r>
        <w:rPr/>
        <w:br/>
      </w:r>
      <w:r>
        <w:rPr>
          <w:b/>
          <w:sz w:val="20"/>
        </w:rPr>
        <w:t>SECURITIES AND EXCHANGE COMMISSION</w:t>
      </w:r>
      <w:r>
        <w:rPr/>
        <w:br/>
      </w:r>
      <w:r>
        <w:rPr>
          <w:b/>
          <w:sz w:val="20"/>
        </w:rPr>
        <w:t>WASHINGTON, D.C. 20549</w:t>
      </w:r>
    </w:p>
    <w:p>
      <w:pPr>
        <w:pStyle w:val="TextBody"/>
        <w:bidi w:val="0"/>
        <w:spacing w:lineRule="atLeast" w:line="240" w:before="0" w:after="0"/>
        <w:jc w:val="left"/>
        <w:rPr/>
      </w:pPr>
      <w:r>
        <w:rPr/>
        <w:t> </w:t>
      </w:r>
    </w:p>
    <w:p>
      <w:pPr>
        <w:pStyle w:val="TextBody"/>
        <w:bidi w:val="0"/>
        <w:spacing w:lineRule="atLeast" w:line="240" w:before="0" w:after="0"/>
        <w:jc w:val="center"/>
        <w:rPr/>
      </w:pPr>
      <w:r>
        <w:rPr>
          <w:b/>
          <w:sz w:val="20"/>
        </w:rPr>
        <w:t xml:space="preserve">FORM </w:t>
      </w:r>
      <w:r>
        <w:rPr>
          <w:rFonts w:ascii="Times New Roman" w:hAnsi="Times New Roman"/>
          <w:b/>
          <w:sz w:val="20"/>
        </w:rPr>
        <w:t>8-K</w:t>
      </w:r>
    </w:p>
    <w:p>
      <w:pPr>
        <w:pStyle w:val="TextBody"/>
        <w:bidi w:val="0"/>
        <w:spacing w:lineRule="atLeast" w:line="240" w:before="0" w:after="0"/>
        <w:jc w:val="center"/>
        <w:rPr/>
      </w:pPr>
      <w:r>
        <w:rPr>
          <w:b/>
          <w:sz w:val="20"/>
        </w:rPr>
        <w:t>CURRENT REPORT</w:t>
      </w:r>
      <w:r>
        <w:rPr/>
        <w:t> </w:t>
      </w:r>
    </w:p>
    <w:p>
      <w:pPr>
        <w:pStyle w:val="TextBody"/>
        <w:bidi w:val="0"/>
        <w:spacing w:lineRule="atLeast" w:line="240" w:before="0" w:after="0"/>
        <w:jc w:val="left"/>
        <w:rPr/>
      </w:pPr>
      <w:r>
        <w:rPr/>
        <w:t> </w:t>
      </w:r>
    </w:p>
    <w:p>
      <w:pPr>
        <w:pStyle w:val="TextBody"/>
        <w:bidi w:val="0"/>
        <w:spacing w:lineRule="atLeast" w:line="240" w:before="0" w:after="0"/>
        <w:jc w:val="center"/>
        <w:rPr>
          <w:b/>
          <w:sz w:val="20"/>
        </w:rPr>
      </w:pPr>
      <w:r>
        <w:rPr>
          <w:b/>
          <w:sz w:val="20"/>
        </w:rPr>
        <w:t>PURSUANT TO SECTION 13 OR 15(d) OF THE</w:t>
      </w:r>
    </w:p>
    <w:p>
      <w:pPr>
        <w:pStyle w:val="TextBody"/>
        <w:bidi w:val="0"/>
        <w:spacing w:lineRule="atLeast" w:line="240" w:before="0" w:after="0"/>
        <w:jc w:val="center"/>
        <w:rPr>
          <w:b/>
          <w:sz w:val="20"/>
        </w:rPr>
      </w:pPr>
      <w:r>
        <w:rPr>
          <w:b/>
          <w:sz w:val="20"/>
        </w:rPr>
        <w:t>SECURITIES EXCHANGE ACT OF 1934</w:t>
      </w:r>
    </w:p>
    <w:p>
      <w:pPr>
        <w:pStyle w:val="TextBody"/>
        <w:bidi w:val="0"/>
        <w:spacing w:lineRule="atLeast" w:line="240" w:before="0" w:after="0"/>
        <w:jc w:val="left"/>
        <w:rPr/>
      </w:pPr>
      <w:r>
        <w:rPr/>
        <w:t> </w:t>
      </w:r>
    </w:p>
    <w:p>
      <w:pPr>
        <w:pStyle w:val="TextBody"/>
        <w:bidi w:val="0"/>
        <w:spacing w:lineRule="atLeast" w:line="240" w:before="0" w:after="0"/>
        <w:jc w:val="center"/>
        <w:rPr/>
      </w:pPr>
      <w:r>
        <w:rPr>
          <w:sz w:val="20"/>
        </w:rPr>
        <w:t xml:space="preserve">Date of Report (Date of earliest event reported): </w:t>
      </w:r>
      <w:r>
        <w:rPr>
          <w:rFonts w:ascii="Times New Roman" w:hAnsi="Times New Roman"/>
          <w:sz w:val="20"/>
        </w:rPr>
        <w:t>August 20, 2026</w:t>
      </w:r>
    </w:p>
    <w:p>
      <w:pPr>
        <w:pStyle w:val="TextBody"/>
        <w:bidi w:val="0"/>
        <w:spacing w:lineRule="atLeast" w:line="240" w:before="0" w:after="0"/>
        <w:jc w:val="left"/>
        <w:rPr/>
      </w:pPr>
      <w:r>
        <w:rPr/>
        <w:t> </w:t>
      </w:r>
    </w:p>
    <w:p>
      <w:pPr>
        <w:pStyle w:val="TextBody"/>
        <w:bidi w:val="0"/>
        <w:spacing w:lineRule="atLeast" w:line="240" w:before="0" w:after="0"/>
        <w:jc w:val="center"/>
        <w:rPr>
          <w:rFonts w:ascii="Times New Roman" w:hAnsi="Times New Roman"/>
          <w:b/>
          <w:sz w:val="20"/>
        </w:rPr>
      </w:pPr>
      <w:r>
        <w:rPr>
          <w:rFonts w:ascii="Times New Roman" w:hAnsi="Times New Roman"/>
          <w:b/>
          <w:sz w:val="20"/>
        </w:rPr>
        <w:t>HOVNANIAN ENTERPRISES, INC.</w:t>
      </w:r>
    </w:p>
    <w:p>
      <w:pPr>
        <w:pStyle w:val="TextBody"/>
        <w:bidi w:val="0"/>
        <w:spacing w:lineRule="atLeast" w:line="240" w:before="0" w:after="0"/>
        <w:jc w:val="center"/>
        <w:rPr>
          <w:sz w:val="20"/>
        </w:rPr>
      </w:pPr>
      <w:r>
        <w:rPr>
          <w:sz w:val="20"/>
        </w:rPr>
        <w:t>(Exact Name of Registrant as Specified in its Charter)</w:t>
      </w:r>
    </w:p>
    <w:p>
      <w:pPr>
        <w:pStyle w:val="TextBody"/>
        <w:bidi w:val="0"/>
        <w:spacing w:lineRule="atLeast" w:line="240"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1415"/>
        <w:gridCol w:w="2210"/>
        <w:gridCol w:w="1535"/>
      </w:tblGrid>
      <w:tr>
        <w:trPr/>
        <w:tc>
          <w:tcPr>
            <w:tcW w:w="1415" w:type="dxa"/>
            <w:tcBorders/>
            <w:vAlign w:val="center"/>
          </w:tcPr>
          <w:p>
            <w:pPr>
              <w:pStyle w:val="TableContents"/>
              <w:keepNext w:val="true"/>
              <w:bidi w:val="0"/>
              <w:spacing w:before="0" w:after="0"/>
              <w:jc w:val="center"/>
              <w:rPr>
                <w:rFonts w:ascii="Times New Roman" w:hAnsi="Times New Roman"/>
                <w:b/>
                <w:sz w:val="20"/>
              </w:rPr>
            </w:pPr>
            <w:r>
              <w:rPr>
                <w:rFonts w:ascii="Times New Roman" w:hAnsi="Times New Roman"/>
                <w:b/>
                <w:sz w:val="20"/>
              </w:rPr>
              <w:t>Delaware</w:t>
            </w:r>
          </w:p>
          <w:p>
            <w:pPr>
              <w:pStyle w:val="TableContents"/>
              <w:keepNext w:val="true"/>
              <w:bidi w:val="0"/>
              <w:spacing w:before="0" w:after="0"/>
              <w:jc w:val="center"/>
              <w:rPr>
                <w:sz w:val="20"/>
              </w:rPr>
            </w:pPr>
            <w:r>
              <w:rPr>
                <w:sz w:val="20"/>
              </w:rPr>
              <w:t>(State or Other</w:t>
            </w:r>
          </w:p>
          <w:p>
            <w:pPr>
              <w:pStyle w:val="TableContents"/>
              <w:keepNext w:val="true"/>
              <w:bidi w:val="0"/>
              <w:spacing w:before="0" w:after="0"/>
              <w:jc w:val="center"/>
              <w:rPr>
                <w:sz w:val="20"/>
              </w:rPr>
            </w:pPr>
            <w:r>
              <w:rPr>
                <w:sz w:val="20"/>
              </w:rPr>
              <w:t>Jurisdiction</w:t>
            </w:r>
          </w:p>
          <w:p>
            <w:pPr>
              <w:pStyle w:val="TableContents"/>
              <w:bidi w:val="0"/>
              <w:spacing w:before="0" w:after="0"/>
              <w:jc w:val="center"/>
              <w:rPr>
                <w:sz w:val="20"/>
              </w:rPr>
            </w:pPr>
            <w:r>
              <w:rPr>
                <w:sz w:val="20"/>
              </w:rPr>
              <w:t>of Incorporation)</w:t>
            </w:r>
          </w:p>
        </w:tc>
        <w:tc>
          <w:tcPr>
            <w:tcW w:w="2210" w:type="dxa"/>
            <w:tcBorders/>
            <w:vAlign w:val="center"/>
          </w:tcPr>
          <w:p>
            <w:pPr>
              <w:pStyle w:val="TableContents"/>
              <w:keepNext w:val="true"/>
              <w:bidi w:val="0"/>
              <w:spacing w:before="0" w:after="0"/>
              <w:jc w:val="center"/>
              <w:rPr>
                <w:rFonts w:ascii="Times New Roman" w:hAnsi="Times New Roman"/>
                <w:b/>
                <w:sz w:val="20"/>
              </w:rPr>
            </w:pPr>
            <w:r>
              <w:rPr>
                <w:rFonts w:ascii="Times New Roman" w:hAnsi="Times New Roman"/>
                <w:b/>
                <w:sz w:val="20"/>
              </w:rPr>
              <w:t>1-8551</w:t>
            </w:r>
          </w:p>
          <w:p>
            <w:pPr>
              <w:pStyle w:val="TableContents"/>
              <w:bidi w:val="0"/>
              <w:spacing w:before="0" w:after="0"/>
              <w:jc w:val="center"/>
              <w:rPr>
                <w:sz w:val="20"/>
              </w:rPr>
            </w:pPr>
            <w:r>
              <w:rPr>
                <w:sz w:val="20"/>
              </w:rPr>
              <w:t>(Commission File Number)</w:t>
            </w:r>
          </w:p>
        </w:tc>
        <w:tc>
          <w:tcPr>
            <w:tcW w:w="1535" w:type="dxa"/>
            <w:tcBorders/>
            <w:vAlign w:val="center"/>
          </w:tcPr>
          <w:p>
            <w:pPr>
              <w:pStyle w:val="TableContents"/>
              <w:keepNext w:val="true"/>
              <w:bidi w:val="0"/>
              <w:spacing w:before="0" w:after="0"/>
              <w:jc w:val="center"/>
              <w:rPr>
                <w:rFonts w:ascii="Times New Roman" w:hAnsi="Times New Roman"/>
                <w:b/>
                <w:sz w:val="20"/>
              </w:rPr>
            </w:pPr>
            <w:r>
              <w:rPr>
                <w:rFonts w:ascii="Times New Roman" w:hAnsi="Times New Roman"/>
                <w:b/>
                <w:sz w:val="20"/>
              </w:rPr>
              <w:t>22-1851059</w:t>
            </w:r>
          </w:p>
          <w:p>
            <w:pPr>
              <w:pStyle w:val="TableContents"/>
              <w:keepNext w:val="true"/>
              <w:bidi w:val="0"/>
              <w:spacing w:before="0" w:after="0"/>
              <w:jc w:val="center"/>
              <w:rPr>
                <w:sz w:val="20"/>
              </w:rPr>
            </w:pPr>
            <w:r>
              <w:rPr>
                <w:sz w:val="20"/>
              </w:rPr>
              <w:t>(IRS Employer</w:t>
            </w:r>
          </w:p>
          <w:p>
            <w:pPr>
              <w:pStyle w:val="TableContents"/>
              <w:bidi w:val="0"/>
              <w:spacing w:before="0" w:after="0"/>
              <w:jc w:val="center"/>
              <w:rPr>
                <w:sz w:val="20"/>
              </w:rPr>
            </w:pPr>
            <w:r>
              <w:rPr>
                <w:sz w:val="20"/>
              </w:rPr>
              <w:t>Identification No.)</w:t>
            </w:r>
          </w:p>
        </w:tc>
      </w:tr>
    </w:tbl>
    <w:p>
      <w:pPr>
        <w:pStyle w:val="TextBody"/>
        <w:bidi w:val="0"/>
        <w:spacing w:lineRule="atLeast" w:line="240" w:before="0" w:after="0"/>
        <w:jc w:val="left"/>
        <w:rPr/>
      </w:pPr>
      <w:r>
        <w:rPr/>
        <w:t> </w:t>
      </w:r>
    </w:p>
    <w:p>
      <w:pPr>
        <w:pStyle w:val="TextBody"/>
        <w:bidi w:val="0"/>
        <w:spacing w:lineRule="atLeast" w:line="240" w:before="0" w:after="0"/>
        <w:jc w:val="center"/>
        <w:rPr>
          <w:rFonts w:ascii="Times New Roman" w:hAnsi="Times New Roman"/>
          <w:b/>
          <w:sz w:val="20"/>
        </w:rPr>
      </w:pPr>
      <w:r>
        <w:rPr>
          <w:rFonts w:ascii="Times New Roman" w:hAnsi="Times New Roman"/>
          <w:b/>
          <w:sz w:val="20"/>
        </w:rPr>
        <w:t>90 Matawan Road, Fifth Floor</w:t>
      </w:r>
    </w:p>
    <w:p>
      <w:pPr>
        <w:pStyle w:val="TextBody"/>
        <w:bidi w:val="0"/>
        <w:spacing w:lineRule="atLeast" w:line="240" w:before="0" w:after="0"/>
        <w:jc w:val="center"/>
        <w:rPr/>
      </w:pPr>
      <w:r>
        <w:rPr>
          <w:rFonts w:ascii="Times New Roman" w:hAnsi="Times New Roman"/>
          <w:b/>
          <w:sz w:val="20"/>
        </w:rPr>
        <w:t>Matawan</w:t>
      </w:r>
      <w:r>
        <w:rPr>
          <w:b/>
          <w:sz w:val="20"/>
        </w:rPr>
        <w:t xml:space="preserve">, </w:t>
      </w:r>
      <w:r>
        <w:rPr>
          <w:rFonts w:ascii="Times New Roman" w:hAnsi="Times New Roman"/>
          <w:b/>
          <w:sz w:val="20"/>
        </w:rPr>
        <w:t>New Jersey</w:t>
      </w:r>
      <w:r>
        <w:rPr/>
        <w:t xml:space="preserve"> </w:t>
      </w:r>
      <w:r>
        <w:rPr>
          <w:rFonts w:ascii="Times New Roman" w:hAnsi="Times New Roman"/>
          <w:b/>
          <w:sz w:val="20"/>
        </w:rPr>
        <w:t>07747</w:t>
      </w:r>
    </w:p>
    <w:p>
      <w:pPr>
        <w:pStyle w:val="TextBody"/>
        <w:bidi w:val="0"/>
        <w:spacing w:lineRule="atLeast" w:line="240" w:before="0" w:after="0"/>
        <w:jc w:val="center"/>
        <w:rPr>
          <w:sz w:val="20"/>
        </w:rPr>
      </w:pPr>
      <w:r>
        <w:rPr>
          <w:sz w:val="20"/>
        </w:rPr>
        <w:t>(Address of Principal Executive Offices) (Zip Code)</w:t>
      </w:r>
    </w:p>
    <w:p>
      <w:pPr>
        <w:pStyle w:val="TextBody"/>
        <w:bidi w:val="0"/>
        <w:spacing w:lineRule="atLeast" w:line="240" w:before="0" w:after="0"/>
        <w:jc w:val="left"/>
        <w:rPr/>
      </w:pPr>
      <w:r>
        <w:rPr/>
        <w:t> </w:t>
      </w:r>
    </w:p>
    <w:p>
      <w:pPr>
        <w:pStyle w:val="TextBody"/>
        <w:bidi w:val="0"/>
        <w:spacing w:lineRule="atLeast" w:line="240" w:before="0" w:after="0"/>
        <w:jc w:val="center"/>
        <w:rPr/>
      </w:pPr>
      <w:r>
        <w:rPr>
          <w:b/>
          <w:sz w:val="20"/>
        </w:rPr>
        <w:t>(</w:t>
      </w:r>
      <w:r>
        <w:rPr>
          <w:rFonts w:ascii="Times New Roman" w:hAnsi="Times New Roman"/>
          <w:b/>
          <w:sz w:val="20"/>
        </w:rPr>
        <w:t>732</w:t>
      </w:r>
      <w:r>
        <w:rPr>
          <w:b/>
          <w:sz w:val="20"/>
        </w:rPr>
        <w:t xml:space="preserve">) </w:t>
      </w:r>
      <w:r>
        <w:rPr>
          <w:rFonts w:ascii="Times New Roman" w:hAnsi="Times New Roman"/>
          <w:b/>
          <w:sz w:val="20"/>
        </w:rPr>
        <w:t>747-7800</w:t>
      </w:r>
    </w:p>
    <w:p>
      <w:pPr>
        <w:pStyle w:val="TextBody"/>
        <w:bidi w:val="0"/>
        <w:spacing w:lineRule="atLeast" w:line="240" w:before="0" w:after="0"/>
        <w:jc w:val="center"/>
        <w:rPr>
          <w:sz w:val="20"/>
        </w:rPr>
      </w:pPr>
      <w:r>
        <w:rPr>
          <w:sz w:val="20"/>
        </w:rPr>
        <w:t>(Registrant’s telephone number, including area code)</w:t>
      </w:r>
    </w:p>
    <w:p>
      <w:pPr>
        <w:pStyle w:val="TextBody"/>
        <w:bidi w:val="0"/>
        <w:spacing w:lineRule="atLeast" w:line="240" w:before="0" w:after="0"/>
        <w:jc w:val="left"/>
        <w:rPr/>
      </w:pPr>
      <w:r>
        <w:rPr/>
        <w:t> </w:t>
      </w:r>
    </w:p>
    <w:p>
      <w:pPr>
        <w:pStyle w:val="TextBody"/>
        <w:bidi w:val="0"/>
        <w:spacing w:lineRule="atLeast" w:line="240" w:before="0" w:after="0"/>
        <w:jc w:val="center"/>
        <w:rPr>
          <w:b/>
          <w:sz w:val="20"/>
        </w:rPr>
      </w:pPr>
      <w:r>
        <w:rPr>
          <w:b/>
          <w:sz w:val="20"/>
        </w:rPr>
        <w:t>Not Applicable</w:t>
      </w:r>
    </w:p>
    <w:p>
      <w:pPr>
        <w:pStyle w:val="TextBody"/>
        <w:bidi w:val="0"/>
        <w:spacing w:lineRule="atLeast" w:line="240" w:before="0" w:after="0"/>
        <w:jc w:val="center"/>
        <w:rPr/>
      </w:pPr>
      <w:r>
        <w:rPr>
          <w:sz w:val="20"/>
        </w:rPr>
        <w:t>(Former Name or Former Address, if Changed Since</w:t>
      </w:r>
      <w:r>
        <w:rPr/>
        <w:br/>
      </w:r>
      <w:r>
        <w:rPr>
          <w:sz w:val="20"/>
        </w:rPr>
        <w:t>Last Report)</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lineRule="atLeast" w:line="240"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pPr>
            <w:r>
              <w:rPr/>
              <w:t>☐</w:t>
            </w:r>
          </w:p>
        </w:tc>
        <w:tc>
          <w:tcPr>
            <w:tcW w:w="7295" w:type="dxa"/>
            <w:tcBorders/>
            <w:vAlign w:val="center"/>
          </w:tcPr>
          <w:p>
            <w:pPr>
              <w:pStyle w:val="TableContents"/>
              <w:bidi w:val="0"/>
              <w:spacing w:before="0" w:after="0"/>
              <w:jc w:val="left"/>
              <w:rPr>
                <w:sz w:val="20"/>
              </w:rPr>
            </w:pPr>
            <w:r>
              <w:rPr>
                <w:sz w:val="20"/>
              </w:rPr>
              <w:t>Written communications pursuant to Rule 425 under the Securities Act (17 CFR 230.425)</w:t>
            </w:r>
          </w:p>
        </w:tc>
      </w:tr>
    </w:tbl>
    <w:p>
      <w:pPr>
        <w:pStyle w:val="TextBody"/>
        <w:bidi w:val="0"/>
        <w:spacing w:lineRule="atLeast" w:line="240"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sz w:val="20"/>
              </w:rPr>
            </w:pPr>
            <w:r>
              <w:rPr>
                <w:sz w:val="20"/>
              </w:rPr>
              <w:t>Soliciting material pursuant to Rule 14a-12 under the Exchange Act (17 CFR 240.14a-12)</w:t>
            </w:r>
          </w:p>
        </w:tc>
      </w:tr>
    </w:tbl>
    <w:p>
      <w:pPr>
        <w:pStyle w:val="TextBody"/>
        <w:bidi w:val="0"/>
        <w:spacing w:lineRule="atLeast" w:line="240"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sz w:val="20"/>
              </w:rPr>
            </w:pPr>
            <w:r>
              <w:rPr>
                <w:sz w:val="20"/>
              </w:rPr>
              <w:t>Pre-commencement communications pursuant to Rule 14d-2(b) under the Exchange Act (17 CFR 240.14d-2(b))</w:t>
            </w:r>
          </w:p>
        </w:tc>
      </w:tr>
    </w:tbl>
    <w:p>
      <w:pPr>
        <w:pStyle w:val="TextBody"/>
        <w:bidi w:val="0"/>
        <w:spacing w:lineRule="atLeast" w:line="240"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sz w:val="20"/>
              </w:rPr>
            </w:pPr>
            <w:r>
              <w:rPr>
                <w:sz w:val="20"/>
              </w:rPr>
              <w:t>Pre-commencement communications pursuant to Rule 13e-4(c) under the Exchange Act (17 CFR 240.13e-4(c))</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Securities registered pursuant to Section 12(b) of the Act.</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5953"/>
        <w:gridCol w:w="1309"/>
        <w:gridCol w:w="2943"/>
      </w:tblGrid>
      <w:tr>
        <w:trPr/>
        <w:tc>
          <w:tcPr>
            <w:tcW w:w="5953" w:type="dxa"/>
            <w:tcBorders>
              <w:bottom w:val="single" w:sz="6" w:space="0" w:color="000000"/>
            </w:tcBorders>
            <w:vAlign w:val="center"/>
          </w:tcPr>
          <w:p>
            <w:pPr>
              <w:pStyle w:val="TableContents"/>
              <w:keepNext w:val="true"/>
              <w:bidi w:val="0"/>
              <w:spacing w:before="0" w:after="0"/>
              <w:jc w:val="center"/>
              <w:rPr>
                <w:sz w:val="20"/>
              </w:rPr>
            </w:pPr>
            <w:r>
              <w:rPr>
                <w:sz w:val="20"/>
              </w:rPr>
              <w:t>Title of each class</w:t>
            </w:r>
          </w:p>
        </w:tc>
        <w:tc>
          <w:tcPr>
            <w:tcW w:w="1309" w:type="dxa"/>
            <w:tcBorders>
              <w:bottom w:val="single" w:sz="6" w:space="0" w:color="000000"/>
            </w:tcBorders>
            <w:vAlign w:val="center"/>
          </w:tcPr>
          <w:p>
            <w:pPr>
              <w:pStyle w:val="TableContents"/>
              <w:keepNext w:val="true"/>
              <w:bidi w:val="0"/>
              <w:spacing w:before="0" w:after="0"/>
              <w:jc w:val="center"/>
              <w:rPr>
                <w:sz w:val="20"/>
              </w:rPr>
            </w:pPr>
            <w:r>
              <w:rPr>
                <w:sz w:val="20"/>
              </w:rPr>
              <w:t>Trading symbol(s)</w:t>
            </w:r>
          </w:p>
        </w:tc>
        <w:tc>
          <w:tcPr>
            <w:tcW w:w="2943" w:type="dxa"/>
            <w:tcBorders>
              <w:bottom w:val="single" w:sz="6" w:space="0" w:color="000000"/>
            </w:tcBorders>
            <w:vAlign w:val="center"/>
          </w:tcPr>
          <w:p>
            <w:pPr>
              <w:pStyle w:val="TableContents"/>
              <w:keepNext w:val="true"/>
              <w:bidi w:val="0"/>
              <w:spacing w:before="0" w:after="0"/>
              <w:jc w:val="center"/>
              <w:rPr>
                <w:sz w:val="20"/>
              </w:rPr>
            </w:pPr>
            <w:r>
              <w:rPr>
                <w:sz w:val="20"/>
              </w:rPr>
              <w:t>Name of each exchange on which registered</w:t>
            </w:r>
          </w:p>
        </w:tc>
      </w:tr>
      <w:tr>
        <w:trPr/>
        <w:tc>
          <w:tcPr>
            <w:tcW w:w="5953" w:type="dxa"/>
            <w:tcBorders>
              <w:bottom w:val="single" w:sz="6" w:space="0" w:color="000000"/>
            </w:tcBorders>
            <w:vAlign w:val="center"/>
          </w:tcPr>
          <w:p>
            <w:pPr>
              <w:pStyle w:val="TableContents"/>
              <w:keepNext w:val="true"/>
              <w:bidi w:val="0"/>
              <w:spacing w:before="0" w:after="0"/>
              <w:jc w:val="center"/>
              <w:rPr>
                <w:rFonts w:ascii="Times New Roman" w:hAnsi="Times New Roman"/>
                <w:sz w:val="20"/>
              </w:rPr>
            </w:pPr>
            <w:r>
              <w:rPr>
                <w:rFonts w:ascii="Times New Roman" w:hAnsi="Times New Roman"/>
                <w:sz w:val="20"/>
              </w:rPr>
              <w:t>Class A Common Stock $0.01 par value per share</w:t>
            </w:r>
          </w:p>
        </w:tc>
        <w:tc>
          <w:tcPr>
            <w:tcW w:w="1309" w:type="dxa"/>
            <w:tcBorders>
              <w:bottom w:val="single" w:sz="6" w:space="0" w:color="000000"/>
            </w:tcBorders>
            <w:vAlign w:val="center"/>
          </w:tcPr>
          <w:p>
            <w:pPr>
              <w:pStyle w:val="TableContents"/>
              <w:keepNext w:val="true"/>
              <w:bidi w:val="0"/>
              <w:spacing w:before="0" w:after="0"/>
              <w:jc w:val="center"/>
              <w:rPr>
                <w:rFonts w:ascii="Times New Roman" w:hAnsi="Times New Roman"/>
                <w:sz w:val="20"/>
              </w:rPr>
            </w:pPr>
            <w:r>
              <w:rPr>
                <w:rFonts w:ascii="Times New Roman" w:hAnsi="Times New Roman"/>
                <w:sz w:val="20"/>
              </w:rPr>
              <w:t>HOV</w:t>
            </w:r>
          </w:p>
        </w:tc>
        <w:tc>
          <w:tcPr>
            <w:tcW w:w="2943" w:type="dxa"/>
            <w:tcBorders>
              <w:bottom w:val="single" w:sz="6" w:space="0" w:color="000000"/>
            </w:tcBorders>
            <w:vAlign w:val="center"/>
          </w:tcPr>
          <w:p>
            <w:pPr>
              <w:pStyle w:val="TableContents"/>
              <w:keepNext w:val="true"/>
              <w:bidi w:val="0"/>
              <w:spacing w:before="0" w:after="0"/>
              <w:jc w:val="center"/>
              <w:rPr>
                <w:rFonts w:ascii="Times New Roman" w:hAnsi="Times New Roman"/>
                <w:sz w:val="20"/>
              </w:rPr>
            </w:pPr>
            <w:r>
              <w:rPr>
                <w:rFonts w:ascii="Times New Roman" w:hAnsi="Times New Roman"/>
                <w:sz w:val="20"/>
              </w:rPr>
              <w:t>New York Stock Exchange</w:t>
            </w:r>
          </w:p>
        </w:tc>
      </w:tr>
      <w:tr>
        <w:trPr/>
        <w:tc>
          <w:tcPr>
            <w:tcW w:w="5953" w:type="dxa"/>
            <w:tcBorders>
              <w:bottom w:val="single" w:sz="6" w:space="0" w:color="000000"/>
            </w:tcBorders>
            <w:vAlign w:val="center"/>
          </w:tcPr>
          <w:p>
            <w:pPr>
              <w:pStyle w:val="TableContents"/>
              <w:keepNext w:val="true"/>
              <w:bidi w:val="0"/>
              <w:spacing w:before="0" w:after="0"/>
              <w:jc w:val="center"/>
              <w:rPr>
                <w:sz w:val="20"/>
              </w:rPr>
            </w:pPr>
            <w:r>
              <w:rPr>
                <w:rFonts w:ascii="Times New Roman" w:hAnsi="Times New Roman"/>
                <w:sz w:val="20"/>
              </w:rPr>
              <w:t>Preferred Stock Purchase Rights</w:t>
            </w:r>
            <w:r>
              <w:rPr>
                <w:sz w:val="20"/>
              </w:rPr>
              <w:t xml:space="preserve"> (1)</w:t>
            </w:r>
          </w:p>
        </w:tc>
        <w:tc>
          <w:tcPr>
            <w:tcW w:w="1309" w:type="dxa"/>
            <w:tcBorders>
              <w:bottom w:val="single" w:sz="6" w:space="0" w:color="000000"/>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w:t>
            </w:r>
          </w:p>
        </w:tc>
        <w:tc>
          <w:tcPr>
            <w:tcW w:w="2943" w:type="dxa"/>
            <w:tcBorders>
              <w:bottom w:val="single" w:sz="6" w:space="0" w:color="000000"/>
            </w:tcBorders>
            <w:vAlign w:val="center"/>
          </w:tcPr>
          <w:p>
            <w:pPr>
              <w:pStyle w:val="TableContents"/>
              <w:keepNext w:val="true"/>
              <w:bidi w:val="0"/>
              <w:spacing w:before="0" w:after="0"/>
              <w:jc w:val="center"/>
              <w:rPr>
                <w:rFonts w:ascii="Times New Roman" w:hAnsi="Times New Roman"/>
                <w:sz w:val="20"/>
              </w:rPr>
            </w:pPr>
            <w:r>
              <w:rPr>
                <w:rFonts w:ascii="Times New Roman" w:hAnsi="Times New Roman"/>
                <w:sz w:val="20"/>
              </w:rPr>
              <w:t>New York Stock Exchange</w:t>
            </w:r>
          </w:p>
        </w:tc>
      </w:tr>
      <w:tr>
        <w:trPr/>
        <w:tc>
          <w:tcPr>
            <w:tcW w:w="5953" w:type="dxa"/>
            <w:tcBorders>
              <w:bottom w:val="single" w:sz="6"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Depositary Shares each representing 1/1,000th of a share of 7.625% Series A Preferred Stock</w:t>
            </w:r>
          </w:p>
        </w:tc>
        <w:tc>
          <w:tcPr>
            <w:tcW w:w="1309" w:type="dxa"/>
            <w:tcBorders>
              <w:bottom w:val="single" w:sz="6"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HOVNP</w:t>
            </w:r>
          </w:p>
        </w:tc>
        <w:tc>
          <w:tcPr>
            <w:tcW w:w="2943" w:type="dxa"/>
            <w:tcBorders>
              <w:bottom w:val="single" w:sz="6" w:space="0" w:color="000000"/>
            </w:tcBorders>
            <w:vAlign w:val="center"/>
          </w:tcPr>
          <w:p>
            <w:pPr>
              <w:pStyle w:val="TableContents"/>
              <w:bidi w:val="0"/>
              <w:spacing w:before="0" w:after="0"/>
              <w:jc w:val="center"/>
              <w:rPr>
                <w:sz w:val="20"/>
              </w:rPr>
            </w:pPr>
            <w:r>
              <w:rPr>
                <w:sz w:val="20"/>
              </w:rPr>
              <w:t xml:space="preserve">The </w:t>
            </w:r>
            <w:r>
              <w:rPr>
                <w:rFonts w:ascii="Times New Roman" w:hAnsi="Times New Roman"/>
                <w:sz w:val="20"/>
              </w:rPr>
              <w:t>Nasdaq</w:t>
            </w:r>
            <w:r>
              <w:rPr>
                <w:sz w:val="20"/>
              </w:rPr>
              <w:t xml:space="preserve"> Stock Market LLC</w:t>
            </w:r>
          </w:p>
        </w:tc>
      </w:tr>
    </w:tbl>
    <w:p>
      <w:pPr>
        <w:pStyle w:val="TextBody"/>
        <w:bidi w:val="0"/>
        <w:spacing w:lineRule="atLeast" w:line="240" w:before="0" w:after="0"/>
        <w:jc w:val="left"/>
        <w:rPr/>
      </w:pPr>
      <w:r>
        <w:rPr/>
        <w:t> </w:t>
      </w:r>
    </w:p>
    <w:p>
      <w:pPr>
        <w:pStyle w:val="TextBody"/>
        <w:bidi w:val="0"/>
        <w:spacing w:lineRule="atLeast" w:line="240" w:before="0" w:after="0"/>
        <w:jc w:val="left"/>
        <w:rPr/>
      </w:pPr>
      <w:r>
        <w:rPr>
          <w:sz w:val="20"/>
        </w:rPr>
        <w:t xml:space="preserve">(1) </w:t>
      </w:r>
      <w:r>
        <w:rPr>
          <w:rFonts w:ascii="Times New Roman" w:hAnsi="Times New Roman"/>
          <w:sz w:val="20"/>
        </w:rPr>
        <w:t>Each share of Class A Common Stock includes an associated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tLeast" w:line="240" w:before="0" w:after="0"/>
        <w:jc w:val="left"/>
        <w:rPr/>
      </w:pPr>
      <w:r>
        <w:rPr/>
        <w:t> </w:t>
      </w:r>
    </w:p>
    <w:p>
      <w:pPr>
        <w:pStyle w:val="TextBody"/>
        <w:bidi w:val="0"/>
        <w:spacing w:lineRule="atLeast" w:line="240" w:before="0" w:after="0"/>
        <w:jc w:val="right"/>
        <w:rPr/>
      </w:pPr>
      <w:r>
        <w:rPr>
          <w:sz w:val="20"/>
        </w:rPr>
        <w:t xml:space="preserve">Emerging growth company </w:t>
      </w:r>
      <w:r>
        <w:rPr/>
        <w:t>☐ </w:t>
      </w:r>
    </w:p>
    <w:p>
      <w:pPr>
        <w:pStyle w:val="TextBody"/>
        <w:bidi w:val="0"/>
        <w:spacing w:lineRule="atLeast" w:line="240" w:before="0" w:after="0"/>
        <w:jc w:val="left"/>
        <w:rPr/>
      </w:pPr>
      <w:r>
        <w:rPr/>
        <w:t> </w:t>
      </w:r>
    </w:p>
    <w:p>
      <w:pPr>
        <w:pStyle w:val="TextBody"/>
        <w:bidi w:val="0"/>
        <w:spacing w:lineRule="atLeast" w:line="240" w:before="0" w:after="0"/>
        <w:jc w:val="left"/>
        <w:rPr/>
      </w:pPr>
      <w:r>
        <w:rPr>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 </w:t>
      </w:r>
    </w:p>
    <w:p>
      <w:pPr>
        <w:pStyle w:val="TextBody"/>
        <w:bidi w:val="0"/>
        <w:spacing w:lineRule="atLeast" w:line="240"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b/>
          <w:sz w:val="20"/>
        </w:rPr>
        <w:t xml:space="preserve">Item 2.02. </w:t>
      </w:r>
      <w:r>
        <w:rPr>
          <w:b/>
          <w:sz w:val="20"/>
          <w:u w:val="single"/>
        </w:rPr>
        <w:t>Results of Operations and Financial Condition</w:t>
      </w:r>
      <w:r>
        <w:rPr>
          <w:b/>
          <w:sz w:val="20"/>
        </w:rPr>
        <w:t>.</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 xml:space="preserve">On August 20, 2026, Hovnanian Enterprises, Inc. (the “Company”) issued a press release announcing its preliminary financial results for the fiscal third quarter ended July 31, 2026. A copy of the press release is attached as Exhibit 99.1. </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The information in this Current Report on Form 8-K and the Exhibit attached hereto is being furnished and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shall be expressly set forth by specific reference in such filing.</w:t>
      </w:r>
    </w:p>
    <w:p>
      <w:pPr>
        <w:pStyle w:val="TextBody"/>
        <w:bidi w:val="0"/>
        <w:spacing w:lineRule="atLeast" w:line="240" w:before="0" w:after="0"/>
        <w:jc w:val="left"/>
        <w:rPr/>
      </w:pPr>
      <w:r>
        <w:rPr/>
        <w:t> </w:t>
      </w:r>
    </w:p>
    <w:p>
      <w:pPr>
        <w:pStyle w:val="TextBody"/>
        <w:bidi w:val="0"/>
        <w:spacing w:lineRule="atLeast" w:line="240" w:before="0" w:after="240"/>
        <w:jc w:val="left"/>
        <w:rPr>
          <w:sz w:val="20"/>
        </w:rPr>
      </w:pPr>
      <w:r>
        <w:rPr>
          <w:sz w:val="20"/>
        </w:rPr>
        <w:t xml:space="preserve">The attached earnings press release contains information about the following non-GAAP financial measures (collectively, the “Non-GAAP Measures”): </w:t>
      </w:r>
    </w:p>
    <w:p>
      <w:pPr>
        <w:pStyle w:val="TextBody"/>
        <w:bidi w:val="0"/>
        <w:spacing w:lineRule="atLeast" w:line="240" w:before="0" w:after="120"/>
        <w:ind w:left="720" w:right="0" w:hanging="360"/>
        <w:jc w:val="left"/>
        <w:rPr/>
      </w:pPr>
      <w:r>
        <w:rPr/>
        <w:t></w:t>
      </w:r>
      <w:r>
        <w:rPr>
          <w:caps w:val="false"/>
          <w:smallCaps w:val="false"/>
        </w:rPr>
        <w:t xml:space="preserve">         </w:t>
      </w:r>
      <w:r>
        <w:rPr>
          <w:sz w:val="20"/>
        </w:rPr>
        <w:t>Consolidated earnings before interest expense and income taxes (“EBIT”) and before depreciation and amortization (“EBITDA”) and before inventory impairments and land option write-offs and gain on extinguishment of debt, net (“Adjusted EBITDA”), the ratio of Adjusted EBITDA to interest incurred and EBIT before inventory impairments and land option write-offs and gain on extinguishment of debt, net (“Adjusted EBIT”), which are non-GAAP financial measures. The most directly comparable GAAP financial measure for EBIT, EBITDA, Adjusted EBIT and Adjusted EBITDA is net (loss) income. Management believes EBIT, Adjusted EBITDA and EBITDA to be relevant and useful information as EBIT, Adjusted EBITDA and EBITDA are standard measures commonly reported and widely used by analysts, investors and others to measure and benchmark the Company’s financial performance without the effects of various items the Company does not believe are characteristic of its ongoing operating performance. EBIT, Adjusted EBITDA and EBITDA do not take into account substantial costs of doing business, such as income taxes and interest expense.</w:t>
      </w:r>
    </w:p>
    <w:p>
      <w:pPr>
        <w:pStyle w:val="TextBody"/>
        <w:bidi w:val="0"/>
        <w:spacing w:lineRule="atLeast" w:line="240" w:before="0" w:after="120"/>
        <w:ind w:left="720" w:right="0" w:hanging="360"/>
        <w:jc w:val="left"/>
        <w:rPr/>
      </w:pPr>
      <w:r>
        <w:rPr/>
        <w:t></w:t>
      </w:r>
      <w:r>
        <w:rPr>
          <w:caps w:val="false"/>
          <w:smallCaps w:val="false"/>
        </w:rPr>
        <w:t xml:space="preserve">         </w:t>
      </w:r>
      <w:r>
        <w:rPr>
          <w:sz w:val="20"/>
        </w:rPr>
        <w:t>Homebuilding gross margin, before cost of sales interest expense and land charges, and homebuilding gross margin percentage, before cost of sales interest expense and land charges, which are non-GAAP financial measures. The most directly comparable GAAP financial measures are homebuilding gross margin and homebuilding gross margin percentage, respectively. Management believes homebuilding gross margin, before cost of sales interest expense and land charges, enables investors to better understand the Company’s operating performance. This measure is also useful internally, helping management to evaluate the Company’s operating results on a consolidated basis and relative to other companies in the Company’s industry. In particular, the magnitude and volatility of land charges for the Company, and for other homebuilders, have been significant and, as such, have made financial analysis of the Company’s industry more difficult. Homebuilding metrics excluding land charges, as well as interest amortized to cost of sales, and other similar presentations prepared by analysts and other companies are frequently used to assist investors in understanding and comparing the operating characteristics of homebuilding activities by eliminating many of the differences in companies’ respective levels of impairments and levels of debt.</w:t>
      </w:r>
    </w:p>
    <w:p>
      <w:pPr>
        <w:pStyle w:val="TextBody"/>
        <w:bidi w:val="0"/>
        <w:spacing w:lineRule="atLeast" w:line="240" w:before="0" w:after="120"/>
        <w:ind w:left="720" w:right="0" w:hanging="360"/>
        <w:jc w:val="left"/>
        <w:rPr/>
      </w:pPr>
      <w:r>
        <w:rPr/>
        <w:t></w:t>
      </w:r>
      <w:r>
        <w:rPr>
          <w:caps w:val="false"/>
          <w:smallCaps w:val="false"/>
        </w:rPr>
        <w:t xml:space="preserve">         </w:t>
      </w:r>
      <w:r>
        <w:rPr>
          <w:sz w:val="20"/>
        </w:rPr>
        <w:t>Adjusted (loss) income before income taxes, which is defined as (loss) income before income taxes excluding land-related charges and gain on extinguishment of debt, net, which is a non-GAAP financial measure. The most directly comparable GAAP financial measure is (loss) income before income taxes. Management believes adjusted (loss) income before taxes to be relevant and useful information because it provides a better metric of the Company’s operating performance.</w:t>
      </w:r>
    </w:p>
    <w:p>
      <w:pPr>
        <w:pStyle w:val="TextBody"/>
        <w:bidi w:val="0"/>
        <w:spacing w:lineRule="atLeast" w:line="240" w:before="0" w:after="120"/>
        <w:ind w:left="720" w:right="0" w:hanging="360"/>
        <w:jc w:val="left"/>
        <w:rPr/>
      </w:pPr>
      <w:r>
        <w:rPr/>
        <w:t></w:t>
      </w:r>
      <w:r>
        <w:rPr>
          <w:caps w:val="false"/>
          <w:smallCaps w:val="false"/>
        </w:rPr>
        <w:t xml:space="preserve">         </w:t>
      </w:r>
      <w:r>
        <w:rPr>
          <w:sz w:val="20"/>
        </w:rPr>
        <w:t>Total inventories excluding liabilities from inventory not owned, net of debt issuance costs and interest capitalized and including investments in and advances to unconsolidated joint ventures (“Adjusted Investment”), which is a non-GAAP financial measure. The most directly comparable GAAP financial measure is total inventories. Management believes Adjusted Investment to be relevant and useful information because it more accurately reflects inventory owned (whether directly or through joint ventures) by the Company and excludes inventory that is off-balance sheet in nature, such as inventory subject to land banking transactions.</w:t>
      </w:r>
    </w:p>
    <w:p>
      <w:pPr>
        <w:pStyle w:val="TextBody"/>
        <w:bidi w:val="0"/>
        <w:spacing w:lineRule="atLeast" w:line="240" w:before="0" w:after="200"/>
        <w:ind w:left="720" w:right="0" w:hanging="360"/>
        <w:jc w:val="left"/>
        <w:rPr/>
      </w:pPr>
      <w:r>
        <w:rPr/>
        <w:t></w:t>
      </w:r>
      <w:r>
        <w:rPr>
          <w:caps w:val="false"/>
          <w:smallCaps w:val="false"/>
        </w:rPr>
        <w:t xml:space="preserve">         </w:t>
      </w:r>
      <w:r>
        <w:rPr>
          <w:sz w:val="20"/>
        </w:rPr>
        <w:t>The ratio of Adjusted EBIT return on investment (“Adjusted EBIT ROI”), which is the ratio of Adjusted EBIT for the trailing twelve-months, to the average Adjusted Investment for the prior five fiscal quarters and is a non-GAAP financial measure. The most directly comparable GAAP financial measure is the ratio of net (loss) income to total inventory. Management believes Adjusted EBIT ROI to be relevant and useful information because it is a measure of operational performance irrespective of the capital structure of the Company and as calculated, is reflective of the longer-term period required to build and sell homes in the homebuilding industry.</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sz w:val="20"/>
        </w:rPr>
      </w:pPr>
      <w:r>
        <w:rPr>
          <w:sz w:val="20"/>
        </w:rPr>
        <w:t>Reconciliations for historical periods of the Non-GAAP Measures are contained in the earnings press release. The Non-GAAP Measures should be considered in addition to, but not as a substitute for, their respective most directly comparable financial measures (on a historical period, trailing twelve-month period or five-quarter average basis, as applicable) prepared in accordance with accounting principles generally accepted in the United States that are presented on the financial statements included in the Company’s reports filed with the Securities and Exchange Commission. Additionally, the Company’s calculations of the Non-GAAP Measures may be different than the respective calculations used by other companies, and, therefore, comparability may be affected.</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845"/>
        <w:gridCol w:w="2855"/>
      </w:tblGrid>
      <w:tr>
        <w:trPr/>
        <w:tc>
          <w:tcPr>
            <w:tcW w:w="845" w:type="dxa"/>
            <w:tcBorders/>
            <w:vAlign w:val="center"/>
          </w:tcPr>
          <w:p>
            <w:pPr>
              <w:pStyle w:val="TableContents"/>
              <w:bidi w:val="0"/>
              <w:spacing w:before="0" w:after="0"/>
              <w:jc w:val="left"/>
              <w:rPr>
                <w:sz w:val="20"/>
              </w:rPr>
            </w:pPr>
            <w:r>
              <w:rPr>
                <w:sz w:val="20"/>
              </w:rPr>
              <w:t>Item 9.01.</w:t>
            </w:r>
          </w:p>
        </w:tc>
        <w:tc>
          <w:tcPr>
            <w:tcW w:w="2855" w:type="dxa"/>
            <w:tcBorders/>
            <w:vAlign w:val="center"/>
          </w:tcPr>
          <w:p>
            <w:pPr>
              <w:pStyle w:val="TableContents"/>
              <w:bidi w:val="0"/>
              <w:spacing w:before="0" w:after="0"/>
              <w:jc w:val="left"/>
              <w:rPr>
                <w:sz w:val="20"/>
              </w:rPr>
            </w:pPr>
            <w:r>
              <w:rPr>
                <w:sz w:val="20"/>
                <w:u w:val="single"/>
              </w:rPr>
              <w:t>Financial Statements and Exhibits</w:t>
            </w:r>
            <w:r>
              <w:rPr>
                <w:sz w:val="20"/>
              </w:rPr>
              <w:t>.</w:t>
            </w:r>
          </w:p>
        </w:tc>
      </w:tr>
    </w:tbl>
    <w:p>
      <w:pPr>
        <w:pStyle w:val="TextBody"/>
        <w:bidi w:val="0"/>
        <w:spacing w:before="0" w:after="0"/>
        <w:jc w:val="left"/>
        <w:rPr/>
      </w:pPr>
      <w:r>
        <w:rPr/>
        <w:t> </w:t>
      </w:r>
    </w:p>
    <w:tbl>
      <w:tblPr>
        <w:tblW w:w="1015" w:type="dxa"/>
        <w:jc w:val="left"/>
        <w:tblInd w:w="0" w:type="dxa"/>
        <w:tblLayout w:type="fixed"/>
        <w:tblCellMar>
          <w:top w:w="0" w:type="dxa"/>
          <w:left w:w="0" w:type="dxa"/>
          <w:bottom w:w="0" w:type="dxa"/>
          <w:right w:w="0" w:type="dxa"/>
        </w:tblCellMar>
      </w:tblPr>
      <w:tblGrid>
        <w:gridCol w:w="260"/>
        <w:gridCol w:w="755"/>
      </w:tblGrid>
      <w:tr>
        <w:trPr/>
        <w:tc>
          <w:tcPr>
            <w:tcW w:w="260" w:type="dxa"/>
            <w:tcBorders/>
            <w:vAlign w:val="center"/>
          </w:tcPr>
          <w:p>
            <w:pPr>
              <w:pStyle w:val="TableContents"/>
              <w:bidi w:val="0"/>
              <w:spacing w:before="0" w:after="0"/>
              <w:jc w:val="left"/>
              <w:rPr>
                <w:sz w:val="20"/>
              </w:rPr>
            </w:pPr>
            <w:r>
              <w:rPr>
                <w:sz w:val="20"/>
              </w:rPr>
              <w:t>(d)</w:t>
            </w:r>
          </w:p>
        </w:tc>
        <w:tc>
          <w:tcPr>
            <w:tcW w:w="755" w:type="dxa"/>
            <w:tcBorders/>
            <w:vAlign w:val="center"/>
          </w:tcPr>
          <w:p>
            <w:pPr>
              <w:pStyle w:val="TableContents"/>
              <w:bidi w:val="0"/>
              <w:spacing w:before="0" w:after="0"/>
              <w:jc w:val="left"/>
              <w:rPr>
                <w:i/>
                <w:sz w:val="20"/>
              </w:rPr>
            </w:pPr>
            <w:r>
              <w:rPr>
                <w:i/>
                <w:sz w:val="20"/>
              </w:rPr>
              <w:t>Exhibits.</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1055"/>
        <w:gridCol w:w="6485"/>
      </w:tblGrid>
      <w:tr>
        <w:trPr/>
        <w:tc>
          <w:tcPr>
            <w:tcW w:w="1055" w:type="dxa"/>
            <w:tcBorders/>
            <w:vAlign w:val="center"/>
          </w:tcPr>
          <w:p>
            <w:pPr>
              <w:pStyle w:val="TableContents"/>
              <w:keepNext w:val="true"/>
              <w:bidi w:val="0"/>
              <w:spacing w:before="0" w:after="0"/>
              <w:jc w:val="left"/>
              <w:rPr>
                <w:sz w:val="20"/>
              </w:rPr>
            </w:pPr>
            <w:r>
              <w:rPr>
                <w:sz w:val="20"/>
              </w:rPr>
              <w:t>Exhibit 99.1</w:t>
            </w:r>
          </w:p>
        </w:tc>
        <w:tc>
          <w:tcPr>
            <w:tcW w:w="6485" w:type="dxa"/>
            <w:tcBorders/>
            <w:vAlign w:val="center"/>
          </w:tcPr>
          <w:p>
            <w:pPr>
              <w:pStyle w:val="TableContents"/>
              <w:keepNext w:val="true"/>
              <w:bidi w:val="0"/>
              <w:spacing w:before="0" w:after="0"/>
              <w:jc w:val="left"/>
              <w:rPr/>
            </w:pPr>
            <w:hyperlink w:anchor="ex991_1.htm">
              <w:r>
                <w:rPr>
                  <w:rStyle w:val="InternetLink"/>
                  <w:color w:val="0000FF"/>
                  <w:sz w:val="20"/>
                  <w:u w:val="single"/>
                </w:rPr>
                <w:t>Earnings Press Release - Fiscal Third Quarter Ended July 31, 2026.</w:t>
              </w:r>
            </w:hyperlink>
          </w:p>
        </w:tc>
      </w:tr>
      <w:tr>
        <w:trPr/>
        <w:tc>
          <w:tcPr>
            <w:tcW w:w="1055" w:type="dxa"/>
            <w:tcBorders/>
            <w:vAlign w:val="center"/>
          </w:tcPr>
          <w:p>
            <w:pPr>
              <w:pStyle w:val="TableContents"/>
              <w:keepNext w:val="true"/>
              <w:bidi w:val="0"/>
              <w:spacing w:before="0" w:after="0"/>
              <w:jc w:val="left"/>
              <w:rPr/>
            </w:pPr>
            <w:r>
              <w:rPr/>
              <w:t> </w:t>
            </w:r>
          </w:p>
        </w:tc>
        <w:tc>
          <w:tcPr>
            <w:tcW w:w="6485" w:type="dxa"/>
            <w:tcBorders/>
            <w:vAlign w:val="center"/>
          </w:tcPr>
          <w:p>
            <w:pPr>
              <w:pStyle w:val="TableContents"/>
              <w:keepNext w:val="true"/>
              <w:bidi w:val="0"/>
              <w:spacing w:before="0" w:after="0"/>
              <w:jc w:val="left"/>
              <w:rPr/>
            </w:pPr>
            <w:r>
              <w:rPr/>
              <w:t> </w:t>
            </w:r>
          </w:p>
        </w:tc>
      </w:tr>
      <w:tr>
        <w:trPr/>
        <w:tc>
          <w:tcPr>
            <w:tcW w:w="1055" w:type="dxa"/>
            <w:tcBorders/>
            <w:vAlign w:val="center"/>
          </w:tcPr>
          <w:p>
            <w:pPr>
              <w:pStyle w:val="TableContents"/>
              <w:bidi w:val="0"/>
              <w:spacing w:before="0" w:after="0"/>
              <w:jc w:val="left"/>
              <w:rPr>
                <w:sz w:val="20"/>
              </w:rPr>
            </w:pPr>
            <w:r>
              <w:rPr>
                <w:sz w:val="20"/>
              </w:rPr>
              <w:t>Exhibit 104</w:t>
            </w:r>
          </w:p>
        </w:tc>
        <w:tc>
          <w:tcPr>
            <w:tcW w:w="6485" w:type="dxa"/>
            <w:tcBorders/>
            <w:vAlign w:val="center"/>
          </w:tcPr>
          <w:p>
            <w:pPr>
              <w:pStyle w:val="TableContents"/>
              <w:bidi w:val="0"/>
              <w:spacing w:before="0" w:after="0"/>
              <w:ind w:left="140" w:right="0" w:hanging="140"/>
              <w:jc w:val="left"/>
              <w:rPr>
                <w:sz w:val="20"/>
              </w:rPr>
            </w:pPr>
            <w:r>
              <w:rPr>
                <w:sz w:val="20"/>
              </w:rPr>
              <w:t>Cover Page Interactive Data File (embedded within the Inline XBRL document)</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r>
        <w:br w:type="page"/>
      </w:r>
    </w:p>
    <w:p>
      <w:pPr>
        <w:pStyle w:val="TextBody"/>
        <w:bidi w:val="0"/>
        <w:spacing w:before="0" w:after="0"/>
        <w:jc w:val="center"/>
        <w:rPr>
          <w:sz w:val="20"/>
          <w:u w:val="single"/>
        </w:rPr>
      </w:pPr>
      <w:r>
        <w:rPr>
          <w:sz w:val="20"/>
          <w:u w:val="single"/>
        </w:rPr>
        <w:t>SIGNATURES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390"/>
        <w:gridCol w:w="2554"/>
      </w:tblGrid>
      <w:tr>
        <w:trPr/>
        <w:tc>
          <w:tcPr>
            <w:tcW w:w="75" w:type="dxa"/>
            <w:tcBorders/>
            <w:vAlign w:val="center"/>
          </w:tcPr>
          <w:p>
            <w:pPr>
              <w:pStyle w:val="TableContents"/>
              <w:keepNext w:val="true"/>
              <w:bidi w:val="0"/>
              <w:spacing w:before="0" w:after="0"/>
              <w:jc w:val="left"/>
              <w:rPr/>
            </w:pPr>
            <w:r>
              <w:rPr/>
              <w:t> </w:t>
            </w:r>
          </w:p>
        </w:tc>
        <w:tc>
          <w:tcPr>
            <w:tcW w:w="2944" w:type="dxa"/>
            <w:gridSpan w:val="2"/>
            <w:tcBorders/>
            <w:vAlign w:val="center"/>
          </w:tcPr>
          <w:p>
            <w:pPr>
              <w:pStyle w:val="TableContents"/>
              <w:keepNext w:val="true"/>
              <w:bidi w:val="0"/>
              <w:spacing w:before="0" w:after="0"/>
              <w:jc w:val="left"/>
              <w:rPr>
                <w:sz w:val="20"/>
              </w:rPr>
            </w:pPr>
            <w:r>
              <w:rPr>
                <w:sz w:val="20"/>
              </w:rPr>
              <w:t>HOVNANIAN ENTERPRISES, INC.</w:t>
            </w:r>
          </w:p>
        </w:tc>
      </w:tr>
      <w:tr>
        <w:trPr/>
        <w:tc>
          <w:tcPr>
            <w:tcW w:w="75" w:type="dxa"/>
            <w:tcBorders/>
            <w:vAlign w:val="center"/>
          </w:tcPr>
          <w:p>
            <w:pPr>
              <w:pStyle w:val="TableContents"/>
              <w:keepNext w:val="true"/>
              <w:bidi w:val="0"/>
              <w:spacing w:before="0" w:after="0"/>
              <w:jc w:val="left"/>
              <w:rPr/>
            </w:pPr>
            <w:r>
              <w:rPr/>
              <w:t> </w:t>
            </w:r>
          </w:p>
        </w:tc>
        <w:tc>
          <w:tcPr>
            <w:tcW w:w="2944" w:type="dxa"/>
            <w:gridSpan w:val="2"/>
            <w:tcBorders/>
            <w:vAlign w:val="center"/>
          </w:tcPr>
          <w:p>
            <w:pPr>
              <w:pStyle w:val="TableContents"/>
              <w:keepNext w:val="true"/>
              <w:bidi w:val="0"/>
              <w:spacing w:before="0" w:after="0"/>
              <w:jc w:val="left"/>
              <w:rPr>
                <w:sz w:val="20"/>
              </w:rPr>
            </w:pPr>
            <w:r>
              <w:rPr>
                <w:sz w:val="20"/>
              </w:rPr>
              <w:t>(Registrant)</w:t>
            </w:r>
          </w:p>
        </w:tc>
      </w:tr>
      <w:tr>
        <w:trPr/>
        <w:tc>
          <w:tcPr>
            <w:tcW w:w="75" w:type="dxa"/>
            <w:tcBorders/>
            <w:vAlign w:val="center"/>
          </w:tcPr>
          <w:p>
            <w:pPr>
              <w:pStyle w:val="TableContents"/>
              <w:keepNext w:val="true"/>
              <w:bidi w:val="0"/>
              <w:spacing w:before="0" w:after="0"/>
              <w:jc w:val="left"/>
              <w:rPr/>
            </w:pPr>
            <w:r>
              <w:rPr/>
              <w:t> </w:t>
            </w:r>
          </w:p>
        </w:tc>
        <w:tc>
          <w:tcPr>
            <w:tcW w:w="390" w:type="dxa"/>
            <w:tcBorders/>
            <w:vAlign w:val="center"/>
          </w:tcPr>
          <w:p>
            <w:pPr>
              <w:pStyle w:val="TableContents"/>
              <w:keepNext w:val="true"/>
              <w:bidi w:val="0"/>
              <w:spacing w:before="0" w:after="0"/>
              <w:jc w:val="left"/>
              <w:rPr/>
            </w:pPr>
            <w:r>
              <w:rPr/>
              <w:t> </w:t>
            </w:r>
          </w:p>
        </w:tc>
        <w:tc>
          <w:tcPr>
            <w:tcW w:w="2554" w:type="dxa"/>
            <w:tcBorders/>
            <w:vAlign w:val="center"/>
          </w:tcPr>
          <w:p>
            <w:pPr>
              <w:pStyle w:val="TableContents"/>
              <w:keepNext w:val="true"/>
              <w:bidi w:val="0"/>
              <w:spacing w:before="0" w:after="0"/>
              <w:jc w:val="left"/>
              <w:rPr/>
            </w:pPr>
            <w:r>
              <w:rPr/>
              <w:t> </w:t>
            </w:r>
          </w:p>
        </w:tc>
      </w:tr>
      <w:tr>
        <w:trPr/>
        <w:tc>
          <w:tcPr>
            <w:tcW w:w="75" w:type="dxa"/>
            <w:tcBorders/>
            <w:vAlign w:val="center"/>
          </w:tcPr>
          <w:p>
            <w:pPr>
              <w:pStyle w:val="TableContents"/>
              <w:keepNext w:val="true"/>
              <w:bidi w:val="0"/>
              <w:spacing w:before="0" w:after="0"/>
              <w:jc w:val="left"/>
              <w:rPr/>
            </w:pPr>
            <w:r>
              <w:rPr/>
              <w:t> </w:t>
            </w:r>
          </w:p>
        </w:tc>
        <w:tc>
          <w:tcPr>
            <w:tcW w:w="390" w:type="dxa"/>
            <w:tcBorders/>
            <w:vAlign w:val="center"/>
          </w:tcPr>
          <w:p>
            <w:pPr>
              <w:pStyle w:val="TableContents"/>
              <w:keepNext w:val="true"/>
              <w:bidi w:val="0"/>
              <w:spacing w:before="0" w:after="0"/>
              <w:jc w:val="left"/>
              <w:rPr>
                <w:sz w:val="20"/>
              </w:rPr>
            </w:pPr>
            <w:r>
              <w:rPr>
                <w:sz w:val="20"/>
              </w:rPr>
              <w:t>By: </w:t>
            </w:r>
          </w:p>
        </w:tc>
        <w:tc>
          <w:tcPr>
            <w:tcW w:w="2554" w:type="dxa"/>
            <w:tcBorders>
              <w:bottom w:val="single" w:sz="6" w:space="0" w:color="000000"/>
            </w:tcBorders>
            <w:tcMar>
              <w:bottom w:w="28" w:type="dxa"/>
            </w:tcMar>
            <w:vAlign w:val="center"/>
          </w:tcPr>
          <w:p>
            <w:pPr>
              <w:pStyle w:val="TableContents"/>
              <w:keepNext w:val="true"/>
              <w:bidi w:val="0"/>
              <w:spacing w:before="0" w:after="0"/>
              <w:jc w:val="left"/>
              <w:rPr>
                <w:sz w:val="20"/>
              </w:rPr>
            </w:pPr>
            <w:r>
              <w:rPr>
                <w:sz w:val="20"/>
              </w:rPr>
              <w:t>/s/ Brad G. O’Connor</w:t>
            </w:r>
          </w:p>
        </w:tc>
      </w:tr>
      <w:tr>
        <w:trPr/>
        <w:tc>
          <w:tcPr>
            <w:tcW w:w="75" w:type="dxa"/>
            <w:tcBorders/>
            <w:vAlign w:val="center"/>
          </w:tcPr>
          <w:p>
            <w:pPr>
              <w:pStyle w:val="TableContents"/>
              <w:keepNext w:val="true"/>
              <w:bidi w:val="0"/>
              <w:spacing w:before="0" w:after="0"/>
              <w:jc w:val="left"/>
              <w:rPr/>
            </w:pPr>
            <w:r>
              <w:rPr/>
              <w:t> </w:t>
            </w:r>
          </w:p>
        </w:tc>
        <w:tc>
          <w:tcPr>
            <w:tcW w:w="390" w:type="dxa"/>
            <w:tcBorders/>
            <w:vAlign w:val="center"/>
          </w:tcPr>
          <w:p>
            <w:pPr>
              <w:pStyle w:val="TableContents"/>
              <w:keepNext w:val="true"/>
              <w:bidi w:val="0"/>
              <w:spacing w:before="0" w:after="0"/>
              <w:jc w:val="left"/>
              <w:rPr/>
            </w:pPr>
            <w:r>
              <w:rPr/>
              <w:t> </w:t>
            </w:r>
          </w:p>
        </w:tc>
        <w:tc>
          <w:tcPr>
            <w:tcW w:w="2554" w:type="dxa"/>
            <w:tcBorders/>
            <w:vAlign w:val="center"/>
          </w:tcPr>
          <w:p>
            <w:pPr>
              <w:pStyle w:val="TableContents"/>
              <w:keepNext w:val="true"/>
              <w:bidi w:val="0"/>
              <w:spacing w:before="0" w:after="0"/>
              <w:jc w:val="left"/>
              <w:rPr>
                <w:sz w:val="20"/>
              </w:rPr>
            </w:pPr>
            <w:r>
              <w:rPr>
                <w:sz w:val="20"/>
              </w:rPr>
              <w:t>Name: Brad G. O’Connor</w:t>
            </w:r>
          </w:p>
        </w:tc>
      </w:tr>
      <w:tr>
        <w:trPr/>
        <w:tc>
          <w:tcPr>
            <w:tcW w:w="75" w:type="dxa"/>
            <w:tcBorders/>
            <w:vAlign w:val="center"/>
          </w:tcPr>
          <w:p>
            <w:pPr>
              <w:pStyle w:val="TableContents"/>
              <w:bidi w:val="0"/>
              <w:spacing w:before="0" w:after="0"/>
              <w:jc w:val="left"/>
              <w:rPr/>
            </w:pPr>
            <w:r>
              <w:rPr/>
              <w:t> </w:t>
            </w:r>
          </w:p>
        </w:tc>
        <w:tc>
          <w:tcPr>
            <w:tcW w:w="390" w:type="dxa"/>
            <w:tcBorders/>
            <w:vAlign w:val="center"/>
          </w:tcPr>
          <w:p>
            <w:pPr>
              <w:pStyle w:val="TableContents"/>
              <w:bidi w:val="0"/>
              <w:spacing w:before="0" w:after="0"/>
              <w:jc w:val="left"/>
              <w:rPr/>
            </w:pPr>
            <w:r>
              <w:rPr/>
              <w:t> </w:t>
            </w:r>
          </w:p>
        </w:tc>
        <w:tc>
          <w:tcPr>
            <w:tcW w:w="2554" w:type="dxa"/>
            <w:tcBorders/>
            <w:vAlign w:val="center"/>
          </w:tcPr>
          <w:p>
            <w:pPr>
              <w:pStyle w:val="TableContents"/>
              <w:bidi w:val="0"/>
              <w:spacing w:before="0" w:after="0"/>
              <w:jc w:val="left"/>
              <w:rPr>
                <w:sz w:val="20"/>
              </w:rPr>
            </w:pPr>
            <w:r>
              <w:rPr>
                <w:sz w:val="20"/>
              </w:rPr>
              <w:t>Title: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sz w:val="20"/>
        </w:rPr>
      </w:pPr>
      <w:r>
        <w:rPr>
          <w:sz w:val="20"/>
        </w:rPr>
        <w:t>Date: August 20, 2026</w:t>
      </w:r>
    </w:p>
    <w:p>
      <w:pPr>
        <w:pStyle w:val="TextBody"/>
        <w:bidi w:val="0"/>
        <w:spacing w:before="0" w:after="0"/>
        <w:jc w:val="left"/>
        <w:rPr/>
      </w:pPr>
      <w:r>
        <w:rPr/>
        <w:t> </w:t>
      </w:r>
    </w:p>
    <w:p>
      <w:pPr>
        <w:pStyle w:val="TextBody"/>
        <w:bidi w:val="0"/>
        <w:spacing w:before="0" w:after="0"/>
        <w:jc w:val="right"/>
        <w:rPr>
          <w:b/>
          <w:sz w:val="20"/>
        </w:rPr>
      </w:pPr>
      <w:bookmarkStart w:id="3" w:name="ex991_1.htm"/>
      <w:bookmarkStart w:id="4" w:name="ksex991_1"/>
      <w:bookmarkEnd w:id="3"/>
      <w:bookmarkEnd w:id="4"/>
      <w:r>
        <w:rPr>
          <w:b/>
          <w:sz w:val="20"/>
        </w:rPr>
        <w:t>Exhibit 99.1</w:t>
      </w:r>
      <w:r>
        <w:br w:type="page"/>
      </w:r>
    </w:p>
    <w:p>
      <w:pPr>
        <w:pStyle w:val="TextBody"/>
        <w:bidi w:val="0"/>
        <w:spacing w:before="0" w:after="0"/>
        <w:jc w:val="right"/>
        <w:rPr/>
      </w:pPr>
      <w:r>
        <w:rPr/>
        <w:t> </w:t>
      </w:r>
    </w:p>
    <w:tbl>
      <w:tblPr>
        <w:tblW w:w="6220" w:type="dxa"/>
        <w:jc w:val="left"/>
        <w:tblInd w:w="0" w:type="dxa"/>
        <w:tblLayout w:type="fixed"/>
        <w:tblCellMar>
          <w:top w:w="0" w:type="dxa"/>
          <w:left w:w="0" w:type="dxa"/>
          <w:bottom w:w="28" w:type="dxa"/>
          <w:right w:w="0" w:type="dxa"/>
        </w:tblCellMar>
      </w:tblPr>
      <w:tblGrid>
        <w:gridCol w:w="4805"/>
        <w:gridCol w:w="1415"/>
      </w:tblGrid>
      <w:tr>
        <w:trPr/>
        <w:tc>
          <w:tcPr>
            <w:tcW w:w="4805" w:type="dxa"/>
            <w:tcBorders>
              <w:bottom w:val="single" w:sz="18" w:space="0" w:color="000000"/>
            </w:tcBorders>
            <w:vAlign w:val="center"/>
          </w:tcPr>
          <w:p>
            <w:pPr>
              <w:pStyle w:val="TableContents"/>
              <w:bidi w:val="0"/>
              <w:spacing w:before="0" w:after="120"/>
              <w:jc w:val="left"/>
              <w:rPr/>
            </w:pPr>
            <w:r>
              <w:rPr>
                <w:b/>
              </w:rPr>
              <w:t>HOVNANIAN ENTERPRISES, INC.</w:t>
            </w:r>
            <w:r>
              <w:rPr/>
              <w:t xml:space="preserve">              </w:t>
            </w:r>
          </w:p>
        </w:tc>
        <w:tc>
          <w:tcPr>
            <w:tcW w:w="1415" w:type="dxa"/>
            <w:tcBorders>
              <w:bottom w:val="single" w:sz="18" w:space="0" w:color="000000"/>
            </w:tcBorders>
            <w:vAlign w:val="center"/>
          </w:tcPr>
          <w:p>
            <w:pPr>
              <w:pStyle w:val="TableContents"/>
              <w:bidi w:val="0"/>
              <w:spacing w:before="0" w:after="120"/>
              <w:jc w:val="left"/>
              <w:rPr>
                <w:b/>
              </w:rPr>
            </w:pPr>
            <w:r>
              <w:rPr>
                <w:b/>
              </w:rPr>
              <w:t>News Release</w:t>
            </w:r>
          </w:p>
        </w:tc>
      </w:tr>
    </w:tbl>
    <w:p>
      <w:pPr>
        <w:pStyle w:val="TextBody"/>
        <w:bidi w:val="0"/>
        <w:spacing w:before="0" w:after="0"/>
        <w:jc w:val="left"/>
        <w:rPr/>
      </w:pPr>
      <w:r>
        <w:rPr/>
        <w:t> </w:t>
      </w:r>
    </w:p>
    <w:tbl>
      <w:tblPr>
        <w:tblW w:w="5415" w:type="dxa"/>
        <w:jc w:val="left"/>
        <w:tblInd w:w="0" w:type="dxa"/>
        <w:tblLayout w:type="fixed"/>
        <w:tblCellMar>
          <w:top w:w="28" w:type="dxa"/>
          <w:left w:w="0" w:type="dxa"/>
          <w:bottom w:w="0" w:type="dxa"/>
          <w:right w:w="0" w:type="dxa"/>
        </w:tblCellMar>
      </w:tblPr>
      <w:tblGrid>
        <w:gridCol w:w="755"/>
        <w:gridCol w:w="1880"/>
        <w:gridCol w:w="2780"/>
      </w:tblGrid>
      <w:tr>
        <w:trPr/>
        <w:tc>
          <w:tcPr>
            <w:tcW w:w="755" w:type="dxa"/>
            <w:tcBorders>
              <w:top w:val="single" w:sz="6" w:space="0" w:color="000000"/>
            </w:tcBorders>
            <w:vAlign w:val="center"/>
          </w:tcPr>
          <w:p>
            <w:pPr>
              <w:pStyle w:val="TableContents"/>
              <w:bidi w:val="0"/>
              <w:spacing w:before="0" w:after="0"/>
              <w:jc w:val="left"/>
              <w:rPr/>
            </w:pPr>
            <w:r>
              <w:rPr/>
              <w:t> </w:t>
            </w:r>
          </w:p>
        </w:tc>
        <w:tc>
          <w:tcPr>
            <w:tcW w:w="1880" w:type="dxa"/>
            <w:tcBorders>
              <w:top w:val="single" w:sz="6" w:space="0" w:color="000000"/>
            </w:tcBorders>
            <w:vAlign w:val="center"/>
          </w:tcPr>
          <w:p>
            <w:pPr>
              <w:pStyle w:val="TableContents"/>
              <w:bidi w:val="0"/>
              <w:spacing w:before="0" w:after="0"/>
              <w:jc w:val="left"/>
              <w:rPr/>
            </w:pPr>
            <w:r>
              <w:rPr/>
              <w:t> </w:t>
            </w:r>
          </w:p>
        </w:tc>
        <w:tc>
          <w:tcPr>
            <w:tcW w:w="2780" w:type="dxa"/>
            <w:tcBorders>
              <w:top w:val="single" w:sz="6" w:space="0" w:color="000000"/>
            </w:tcBorders>
            <w:vAlign w:val="center"/>
          </w:tcPr>
          <w:p>
            <w:pPr>
              <w:pStyle w:val="TableContents"/>
              <w:bidi w:val="0"/>
              <w:spacing w:before="0" w:after="0"/>
              <w:jc w:val="left"/>
              <w:rPr/>
            </w:pPr>
            <w:r>
              <w:rPr/>
              <w:t> </w:t>
            </w:r>
          </w:p>
        </w:tc>
      </w:tr>
      <w:tr>
        <w:trPr/>
        <w:tc>
          <w:tcPr>
            <w:tcW w:w="755" w:type="dxa"/>
            <w:tcBorders/>
            <w:tcMar>
              <w:top w:w="0" w:type="dxa"/>
            </w:tcMar>
            <w:vAlign w:val="center"/>
          </w:tcPr>
          <w:p>
            <w:pPr>
              <w:pStyle w:val="TableContents"/>
              <w:bidi w:val="0"/>
              <w:spacing w:before="0" w:after="0"/>
              <w:jc w:val="left"/>
              <w:rPr>
                <w:b/>
                <w:sz w:val="20"/>
              </w:rPr>
            </w:pPr>
            <w:r>
              <w:rPr>
                <w:b/>
                <w:sz w:val="20"/>
              </w:rPr>
              <w:t>Contact:</w:t>
            </w:r>
          </w:p>
        </w:tc>
        <w:tc>
          <w:tcPr>
            <w:tcW w:w="1880" w:type="dxa"/>
            <w:tcBorders/>
            <w:tcMar>
              <w:top w:w="0" w:type="dxa"/>
            </w:tcMar>
            <w:vAlign w:val="center"/>
          </w:tcPr>
          <w:p>
            <w:pPr>
              <w:pStyle w:val="TableContents"/>
              <w:bidi w:val="0"/>
              <w:spacing w:before="0" w:after="0"/>
              <w:jc w:val="left"/>
              <w:rPr>
                <w:sz w:val="20"/>
              </w:rPr>
            </w:pPr>
            <w:r>
              <w:rPr>
                <w:sz w:val="20"/>
              </w:rPr>
              <w:t>Brad G. O’Connor</w:t>
            </w:r>
          </w:p>
        </w:tc>
        <w:tc>
          <w:tcPr>
            <w:tcW w:w="2780" w:type="dxa"/>
            <w:tcBorders/>
            <w:tcMar>
              <w:top w:w="0" w:type="dxa"/>
            </w:tcMar>
            <w:vAlign w:val="center"/>
          </w:tcPr>
          <w:p>
            <w:pPr>
              <w:pStyle w:val="TableContents"/>
              <w:bidi w:val="0"/>
              <w:spacing w:before="0" w:after="0"/>
              <w:jc w:val="left"/>
              <w:rPr>
                <w:sz w:val="20"/>
              </w:rPr>
            </w:pPr>
            <w:r>
              <w:rPr>
                <w:sz w:val="20"/>
              </w:rPr>
              <w:t>Jeffrey T. O’Keefe</w:t>
            </w:r>
          </w:p>
        </w:tc>
      </w:tr>
      <w:tr>
        <w:trPr/>
        <w:tc>
          <w:tcPr>
            <w:tcW w:w="755" w:type="dxa"/>
            <w:tcBorders/>
            <w:tcMar>
              <w:top w:w="0" w:type="dxa"/>
            </w:tcMar>
            <w:vAlign w:val="center"/>
          </w:tcPr>
          <w:p>
            <w:pPr>
              <w:pStyle w:val="TableContents"/>
              <w:bidi w:val="0"/>
              <w:spacing w:before="0" w:after="0"/>
              <w:jc w:val="left"/>
              <w:rPr/>
            </w:pPr>
            <w:r>
              <w:rPr/>
              <w:t> </w:t>
            </w:r>
          </w:p>
        </w:tc>
        <w:tc>
          <w:tcPr>
            <w:tcW w:w="1880" w:type="dxa"/>
            <w:tcBorders/>
            <w:tcMar>
              <w:top w:w="0" w:type="dxa"/>
            </w:tcMar>
            <w:vAlign w:val="center"/>
          </w:tcPr>
          <w:p>
            <w:pPr>
              <w:pStyle w:val="TableContents"/>
              <w:bidi w:val="0"/>
              <w:spacing w:before="0" w:after="0"/>
              <w:jc w:val="left"/>
              <w:rPr>
                <w:sz w:val="20"/>
              </w:rPr>
            </w:pPr>
            <w:r>
              <w:rPr>
                <w:sz w:val="20"/>
              </w:rPr>
              <w:t>Chief Financial Officer</w:t>
            </w:r>
          </w:p>
        </w:tc>
        <w:tc>
          <w:tcPr>
            <w:tcW w:w="2780" w:type="dxa"/>
            <w:tcBorders/>
            <w:tcMar>
              <w:top w:w="0" w:type="dxa"/>
            </w:tcMar>
            <w:vAlign w:val="center"/>
          </w:tcPr>
          <w:p>
            <w:pPr>
              <w:pStyle w:val="TableContents"/>
              <w:bidi w:val="0"/>
              <w:spacing w:before="0" w:after="0"/>
              <w:jc w:val="left"/>
              <w:rPr>
                <w:sz w:val="20"/>
              </w:rPr>
            </w:pPr>
            <w:r>
              <w:rPr>
                <w:sz w:val="20"/>
              </w:rPr>
              <w:t>Vice President, Investor Relations</w:t>
            </w:r>
          </w:p>
        </w:tc>
      </w:tr>
      <w:tr>
        <w:trPr/>
        <w:tc>
          <w:tcPr>
            <w:tcW w:w="755" w:type="dxa"/>
            <w:tcBorders/>
            <w:tcMar>
              <w:top w:w="0" w:type="dxa"/>
            </w:tcMar>
            <w:vAlign w:val="center"/>
          </w:tcPr>
          <w:p>
            <w:pPr>
              <w:pStyle w:val="TableContents"/>
              <w:bidi w:val="0"/>
              <w:spacing w:before="0" w:after="0"/>
              <w:jc w:val="left"/>
              <w:rPr/>
            </w:pPr>
            <w:r>
              <w:rPr/>
              <w:t> </w:t>
            </w:r>
          </w:p>
        </w:tc>
        <w:tc>
          <w:tcPr>
            <w:tcW w:w="1880" w:type="dxa"/>
            <w:tcBorders/>
            <w:tcMar>
              <w:top w:w="0" w:type="dxa"/>
            </w:tcMar>
            <w:vAlign w:val="center"/>
          </w:tcPr>
          <w:p>
            <w:pPr>
              <w:pStyle w:val="TableContents"/>
              <w:bidi w:val="0"/>
              <w:spacing w:before="0" w:after="0"/>
              <w:jc w:val="left"/>
              <w:rPr>
                <w:sz w:val="20"/>
              </w:rPr>
            </w:pPr>
            <w:r>
              <w:rPr>
                <w:sz w:val="20"/>
              </w:rPr>
              <w:t>732-747-7800</w:t>
            </w:r>
          </w:p>
        </w:tc>
        <w:tc>
          <w:tcPr>
            <w:tcW w:w="2780" w:type="dxa"/>
            <w:tcBorders/>
            <w:tcMar>
              <w:top w:w="0" w:type="dxa"/>
            </w:tcMar>
            <w:vAlign w:val="center"/>
          </w:tcPr>
          <w:p>
            <w:pPr>
              <w:pStyle w:val="TableContents"/>
              <w:bidi w:val="0"/>
              <w:spacing w:before="0" w:after="0"/>
              <w:jc w:val="left"/>
              <w:rPr>
                <w:sz w:val="20"/>
              </w:rPr>
            </w:pPr>
            <w:r>
              <w:rPr>
                <w:sz w:val="20"/>
              </w:rPr>
              <w:t>732-747-7800</w:t>
            </w:r>
          </w:p>
        </w:tc>
      </w:tr>
      <w:tr>
        <w:trPr/>
        <w:tc>
          <w:tcPr>
            <w:tcW w:w="755"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1880"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2780" w:type="dxa"/>
            <w:tcBorders>
              <w:bottom w:val="single" w:sz="6" w:space="0" w:color="000000"/>
            </w:tcBorders>
            <w:tcMar>
              <w:top w:w="0" w:type="dxa"/>
              <w:bottom w:w="28" w:type="dxa"/>
            </w:tcMar>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sz w:val="20"/>
          <w:u w:val="single"/>
        </w:rPr>
      </w:pPr>
      <w:r>
        <w:rPr>
          <w:b/>
          <w:sz w:val="20"/>
          <w:u w:val="single"/>
        </w:rPr>
        <w:t>HOVNANIAN ENTERPRISES REPORTS FISCAL 2026 THIRD QUARTER RESULTS</w:t>
      </w:r>
    </w:p>
    <w:p>
      <w:pPr>
        <w:pStyle w:val="TextBody"/>
        <w:bidi w:val="0"/>
        <w:spacing w:before="0" w:after="0"/>
        <w:jc w:val="center"/>
        <w:rPr>
          <w:b/>
          <w:sz w:val="20"/>
        </w:rPr>
      </w:pPr>
      <w:r>
        <w:rPr>
          <w:b/>
          <w:sz w:val="20"/>
        </w:rPr>
        <w:t>Met or Exceeded Guidance on Nearly All Metrics Provided</w:t>
      </w:r>
    </w:p>
    <w:p>
      <w:pPr>
        <w:pStyle w:val="TextBody"/>
        <w:bidi w:val="0"/>
        <w:spacing w:before="0" w:after="0"/>
        <w:jc w:val="center"/>
        <w:rPr>
          <w:b/>
          <w:sz w:val="20"/>
        </w:rPr>
      </w:pPr>
      <w:r>
        <w:rPr>
          <w:b/>
          <w:sz w:val="20"/>
        </w:rPr>
        <w:t>Gross Margins Improved Sequentially for Second Quarter in a Row</w:t>
      </w:r>
    </w:p>
    <w:p>
      <w:pPr>
        <w:pStyle w:val="TextBody"/>
        <w:bidi w:val="0"/>
        <w:spacing w:before="0" w:after="0"/>
        <w:jc w:val="center"/>
        <w:rPr>
          <w:b/>
          <w:sz w:val="20"/>
        </w:rPr>
      </w:pPr>
      <w:r>
        <w:rPr>
          <w:b/>
          <w:sz w:val="20"/>
        </w:rPr>
        <w:t>The Dollar Value of Consolidated Domestic Backlog Increased 5% Year Over Year</w:t>
      </w:r>
    </w:p>
    <w:p>
      <w:pPr>
        <w:pStyle w:val="TextBody"/>
        <w:bidi w:val="0"/>
        <w:spacing w:before="0" w:after="0"/>
        <w:jc w:val="center"/>
        <w:rPr/>
      </w:pPr>
      <w:r>
        <w:rPr/>
        <w:t> </w:t>
      </w:r>
    </w:p>
    <w:p>
      <w:pPr>
        <w:pStyle w:val="TextBody"/>
        <w:bidi w:val="0"/>
        <w:spacing w:before="0" w:after="0"/>
        <w:jc w:val="both"/>
        <w:rPr>
          <w:sz w:val="20"/>
        </w:rPr>
      </w:pPr>
      <w:r>
        <w:rPr>
          <w:sz w:val="20"/>
        </w:rPr>
        <w:t>MATAWAN, NJ, August 20, 2026 – Hovnanian Enterprises, Inc. (NYSE: HOV), a leading national homebuilder, reported results for its fiscal third quarter and nine months ended July 31, 2026.</w:t>
      </w:r>
    </w:p>
    <w:p>
      <w:pPr>
        <w:pStyle w:val="TextBody"/>
        <w:bidi w:val="0"/>
        <w:spacing w:before="0" w:after="0"/>
        <w:jc w:val="both"/>
        <w:rPr/>
      </w:pPr>
      <w:r>
        <w:rPr/>
        <w:t> </w:t>
      </w:r>
    </w:p>
    <w:p>
      <w:pPr>
        <w:pStyle w:val="TextBody"/>
        <w:bidi w:val="0"/>
        <w:spacing w:before="0" w:after="0"/>
        <w:ind w:left="0" w:right="0" w:firstLine="14"/>
        <w:jc w:val="both"/>
        <w:rPr>
          <w:b/>
          <w:sz w:val="20"/>
          <w:u w:val="single"/>
        </w:rPr>
      </w:pPr>
      <w:r>
        <w:rPr>
          <w:b/>
          <w:sz w:val="20"/>
          <w:u w:val="single"/>
        </w:rPr>
        <w:t>RESULTS FOR THE THREE-MONTH AND NINE-MONTH PERIODS ENDED JULY 31, 2026:</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Total revenues were $705.7 million in the third quarter of fiscal 2026, which was within the guidance range we provided, compared with $800.6 million in the same quarter of the prior year. For the nine months ended July 31, 2026, total revenues were $2.01 billion compared with $2.16 billion in the first nine months of fiscal 2025.</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Domestic unconsolidated joint ventures sale of homes revenues for the third quarter of fiscal 2026 was $155.6 million (225 homes) compared with $165.0 million (245 homes) for the three months ended July 31, 2025. For the first nine months of fiscal 2026, domestic unconsolidated joint ventures sale of homes revenues was $353.9 million (524 homes) compared with $441.2 million (649 homes) in the nine months ended July 31, 2025.</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Homebuilding gross margin percentage, after cost of sales interest expense and land charges, was 11.8% for the three months ended July 31, 2026, compared with 11.7% during the third quarter a year ago. In the first nine months of fiscal 2026, homebuilding gross margin percentage, after cost of sales interest expense and land charges, was 10.8% compared with 13.5% in the same period of the prior fiscal year.</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Homebuilding gross margin percentage, before cost of sales interest expense and land charges, was 14.6% during the fiscal 2026 third quarter, which was within the guidance range we provided, compared with 17.3% in last year’s third quarter. For the second quarter in a row, gross margins, on both a GAAP and non-GAAP basis, improved sequentially in the third quarter as margins rebounded from the first</w:t>
        <w:noBreakHyphen/>
        <w:t>quarter trough. For the nine months ended July 31, 2026, homebuilding gross margin percentage, before cost of sales interest expense and land charges, was 14.2% compared with 17.6% in the first nine months of the previous fiscal year.</w:t>
      </w:r>
    </w:p>
    <w:p>
      <w:pPr>
        <w:pStyle w:val="TextBody"/>
        <w:bidi w:val="0"/>
        <w:spacing w:before="0" w:after="0"/>
        <w:ind w:left="720" w:right="7" w:hanging="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Total SG&amp;A was $86.9 million, or 12.3% of total revenues, in the third quarter of fiscal 2026, which was better than the guidance range we provided, compared with $90.8 million, or 11.3% of total revenues, in the third quarter of fiscal 2025. Total SG&amp;A was $254.9 million, or 12.7% of total revenues, in the first nine months of fiscal 2026 compared with $258.3 million, or 12.0% of total revenues, in the first nine months of the previous fiscal year.</w:t>
      </w:r>
    </w:p>
    <w:p>
      <w:pPr>
        <w:pStyle w:val="TextBody"/>
        <w:bidi w:val="0"/>
        <w:spacing w:before="0" w:after="0"/>
        <w:ind w:left="720" w:right="0"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Total interest expense was $30.5 million, or 4.3% of total revenues, for the third quarter of fiscal 2026, compared with $34.0 million, or 4.2% of total revenues, for the third quarter of fiscal 2025. For the nine months ended July 31, 2026, total interest expense was $87.7 million, or 4.4% of total revenues, compared with $92.0 million, or 4.3% of total revenues, in the first nine months of the previous fiscal year.</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Loss before income taxes for the third quarter of fiscal 2026 was $2.8 million compared with income of $23.8 million in the third quarter of the prior fiscal year. For the first nine months of fiscal 2026, income before income taxes was $26.3 million compared with $90.2 million during the first nine months of the prior fiscal year.</w:t>
      </w:r>
    </w:p>
    <w:p>
      <w:pPr>
        <w:pStyle w:val="TextBody"/>
        <w:bidi w:val="0"/>
        <w:spacing w:before="0" w:after="0"/>
        <w:ind w:left="720" w:right="0"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Loss before income taxes, excluding land-related charges, was $2.3 million in the third quarter of fiscal 2026, compared with income before these items of $39.8 million in the third quarter of fiscal 2025. For the nine months ended July 31, 2026, income before income taxes excluding land-related charges and gain on extinguishment of debt, net was $37.9 million compared with income before these items of $109.9 million in the same period of fiscal 2025.</w:t>
      </w:r>
    </w:p>
    <w:p>
      <w:pPr>
        <w:pStyle w:val="TextBody"/>
        <w:bidi w:val="0"/>
        <w:spacing w:before="0" w:after="0"/>
        <w:ind w:left="720" w:right="0" w:hanging="0"/>
        <w:jc w:val="left"/>
        <w:rPr/>
      </w:pPr>
      <w:r>
        <w:rPr/>
        <w:t> </w:t>
      </w:r>
    </w:p>
    <w:p>
      <w:pPr>
        <w:pStyle w:val="TextBody"/>
        <w:bidi w:val="0"/>
        <w:spacing w:before="0" w:after="0"/>
        <w:ind w:left="720" w:right="7" w:hanging="360"/>
        <w:jc w:val="both"/>
        <w:rPr/>
      </w:pPr>
      <w:r>
        <w:rPr/>
        <w:t></w:t>
      </w:r>
      <w:r>
        <w:rPr>
          <w:caps w:val="false"/>
          <w:smallCaps w:val="false"/>
        </w:rPr>
        <w:t xml:space="preserve">         </w:t>
      </w:r>
      <w:r>
        <w:rPr>
          <w:sz w:val="20"/>
        </w:rPr>
        <w:t>Net loss available to common stockholders was $4.5 million, or $0.70 per diluted common share, for the three months ended July 31, 2026, compared with net income available to common stockholders of $13.9 million, or $1.99 per diluted common share, in the same period of the previous fiscal year. For the first nine months of fiscal 2026, net income available to common stockholders was $10.8 million, or $1.55 per diluted common share, compared with net income available to common stockholders of $56.5 million, or $7.94 per diluted common share, during the first nine months of fiscal 2025.</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TextBody"/>
        <w:bidi w:val="0"/>
        <w:spacing w:before="0" w:after="0"/>
        <w:ind w:left="720" w:right="7" w:hanging="360"/>
        <w:jc w:val="both"/>
        <w:rPr/>
      </w:pPr>
      <w:r>
        <w:rPr/>
        <w:t></w:t>
      </w:r>
      <w:r>
        <w:rPr>
          <w:caps w:val="false"/>
          <w:smallCaps w:val="false"/>
        </w:rPr>
        <w:t xml:space="preserve">         </w:t>
      </w:r>
      <w:r>
        <w:rPr>
          <w:sz w:val="20"/>
        </w:rPr>
        <w:t>EBITDA was $31.4 million for the third quarter of fiscal 2026 compared with $61.0 million for the third quarter of the prior year. For the first nine months of fiscal 2026, EBITDA was $124.5 million compared with $190.7 million in the same period of the prior year.</w:t>
      </w:r>
    </w:p>
    <w:p>
      <w:pPr>
        <w:pStyle w:val="TextBody"/>
        <w:bidi w:val="0"/>
        <w:spacing w:before="0" w:after="0"/>
        <w:ind w:left="720" w:right="0" w:hanging="0"/>
        <w:jc w:val="left"/>
        <w:rPr/>
      </w:pPr>
      <w:r>
        <w:rPr/>
        <w:t> </w:t>
      </w:r>
    </w:p>
    <w:p>
      <w:pPr>
        <w:pStyle w:val="TextBody"/>
        <w:bidi w:val="0"/>
        <w:spacing w:before="0" w:after="0"/>
        <w:ind w:left="720" w:right="7" w:hanging="360"/>
        <w:jc w:val="both"/>
        <w:rPr/>
      </w:pPr>
      <w:r>
        <w:rPr/>
        <w:t></w:t>
      </w:r>
      <w:r>
        <w:rPr>
          <w:caps w:val="false"/>
          <w:smallCaps w:val="false"/>
        </w:rPr>
        <w:t xml:space="preserve">         </w:t>
      </w:r>
      <w:r>
        <w:rPr>
          <w:sz w:val="20"/>
        </w:rPr>
        <w:t>Adjusted EBITDA was $31.9 million for the quarter ended July 31, 2026, which was within the guidance range we provided, compared with $77.1 million in the third quarter of the prior fiscal year. For the first nine months of fiscal 2026, adjusted EBITDA was $136.1 million compared with $210.4 million in the same period of the prior year.</w:t>
      </w:r>
    </w:p>
    <w:p>
      <w:pPr>
        <w:pStyle w:val="TextBody"/>
        <w:bidi w:val="0"/>
        <w:spacing w:before="0" w:after="0"/>
        <w:ind w:left="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Consolidated domestic contracts</w:t>
      </w:r>
      <w:r>
        <w:rPr>
          <w:sz w:val="13"/>
        </w:rPr>
        <w:t>(1)</w:t>
      </w:r>
      <w:r>
        <w:rPr>
          <w:sz w:val="20"/>
        </w:rPr>
        <w:t xml:space="preserve"> in the third quarter of fiscal 2026 decreased 4.6% to 1,155 homes ($622.6 million) compared with 1,211 homes ($619.6 million) in the same quarter last year. Domestic contracts, including domestic unconsolidated joint ventures, for the three months ended July 31, 2026, decreased 4.0% to 1,359 homes ($760.2 million) compared with 1,416 homes ($749.0 million) in the third quarter of fiscal 2025.</w:t>
      </w:r>
    </w:p>
    <w:p>
      <w:pPr>
        <w:pStyle w:val="TextBody"/>
        <w:bidi w:val="0"/>
        <w:spacing w:before="0" w:after="0"/>
        <w:ind w:left="720" w:right="0" w:hanging="0"/>
        <w:jc w:val="left"/>
        <w:rPr/>
      </w:pPr>
      <w:r>
        <w:rPr/>
        <w:t> </w:t>
      </w:r>
    </w:p>
    <w:p>
      <w:pPr>
        <w:pStyle w:val="TextBody"/>
        <w:bidi w:val="0"/>
        <w:spacing w:before="0" w:after="0"/>
        <w:ind w:left="720" w:right="7" w:hanging="360"/>
        <w:jc w:val="both"/>
        <w:rPr/>
      </w:pPr>
      <w:r>
        <w:rPr/>
        <w:t></w:t>
      </w:r>
      <w:r>
        <w:rPr>
          <w:caps w:val="false"/>
          <w:smallCaps w:val="false"/>
        </w:rPr>
        <w:t xml:space="preserve">         </w:t>
      </w:r>
      <w:r>
        <w:rPr>
          <w:sz w:val="20"/>
        </w:rPr>
        <w:t>As of July 31, 2026, the number of consolidated domestic communities was 123, compared with 124 as of July 31, 2025. Including domestic unconsolidated joint ventures, domestic community count was 147 as of July 31, 2026 compared with 146 as of July 31, 2025.</w:t>
      </w:r>
    </w:p>
    <w:p>
      <w:pPr>
        <w:pStyle w:val="TextBody"/>
        <w:bidi w:val="0"/>
        <w:spacing w:before="0" w:after="0"/>
        <w:jc w:val="left"/>
        <w:rPr/>
      </w:pPr>
      <w:r>
        <w:rPr/>
        <w:t> </w:t>
      </w:r>
    </w:p>
    <w:p>
      <w:pPr>
        <w:pStyle w:val="TextBody"/>
        <w:bidi w:val="0"/>
        <w:spacing w:before="0" w:after="0"/>
        <w:ind w:left="720" w:right="0" w:hanging="360"/>
        <w:jc w:val="both"/>
        <w:rPr/>
      </w:pPr>
      <w:r>
        <w:rPr/>
        <w:t></w:t>
      </w:r>
      <w:r>
        <w:rPr>
          <w:caps w:val="false"/>
          <w:smallCaps w:val="false"/>
        </w:rPr>
        <w:t xml:space="preserve">         </w:t>
      </w:r>
      <w:r>
        <w:rPr>
          <w:sz w:val="20"/>
        </w:rPr>
        <w:t>Consolidated domestic contracts per community decreased 4.1% year-over-year to 9.4 in the third quarter of fiscal 2026, compared to 9.8 in the same quarter of fiscal 2025. When including domestic unconsolidated joint ventures, domestic contracts per community decreased 5.2% to 9.2 for the three months ended July 31, 2026, compared with 9.7 in the prior-year period.</w:t>
      </w:r>
    </w:p>
    <w:p>
      <w:pPr>
        <w:pStyle w:val="TextBody"/>
        <w:bidi w:val="0"/>
        <w:spacing w:before="0" w:after="0"/>
        <w:ind w:left="696"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The dollar value of consolidated domestic contract backlog, as of July 31, 2026, increased 5.1% to $881.9 million compared with $838.8 million as of July 31, 2025. The dollar value of domestic contract backlog, including domestic unconsolidated joint ventures, as of July 31, 2026, increased 4.8% to $1.16 billion compared with $1.10 billion as of July 31, 2025.</w:t>
      </w:r>
    </w:p>
    <w:p>
      <w:pPr>
        <w:pStyle w:val="TextBody"/>
        <w:bidi w:val="0"/>
        <w:spacing w:before="0" w:after="0"/>
        <w:ind w:left="720" w:right="7" w:hanging="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The gross domestic contract cancellation rate for consolidated contracts was unchanged year over year at 19% for the quarter ended July 31, 2026. The gross domestic contract cancellation rate for contracts, including domestic unconsolidated joint ventures, was 18% for the third quarter of fiscal 2026 compared with 19% in the third quarter of the prior year.</w:t>
      </w:r>
    </w:p>
    <w:p>
      <w:pPr>
        <w:pStyle w:val="TextBody"/>
        <w:bidi w:val="0"/>
        <w:spacing w:before="0" w:after="0"/>
        <w:ind w:left="720" w:right="0" w:hanging="0"/>
        <w:jc w:val="left"/>
        <w:rPr/>
      </w:pPr>
      <w:r>
        <w:rPr/>
        <w:t> </w:t>
      </w:r>
    </w:p>
    <w:p>
      <w:pPr>
        <w:pStyle w:val="TextBody"/>
        <w:bidi w:val="0"/>
        <w:spacing w:before="0" w:after="0"/>
        <w:ind w:left="720" w:right="0" w:hanging="360"/>
        <w:jc w:val="both"/>
        <w:rPr/>
      </w:pPr>
      <w:r>
        <w:rPr/>
        <w:t></w:t>
      </w:r>
      <w:r>
        <w:rPr>
          <w:caps w:val="false"/>
          <w:smallCaps w:val="false"/>
        </w:rPr>
        <w:t xml:space="preserve">         </w:t>
      </w:r>
      <w:r>
        <w:rPr>
          <w:sz w:val="20"/>
        </w:rPr>
        <w:t>For the trailing twelve-month period our net income return on inventory was 1.0% and our adjusted earnings before interest and income taxes return on investment (Adjusted EBIT ROI) was 13.1%. For the most recently reported trailing twelve-month periods, we believe we had the second highest Adjusted EBIT ROI compared to eight of our publicly traded midsized homebuilder peers.</w:t>
      </w:r>
    </w:p>
    <w:p>
      <w:pPr>
        <w:pStyle w:val="TextBody"/>
        <w:bidi w:val="0"/>
        <w:spacing w:before="0" w:after="0"/>
        <w:ind w:left="720" w:right="0" w:hanging="0"/>
        <w:jc w:val="left"/>
        <w:rPr/>
      </w:pPr>
      <w:r>
        <w:rPr/>
        <w:t> </w:t>
      </w:r>
    </w:p>
    <w:p>
      <w:pPr>
        <w:pStyle w:val="TextBody"/>
        <w:bidi w:val="0"/>
        <w:spacing w:before="0" w:after="0"/>
        <w:jc w:val="both"/>
        <w:rPr>
          <w:sz w:val="20"/>
        </w:rPr>
      </w:pPr>
      <w:r>
        <w:rPr>
          <w:sz w:val="13"/>
        </w:rPr>
        <w:t>(1)</w:t>
      </w:r>
      <w:r>
        <w:rPr>
          <w:sz w:val="20"/>
        </w:rPr>
        <w:t>When we refer to “domestic” deliveries, contracts, communities or backlog, we are excluding results from our HOV Global (Kingdom of Saudi Arabia) operations.</w:t>
      </w:r>
    </w:p>
    <w:p>
      <w:pPr>
        <w:pStyle w:val="TextBody"/>
        <w:bidi w:val="0"/>
        <w:spacing w:before="0" w:after="0"/>
        <w:jc w:val="both"/>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TextBody"/>
        <w:bidi w:val="0"/>
        <w:spacing w:before="0" w:after="0"/>
        <w:ind w:left="0" w:right="7" w:hanging="0"/>
        <w:jc w:val="both"/>
        <w:rPr>
          <w:b/>
          <w:sz w:val="20"/>
          <w:u w:val="single"/>
        </w:rPr>
      </w:pPr>
      <w:r>
        <w:rPr>
          <w:b/>
          <w:sz w:val="20"/>
          <w:u w:val="single"/>
        </w:rPr>
        <w:t>LIQUIDITY AND INVENTORY AS OF JULY 31, 2026:</w:t>
      </w:r>
    </w:p>
    <w:p>
      <w:pPr>
        <w:pStyle w:val="TextBody"/>
        <w:bidi w:val="0"/>
        <w:spacing w:before="0" w:after="0"/>
        <w:ind w:left="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During the third quarter of fiscal 2026, domestic land and land development spending was $231.9 million compared with $192.6 million in the same quarter one year ago. For the first nine months of fiscal 2026, domestic land and land development spending was $644.9 million compared with $660.0 million in the same period one year ago.</w:t>
      </w:r>
    </w:p>
    <w:p>
      <w:pPr>
        <w:pStyle w:val="TextBody"/>
        <w:bidi w:val="0"/>
        <w:spacing w:before="0" w:after="0"/>
        <w:ind w:left="720"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Total liquidity as of July 31, 2026, was $379.8 million, which was significantly above our target liquidity range of $170 million to $245 million.</w:t>
      </w:r>
    </w:p>
    <w:p>
      <w:pPr>
        <w:pStyle w:val="TextBody"/>
        <w:bidi w:val="0"/>
        <w:spacing w:before="0" w:after="0"/>
        <w:ind w:left="720" w:right="0" w:hanging="0"/>
        <w:jc w:val="left"/>
        <w:rPr/>
      </w:pPr>
      <w:r>
        <w:rPr/>
        <w:t> </w:t>
      </w:r>
    </w:p>
    <w:p>
      <w:pPr>
        <w:pStyle w:val="TextBody"/>
        <w:bidi w:val="0"/>
        <w:spacing w:before="0" w:after="0"/>
        <w:ind w:left="720" w:right="7" w:hanging="360"/>
        <w:jc w:val="both"/>
        <w:rPr/>
      </w:pPr>
      <w:r>
        <w:rPr/>
        <w:t></w:t>
      </w:r>
      <w:r>
        <w:rPr>
          <w:caps w:val="false"/>
          <w:smallCaps w:val="false"/>
        </w:rPr>
        <w:t xml:space="preserve">         </w:t>
      </w:r>
      <w:r>
        <w:rPr>
          <w:sz w:val="20"/>
        </w:rPr>
        <w:t>In the third quarter of fiscal 2026, approximately 3,000 lots were put under option or acquired in 38 domestic consolidated communities.</w:t>
      </w:r>
    </w:p>
    <w:p>
      <w:pPr>
        <w:pStyle w:val="TextBody"/>
        <w:bidi w:val="0"/>
        <w:spacing w:before="0" w:after="0"/>
        <w:ind w:left="705" w:right="7" w:hanging="0"/>
        <w:jc w:val="both"/>
        <w:rPr/>
      </w:pPr>
      <w:r>
        <w:rPr/>
        <w:t> </w:t>
      </w:r>
    </w:p>
    <w:p>
      <w:pPr>
        <w:pStyle w:val="TextBody"/>
        <w:bidi w:val="0"/>
        <w:spacing w:before="0" w:after="0"/>
        <w:ind w:left="720" w:right="7" w:hanging="360"/>
        <w:jc w:val="both"/>
        <w:rPr/>
      </w:pPr>
      <w:r>
        <w:rPr/>
        <w:t></w:t>
      </w:r>
      <w:r>
        <w:rPr>
          <w:caps w:val="false"/>
          <w:smallCaps w:val="false"/>
        </w:rPr>
        <w:t xml:space="preserve">         </w:t>
      </w:r>
      <w:r>
        <w:rPr>
          <w:sz w:val="20"/>
        </w:rPr>
        <w:t>As of July 31, 2026, our total domestic controlled consolidated lots were 34,373 compared with 40,246 lots at the end of the previous fiscal year’s third quarter. Continuing our land-light strategic focus, 87% of our lots were optioned at the end of the third quarter of fiscal 2026, which is the highest percentage of option lots in our Company’s history. Based on trailing twelve-month deliveries, the current controlled lots position equaled 6.8 years’ supply.</w:t>
      </w:r>
    </w:p>
    <w:p>
      <w:pPr>
        <w:pStyle w:val="TextBody"/>
        <w:bidi w:val="0"/>
        <w:spacing w:before="0" w:after="0"/>
        <w:ind w:left="720" w:right="0" w:hanging="0"/>
        <w:jc w:val="left"/>
        <w:rPr/>
      </w:pPr>
      <w:r>
        <w:rPr/>
        <w:t> </w:t>
      </w:r>
    </w:p>
    <w:p>
      <w:pPr>
        <w:pStyle w:val="TextBody"/>
        <w:bidi w:val="0"/>
        <w:spacing w:before="0" w:after="0"/>
        <w:ind w:left="720" w:right="7" w:hanging="360"/>
        <w:jc w:val="both"/>
        <w:rPr/>
      </w:pPr>
      <w:r>
        <w:rPr/>
        <w:t></w:t>
      </w:r>
      <w:r>
        <w:rPr>
          <w:caps w:val="false"/>
          <w:smallCaps w:val="false"/>
        </w:rPr>
        <w:t xml:space="preserve">         </w:t>
      </w:r>
      <w:r>
        <w:rPr>
          <w:sz w:val="20"/>
        </w:rPr>
        <w:t>Total domestic QMIs as of July 31, 2026, were 820, a decline of 19.3% compared with 1,016 as of July 31, 2025, illustrating our efforts to match our starts with our sales pace. This equates to 6.7 QMIs per community as of July 31, 2026. Total domestic finished QMIs as of July 31, 2026, were 194, a decline of 39.9% compared with 323 as of July 31, 2025.</w:t>
      </w:r>
    </w:p>
    <w:p>
      <w:pPr>
        <w:pStyle w:val="TextBody"/>
        <w:bidi w:val="0"/>
        <w:spacing w:before="0" w:after="0"/>
        <w:jc w:val="both"/>
        <w:rPr/>
      </w:pPr>
      <w:r>
        <w:rPr/>
        <w:t> </w:t>
      </w:r>
    </w:p>
    <w:p>
      <w:pPr>
        <w:pStyle w:val="TextBody"/>
        <w:bidi w:val="0"/>
        <w:spacing w:before="0" w:after="0"/>
        <w:jc w:val="both"/>
        <w:rPr>
          <w:sz w:val="20"/>
        </w:rPr>
      </w:pPr>
      <w:r>
        <w:rPr>
          <w:b/>
          <w:sz w:val="20"/>
          <w:u w:val="single"/>
        </w:rPr>
        <w:t>FINANCIAL GUIDANCE</w:t>
      </w:r>
      <w:r>
        <w:rPr>
          <w:b/>
          <w:sz w:val="13"/>
          <w:u w:val="single"/>
        </w:rPr>
        <w:t>(2)</w:t>
      </w:r>
      <w:r>
        <w:rPr>
          <w:b/>
          <w:sz w:val="20"/>
          <w:u w:val="single"/>
        </w:rPr>
        <w:t>:</w:t>
      </w:r>
    </w:p>
    <w:p>
      <w:pPr>
        <w:pStyle w:val="TextBody"/>
        <w:bidi w:val="0"/>
        <w:spacing w:before="0" w:after="0"/>
        <w:jc w:val="both"/>
        <w:rPr/>
      </w:pPr>
      <w:r>
        <w:rPr/>
        <w:t> </w:t>
      </w:r>
    </w:p>
    <w:p>
      <w:pPr>
        <w:pStyle w:val="TextBody"/>
        <w:bidi w:val="0"/>
        <w:spacing w:before="0" w:after="0"/>
        <w:jc w:val="both"/>
        <w:rPr>
          <w:sz w:val="20"/>
        </w:rPr>
      </w:pPr>
      <w:r>
        <w:rPr>
          <w:sz w:val="20"/>
        </w:rPr>
        <w:t>The Company is providing guidance for total revenues, adjusted homebuilding gross margin, adjusted income before income taxes and adjusted EBITDA for the fourth quarter of fiscal 2026. Financial guidance below assumes no adverse changes in current market conditions, including deterioration in our supply chain or material increases in mortgage rates, inflation or cancellation rates, and excludes further impact to SG&amp;A expenses from phantom stock expense related solely to stock price movements from the closing price of $123.90 on July 31, 2026.</w:t>
      </w:r>
    </w:p>
    <w:p>
      <w:pPr>
        <w:pStyle w:val="TextBody"/>
        <w:bidi w:val="0"/>
        <w:spacing w:before="0" w:after="0"/>
        <w:jc w:val="both"/>
        <w:rPr/>
      </w:pPr>
      <w:r>
        <w:rPr/>
        <w:t> </w:t>
      </w:r>
    </w:p>
    <w:p>
      <w:pPr>
        <w:pStyle w:val="TextBody"/>
        <w:bidi w:val="0"/>
        <w:spacing w:before="0" w:after="0"/>
        <w:jc w:val="both"/>
        <w:rPr>
          <w:sz w:val="20"/>
        </w:rPr>
      </w:pPr>
      <w:r>
        <w:rPr>
          <w:sz w:val="20"/>
        </w:rPr>
        <w:t>For the fourth quarter of fiscal 2026, total revenues are expected to be between $800 million and $900 million, adjusted homebuilding gross margin is expected to be between 15.0% and 16.5%, adjusted income before income taxes is expected to be between $15 million and $30 million and adjusted EBITDA is expected to be between $50 million and $65 million.</w:t>
      </w:r>
    </w:p>
    <w:p>
      <w:pPr>
        <w:pStyle w:val="TextBody"/>
        <w:bidi w:val="0"/>
        <w:spacing w:before="0" w:after="0"/>
        <w:jc w:val="both"/>
        <w:rPr/>
      </w:pPr>
      <w:r>
        <w:rPr/>
        <w:t> </w:t>
      </w:r>
    </w:p>
    <w:p>
      <w:pPr>
        <w:pStyle w:val="TextBody"/>
        <w:bidi w:val="0"/>
        <w:spacing w:before="0" w:after="0"/>
        <w:jc w:val="both"/>
        <w:rPr>
          <w:sz w:val="20"/>
        </w:rPr>
      </w:pPr>
      <w:r>
        <w:rPr>
          <w:sz w:val="13"/>
        </w:rPr>
        <w:t>(2)</w:t>
      </w:r>
      <w:r>
        <w:rPr>
          <w:sz w:val="20"/>
        </w:rPr>
        <w:t>The Company cannot provide a reconciliation between its non-GAAP projections and the most directly comparable GAAP measures without unreasonable efforts because it is unable to predict with reasonable certainty the ultimate outcome of certain significant items required for the reconciliation. These items include, but are not limited to, land-related charges, inventory impairments and land option write-offs and loss (gain) on extinguishment of debt, net. These items are uncertain, depend on various factors and could have a material impact on GAAP reported results.</w:t>
      </w:r>
    </w:p>
    <w:p>
      <w:pPr>
        <w:pStyle w:val="TextBody"/>
        <w:bidi w:val="0"/>
        <w:spacing w:before="0" w:after="0"/>
        <w:jc w:val="left"/>
        <w:rPr/>
      </w:pPr>
      <w:r>
        <w:rPr/>
        <w:t> </w:t>
      </w:r>
    </w:p>
    <w:p>
      <w:pPr>
        <w:pStyle w:val="TextBody"/>
        <w:bidi w:val="0"/>
        <w:spacing w:before="0" w:after="0"/>
        <w:jc w:val="both"/>
        <w:rPr>
          <w:b/>
          <w:sz w:val="20"/>
          <w:u w:val="single"/>
        </w:rPr>
      </w:pPr>
      <w:r>
        <w:rPr>
          <w:b/>
          <w:sz w:val="20"/>
          <w:u w:val="single"/>
        </w:rPr>
        <w:t>COMMENTS FROM MANAGEMENT:</w:t>
      </w:r>
    </w:p>
    <w:p>
      <w:pPr>
        <w:pStyle w:val="TextBody"/>
        <w:bidi w:val="0"/>
        <w:spacing w:before="0" w:after="0"/>
        <w:jc w:val="both"/>
        <w:rPr/>
      </w:pPr>
      <w:r>
        <w:rPr/>
        <w:t> </w:t>
      </w:r>
    </w:p>
    <w:p>
      <w:pPr>
        <w:pStyle w:val="TextBody"/>
        <w:bidi w:val="0"/>
        <w:spacing w:before="0" w:after="0"/>
        <w:jc w:val="both"/>
        <w:rPr/>
      </w:pPr>
      <w:r>
        <w:rPr/>
        <w:t>“</w:t>
      </w:r>
      <w:r>
        <w:rPr>
          <w:sz w:val="20"/>
        </w:rPr>
        <w:t>During the third quarter, we delivered results that were generally in line with the guidance we provided, including revenues, gross margin, SG&amp;A, income from unconsolidated joint ventures and Adjusted EBITDA,” said Ara K. Hovnanian, Chairman of the Board and Chief Executive Officer. “Adjusted income before income taxes was slightly below our guidance range to a loss, primarily because income from unconsolidated joint ventures came in at the lower end of our guidance range. While we are disappointed to have fallen short of our profitability target, this marks the first time in more than five years that we reported adjusted pretax income below our guided range, and we remain focused on improving execution while continuing to navigate a housing market challenged by affordability concerns, elevated mortgage rates and inconsistent consumer confidence due to geopolitical and economic uncertainty.”</w:t>
      </w:r>
    </w:p>
    <w:p>
      <w:pPr>
        <w:pStyle w:val="TextBody"/>
        <w:bidi w:val="0"/>
        <w:spacing w:before="0" w:after="0"/>
        <w:jc w:val="both"/>
        <w:rPr/>
      </w:pPr>
      <w:r>
        <w:rPr/>
        <w:t> </w:t>
      </w:r>
    </w:p>
    <w:p>
      <w:pPr>
        <w:pStyle w:val="TextBody"/>
        <w:bidi w:val="0"/>
        <w:spacing w:before="0" w:after="0"/>
        <w:jc w:val="both"/>
        <w:rPr/>
      </w:pPr>
      <w:r>
        <w:rPr/>
        <w:t>“</w:t>
      </w:r>
      <w:r>
        <w:rPr>
          <w:sz w:val="20"/>
        </w:rPr>
        <w:t>As we look ahead, we believe the Company is well positioned for future success. Our inventory position is healthier, our land portfolio is increasingly aligned with today’s market conditions, and our balance sheet remains strong. At the same time, a growing percentage of our deliveries are expected to come from newer communities acquired and underwritten under current market assumptions, which we believe will support improved margins and returns over time. Our disciplined land-light strategy and focus on maintaining an appropriate sales pace should support continued capital efficiency and position us to create meaningful long-term value for our shareholders,” Mr. Hovnanian concluded.</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before="0" w:after="0"/>
        <w:jc w:val="both"/>
        <w:rPr>
          <w:b/>
          <w:sz w:val="20"/>
          <w:u w:val="single"/>
        </w:rPr>
      </w:pPr>
      <w:r>
        <w:rPr>
          <w:b/>
          <w:sz w:val="20"/>
          <w:u w:val="single"/>
        </w:rPr>
        <w:t>WEBCAST INFORMATION:</w:t>
      </w:r>
    </w:p>
    <w:p>
      <w:pPr>
        <w:pStyle w:val="TextBody"/>
        <w:bidi w:val="0"/>
        <w:spacing w:before="0" w:after="0"/>
        <w:jc w:val="both"/>
        <w:rPr/>
      </w:pPr>
      <w:r>
        <w:rPr/>
        <w:t> </w:t>
      </w:r>
    </w:p>
    <w:p>
      <w:pPr>
        <w:pStyle w:val="TextBody"/>
        <w:bidi w:val="0"/>
        <w:spacing w:before="0" w:after="0"/>
        <w:jc w:val="both"/>
        <w:rPr>
          <w:sz w:val="20"/>
        </w:rPr>
      </w:pPr>
      <w:r>
        <w:rPr>
          <w:sz w:val="20"/>
        </w:rPr>
        <w:t xml:space="preserve">Hovnanian Enterprises will webcast its fiscal 2026 third quarter results conference call at 11:00 a.m. E.T. on Thursday, August 20, 2026. The webcast can be accessed live through the “Investor Relations” section of Hovnanian Enterprises’ website at </w:t>
      </w:r>
      <w:r>
        <w:rPr>
          <w:sz w:val="20"/>
          <w:u w:val="single"/>
        </w:rPr>
        <w:t>http://www.khov.com</w:t>
      </w:r>
      <w:r>
        <w:rPr>
          <w:sz w:val="20"/>
        </w:rPr>
        <w:t xml:space="preserve">. For those who are not available to listen to the live webcast, an archive of the broadcast will be available under the “Past Events” section of the Investor Relations page on the Hovnanian website at </w:t>
      </w:r>
      <w:r>
        <w:rPr>
          <w:sz w:val="20"/>
          <w:u w:val="single"/>
        </w:rPr>
        <w:t>http://www.khov.com</w:t>
      </w:r>
      <w:r>
        <w:rPr>
          <w:sz w:val="20"/>
        </w:rPr>
        <w:t>. The archive will be available for 12 months.</w:t>
      </w:r>
    </w:p>
    <w:p>
      <w:pPr>
        <w:pStyle w:val="TextBody"/>
        <w:bidi w:val="0"/>
        <w:spacing w:before="0" w:after="0"/>
        <w:jc w:val="both"/>
        <w:rPr/>
      </w:pPr>
      <w:r>
        <w:rPr/>
        <w:t> </w:t>
      </w:r>
    </w:p>
    <w:p>
      <w:pPr>
        <w:pStyle w:val="TextBody"/>
        <w:bidi w:val="0"/>
        <w:spacing w:before="0" w:after="0"/>
        <w:ind w:left="0" w:right="144" w:hanging="0"/>
        <w:jc w:val="both"/>
        <w:rPr>
          <w:b/>
          <w:sz w:val="20"/>
          <w:u w:val="single"/>
        </w:rPr>
      </w:pPr>
      <w:r>
        <w:rPr>
          <w:b/>
          <w:sz w:val="20"/>
          <w:u w:val="single"/>
        </w:rPr>
        <w:t>ABOUT HOVNANIAN ENTERPRISES, INC.:</w:t>
      </w:r>
    </w:p>
    <w:p>
      <w:pPr>
        <w:pStyle w:val="TextBody"/>
        <w:bidi w:val="0"/>
        <w:spacing w:before="0" w:after="0"/>
        <w:ind w:left="0" w:right="144" w:hanging="0"/>
        <w:jc w:val="both"/>
        <w:rPr/>
      </w:pPr>
      <w:r>
        <w:rPr/>
        <w:t> </w:t>
      </w:r>
    </w:p>
    <w:p>
      <w:pPr>
        <w:pStyle w:val="TextBody"/>
        <w:bidi w:val="0"/>
        <w:spacing w:before="0" w:after="0"/>
        <w:jc w:val="both"/>
        <w:rPr>
          <w:sz w:val="20"/>
        </w:rPr>
      </w:pPr>
      <w:r>
        <w:rPr>
          <w:sz w:val="20"/>
        </w:rPr>
        <w:t>Hovnanian Enterprises, Inc., founded in 1959 by Kevork S. Hovnanian, is headquartered in Matawan, New Jersey and, through its subsidiaries, is one of the nation’s largest homebuilders with operations in Arizona, California, Delaware, Florida, Georgia, Maryland, New Jersey, Ohio, Pennsylvania, South Carolina, Texas, Virginia and West Virginia. The Company’s homes are marketed and sold under the trade name K. Hovnanian Homes. Additionally, the Company’s subsidiaries, as developers of K. Hovnanian’s Four Seasons communities, make the Company one of the nation’s largest builders of active lifestyle communities.</w:t>
      </w:r>
    </w:p>
    <w:p>
      <w:pPr>
        <w:pStyle w:val="TextBody"/>
        <w:bidi w:val="0"/>
        <w:spacing w:before="0" w:after="0"/>
        <w:ind w:left="0" w:right="144" w:hanging="0"/>
        <w:jc w:val="both"/>
        <w:rPr/>
      </w:pPr>
      <w:r>
        <w:rPr/>
        <w:t> </w:t>
      </w:r>
    </w:p>
    <w:p>
      <w:pPr>
        <w:pStyle w:val="TextBody"/>
        <w:bidi w:val="0"/>
        <w:spacing w:before="0" w:after="0"/>
        <w:jc w:val="both"/>
        <w:rPr/>
      </w:pPr>
      <w:r>
        <w:rPr>
          <w:sz w:val="20"/>
        </w:rPr>
        <w:t>Additional information on Hovnanian Enterprises, Inc. can be accessed through the “Investor Relations” section of the Hovnanian Enterprises’ website at http://www.khov.com. To be added to Hovnanian's investor e-mail list, please send an e-mail to IR@khov.com</w:t>
      </w:r>
      <w:r>
        <w:rPr/>
        <w:t xml:space="preserve"> </w:t>
      </w:r>
      <w:r>
        <w:rPr>
          <w:sz w:val="20"/>
        </w:rPr>
        <w:t>or sign up at http://www.khov.com.</w:t>
      </w:r>
    </w:p>
    <w:p>
      <w:pPr>
        <w:pStyle w:val="TextBody"/>
        <w:bidi w:val="0"/>
        <w:spacing w:before="0" w:after="0"/>
        <w:jc w:val="left"/>
        <w:rPr/>
      </w:pPr>
      <w:r>
        <w:rPr/>
        <w:t> </w:t>
      </w:r>
    </w:p>
    <w:p>
      <w:pPr>
        <w:pStyle w:val="TextBody"/>
        <w:bidi w:val="0"/>
        <w:spacing w:before="0" w:after="0"/>
        <w:jc w:val="both"/>
        <w:rPr>
          <w:b/>
          <w:sz w:val="20"/>
          <w:u w:val="single"/>
        </w:rPr>
      </w:pPr>
      <w:r>
        <w:rPr>
          <w:b/>
          <w:sz w:val="20"/>
          <w:u w:val="single"/>
        </w:rPr>
        <w:t>NON-GAAP FINANCIAL MEASURES:</w:t>
      </w:r>
    </w:p>
    <w:p>
      <w:pPr>
        <w:pStyle w:val="TextBody"/>
        <w:bidi w:val="0"/>
        <w:spacing w:before="0" w:after="0"/>
        <w:jc w:val="both"/>
        <w:rPr/>
      </w:pPr>
      <w:r>
        <w:rPr/>
        <w:t> </w:t>
      </w:r>
    </w:p>
    <w:p>
      <w:pPr>
        <w:pStyle w:val="TextBody"/>
        <w:bidi w:val="0"/>
        <w:spacing w:before="0" w:after="0"/>
        <w:jc w:val="both"/>
        <w:rPr>
          <w:sz w:val="20"/>
        </w:rPr>
      </w:pPr>
      <w:r>
        <w:rPr>
          <w:b/>
          <w:sz w:val="20"/>
        </w:rPr>
        <w:t>Consolidated earnings before interest expense and income taxes (“EBIT”) and before depreciation and amortization (“EBITDA”) and before inventory impairments and land option write-offs and gain on extinguishment of debt, net (“Adjusted EBITDA”), the ratio of Adjusted EBITDA to interest incurred and EBIT before inventory impairments and land option write-offs and gain on extinguishment of debt, net (“Adjusted EBIT”) are not U.S. generally accepted</w:t>
      </w:r>
      <w:r>
        <w:rPr>
          <w:sz w:val="20"/>
        </w:rPr>
        <w:t xml:space="preserve"> </w:t>
      </w:r>
      <w:r>
        <w:rPr>
          <w:b/>
          <w:sz w:val="20"/>
        </w:rPr>
        <w:t>accounting principles (“GAAP”) financial measures. The most directly comparable GAAP financial measure is net (loss) income. The reconciliation for historical periods of EBIT, EBITDA, Adjusted EBIT and Adjusted EBITDA to net (loss) income are presented in tables attached to this earnings release.</w:t>
      </w:r>
    </w:p>
    <w:p>
      <w:pPr>
        <w:pStyle w:val="TextBody"/>
        <w:bidi w:val="0"/>
        <w:spacing w:before="0" w:after="0"/>
        <w:jc w:val="both"/>
        <w:rPr/>
      </w:pPr>
      <w:r>
        <w:rPr/>
        <w:t> </w:t>
      </w:r>
    </w:p>
    <w:p>
      <w:pPr>
        <w:pStyle w:val="TextBody"/>
        <w:bidi w:val="0"/>
        <w:spacing w:before="0" w:after="0"/>
        <w:jc w:val="both"/>
        <w:rPr>
          <w:b/>
          <w:sz w:val="20"/>
        </w:rPr>
      </w:pPr>
      <w:r>
        <w:rPr>
          <w:b/>
          <w:sz w:val="20"/>
        </w:rPr>
        <w:t>Homebuilding gross margin, before cost of sales interest expense and land charges, and homebuilding gross margin percentage, before cost of sales interest expense and land charges, are non-GAAP financial measures. The most directly comparable GAAP financial measures are homebuilding gross margin and homebuilding gross margin percentage, respectively. The reconciliation for historical periods of homebuilding gross margin, before cost of sales interest expense and land charges, and homebuilding gross margin percentage, before cost of sales interest expense and land charges, to homebuilding gross margin and homebuilding gross margin percentage, respectively, is presented in a table attached to this earnings release.</w:t>
      </w:r>
    </w:p>
    <w:p>
      <w:pPr>
        <w:pStyle w:val="TextBody"/>
        <w:bidi w:val="0"/>
        <w:spacing w:before="0" w:after="0"/>
        <w:jc w:val="both"/>
        <w:rPr/>
      </w:pPr>
      <w:r>
        <w:rPr/>
        <w:t> </w:t>
      </w:r>
    </w:p>
    <w:p>
      <w:pPr>
        <w:pStyle w:val="TextBody"/>
        <w:bidi w:val="0"/>
        <w:spacing w:before="0" w:after="0"/>
        <w:jc w:val="both"/>
        <w:rPr>
          <w:b/>
          <w:sz w:val="20"/>
        </w:rPr>
      </w:pPr>
      <w:r>
        <w:rPr>
          <w:b/>
          <w:sz w:val="20"/>
        </w:rPr>
        <w:t>Adjusted (loss) income before income taxes, which is defined as (loss) income before income taxes excluding land-related charges and gain on extinguishment of debt, net is a non-GAAP financial measure. The most directly comparable GAAP financial measure is (loss) income before income taxes. The reconciliation for historical periods of adjusted (loss) income before income taxes to (loss) income before income taxes is presented in a table attached to this earnings release.</w:t>
      </w:r>
    </w:p>
    <w:p>
      <w:pPr>
        <w:pStyle w:val="TextBody"/>
        <w:bidi w:val="0"/>
        <w:spacing w:before="0" w:after="0"/>
        <w:jc w:val="both"/>
        <w:rPr/>
      </w:pPr>
      <w:r>
        <w:rPr/>
        <w:t> </w:t>
      </w:r>
    </w:p>
    <w:p>
      <w:pPr>
        <w:pStyle w:val="TextBody"/>
        <w:bidi w:val="0"/>
        <w:spacing w:before="0" w:after="0"/>
        <w:jc w:val="both"/>
        <w:rPr>
          <w:sz w:val="20"/>
        </w:rPr>
      </w:pPr>
      <w:r>
        <w:rPr>
          <w:b/>
          <w:sz w:val="20"/>
        </w:rPr>
        <w:t>Adjusted investment, which is defined as total inventories excluding liabilities from inventory not owned, net of debt issuance costs and interest capitalized and including investments in and advances to unconsolidated joint ventures</w:t>
      </w:r>
      <w:r>
        <w:rPr>
          <w:sz w:val="20"/>
        </w:rPr>
        <w:t xml:space="preserve"> </w:t>
      </w:r>
      <w:r>
        <w:rPr>
          <w:b/>
          <w:sz w:val="20"/>
        </w:rPr>
        <w:t>(“Adjusted Investment”), is a non-GAAP financial measure. The most directly comparable GAAP financial measure is total inventories. The reconciliation for historical periods of Adjusted Investment to total inventories is presented in a table attached to this earnings release.</w:t>
      </w:r>
    </w:p>
    <w:p>
      <w:pPr>
        <w:pStyle w:val="TextBody"/>
        <w:bidi w:val="0"/>
        <w:spacing w:before="0" w:after="0"/>
        <w:jc w:val="both"/>
        <w:rPr/>
      </w:pPr>
      <w:r>
        <w:rPr/>
        <w:t> </w:t>
      </w:r>
    </w:p>
    <w:p>
      <w:pPr>
        <w:pStyle w:val="TextBody"/>
        <w:bidi w:val="0"/>
        <w:spacing w:before="0" w:after="0"/>
        <w:jc w:val="both"/>
        <w:rPr>
          <w:sz w:val="20"/>
        </w:rPr>
      </w:pPr>
      <w:r>
        <w:rPr>
          <w:b/>
          <w:sz w:val="20"/>
        </w:rPr>
        <w:t>The ratio of Adjusted EBIT return on adjusted investment (“Adjusted EBIT ROI”), which is the ratio of Adjusted EBIT for the trailing twelve-months, to the average Adjusted Investment for the prior five fiscal quarters,</w:t>
      </w:r>
      <w:r>
        <w:rPr>
          <w:sz w:val="20"/>
        </w:rPr>
        <w:t xml:space="preserve"> </w:t>
      </w:r>
      <w:r>
        <w:rPr>
          <w:b/>
          <w:sz w:val="20"/>
        </w:rPr>
        <w:t>is a non-GAAP financial measure. The most directly comparable GAAP financial measure is the ratio of net (loss) income return to total inventories. The presentation of the ratios of Adjusted EBIT ROI and net (loss) income return on inventory are presented in a table attached to this earnings release.</w:t>
      </w:r>
    </w:p>
    <w:p>
      <w:pPr>
        <w:pStyle w:val="TextBody"/>
        <w:bidi w:val="0"/>
        <w:spacing w:before="0" w:after="0"/>
        <w:ind w:left="14" w:right="0" w:hanging="14"/>
        <w:jc w:val="both"/>
        <w:rPr/>
      </w:pPr>
      <w:r>
        <w:rPr/>
        <w:t> </w:t>
      </w:r>
    </w:p>
    <w:p>
      <w:pPr>
        <w:pStyle w:val="TextBody"/>
        <w:bidi w:val="0"/>
        <w:spacing w:before="0" w:after="0"/>
        <w:jc w:val="both"/>
        <w:rPr>
          <w:b/>
          <w:sz w:val="20"/>
        </w:rPr>
      </w:pPr>
      <w:r>
        <w:rPr>
          <w:b/>
          <w:sz w:val="20"/>
        </w:rPr>
        <w:t>Total liquidity is comprised of $249.1 million of cash and cash equivalents, $5.7 million of restricted cash required to collateralize letters of credit and $125.0 million available under a senior secured revolving credit facility as of July 31, 2026.</w:t>
      </w:r>
    </w:p>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both"/>
        <w:rPr>
          <w:b/>
          <w:sz w:val="20"/>
        </w:rPr>
      </w:pPr>
      <w:r>
        <w:rPr>
          <w:b/>
          <w:sz w:val="20"/>
        </w:rPr>
        <w:t>FORWARD-LOOKING STATEMENTS</w:t>
      </w:r>
    </w:p>
    <w:p>
      <w:pPr>
        <w:pStyle w:val="TextBody"/>
        <w:bidi w:val="0"/>
        <w:spacing w:before="0" w:after="0"/>
        <w:jc w:val="both"/>
        <w:rPr/>
      </w:pPr>
      <w:r>
        <w:rPr/>
        <w:t> </w:t>
      </w:r>
    </w:p>
    <w:p>
      <w:pPr>
        <w:pStyle w:val="TextBody"/>
        <w:bidi w:val="0"/>
        <w:spacing w:before="0" w:after="0"/>
        <w:jc w:val="both"/>
        <w:rPr>
          <w:sz w:val="20"/>
        </w:rPr>
      </w:pPr>
      <w:r>
        <w:rPr>
          <w:b/>
          <w:sz w:val="20"/>
        </w:rPr>
        <w:t>All statements in this press release that are not historical facts should be considered as “Forward-Looking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Such forward-looking statements include but are not limited to statements related to the Company’s goals and expectations with respect to its financial results for future financial periods and statements regarding demand for homes, mortgage rates, inflation, supply chain issues, customer incentives and underlying factors. Although we believe that our plans, intentions and expectations reflected in, or suggested by, such forward-looking statements are reasonable, we can give no assurance that such plans, intentions or expectations will be achieved. By their nature, forward-looking statements: (i) speak only as of the date they are made, (ii) are not guarantees of future performance or results and (iii) are subject to risks, uncertainties and assumptions that are difficult to predict or quantify. Therefore, actual results could differ materially and adversely from those forward-looking statements as a result of</w:t>
      </w:r>
      <w:r>
        <w:rPr>
          <w:sz w:val="20"/>
        </w:rPr>
        <w:t xml:space="preserve"> </w:t>
      </w:r>
      <w:r>
        <w:rPr>
          <w:b/>
          <w:sz w:val="20"/>
        </w:rPr>
        <w:t>a variety of factors. Such risks, uncertainties and other factors include, but are not limited to, (1) changes in general and local economic, industry and business conditions and impacts of a significant homebuilding downturn; (2) shortages in, and price fluctuations of, raw materials and labor, including due to geopolitical events, changes in trade policies, including the imposition of tariffs and duties on homebuilding materials and products and related trade disputes with and retaliatory measures taken by other countries and changes in immigration laws or the enforcement thereof and trends in labor migration; (3) fluctuations in interest rates and the availability of mortgage financing, including as a result of instability in the banking sector; (4) increases in inflation; (5) adverse weather and other environmental conditions and natural or man-made disasters; (6) the seasonality of the Company’s business; (7) the availability and cost of suitable land and improved lots and sufficient liquidity to invest in such land and lots; (8) reliance on, and the performance of, subcontractors; (9) regional and local economic factors, including dependency on certain sectors of the economy, and employment levels affecting home prices and sales activity in the markets where the Company builds homes; (10) increases in cancellations of agreements of sale; (11) changes in tax laws affecting the after-tax costs of owning a home; (12) legal claims brought against us and not resolved in our favor, such as product liability litigation, warranty claims and claims made by mortgage investors; (13) levels of competition; (14) utility shortages and outages or rate fluctuations; (15) information technology failures and data security breaches; (16) negative publicity; (17) global economic and political instability; (18) high leverage and restrictions on the Company’s operations and activities imposed by the agreements governing the Company’s outstanding indebtedness; (19) availability and terms of financing to the Company; (20) the Company’s sources of liquidity; (21) changes in credit ratings; (22) government regulation, including regulations concerning the development of land, the home building, sales and customer financing processes, tax laws and environmental, health and safety matters; (23) potential liability as a result of the past or present use of hazardous materials; (24) operations through unconsolidated joint ventures with third parties; (25) significant influence of the Company’s controlling stockholders; (26) availability of net operating loss carryforwards; (27) loss of key management personnel or failure to attract qualified personnel; and (28) certain risks, uncertainties and other factors described in detail in the Company’s Annual Report on Form 10-K for the fiscal year ended October 31, 2025 and the Company’s Quarterly Reports on Form 10-Q for the quarterly periods during fiscal 2026 and subsequent filings with the Securities and Exchange Commission. Except as otherwise required by applicable securities laws, we undertake no obligation to publicly update or revise any forward-looking statements, whether as a result of</w:t>
      </w:r>
      <w:r>
        <w:rPr>
          <w:sz w:val="20"/>
        </w:rPr>
        <w:t xml:space="preserve"> </w:t>
      </w:r>
      <w:r>
        <w:rPr>
          <w:b/>
          <w:sz w:val="20"/>
        </w:rPr>
        <w:t>new information, future events, changed circumstances or any other reason.</w:t>
      </w:r>
    </w:p>
    <w:p>
      <w:pPr>
        <w:pStyle w:val="TextBody"/>
        <w:bidi w:val="0"/>
        <w:spacing w:before="0" w:after="0"/>
        <w:jc w:val="both"/>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tbl>
      <w:tblPr>
        <w:tblW w:w="3800" w:type="dxa"/>
        <w:jc w:val="left"/>
        <w:tblInd w:w="0" w:type="dxa"/>
        <w:tblLayout w:type="fixed"/>
        <w:tblCellMar>
          <w:top w:w="0" w:type="dxa"/>
          <w:left w:w="0" w:type="dxa"/>
          <w:bottom w:w="0" w:type="dxa"/>
          <w:right w:w="0" w:type="dxa"/>
        </w:tblCellMar>
      </w:tblPr>
      <w:tblGrid>
        <w:gridCol w:w="3125"/>
        <w:gridCol w:w="60"/>
        <w:gridCol w:w="60"/>
        <w:gridCol w:w="60"/>
        <w:gridCol w:w="60"/>
        <w:gridCol w:w="60"/>
        <w:gridCol w:w="60"/>
        <w:gridCol w:w="60"/>
        <w:gridCol w:w="60"/>
        <w:gridCol w:w="60"/>
        <w:gridCol w:w="60"/>
        <w:gridCol w:w="75"/>
      </w:tblGrid>
      <w:tr>
        <w:trPr/>
        <w:tc>
          <w:tcPr>
            <w:tcW w:w="3125" w:type="dxa"/>
            <w:tcBorders/>
            <w:vAlign w:val="center"/>
          </w:tcPr>
          <w:p>
            <w:pPr>
              <w:pStyle w:val="TableContents"/>
              <w:bidi w:val="0"/>
              <w:spacing w:before="0" w:after="0"/>
              <w:jc w:val="left"/>
              <w:rPr>
                <w:b/>
                <w:sz w:val="20"/>
              </w:rPr>
            </w:pPr>
            <w:r>
              <w:rPr>
                <w:b/>
                <w:sz w:val="20"/>
              </w:rPr>
              <w:t>Hovnanian Enterprises, Inc.</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3800" w:type="dxa"/>
            <w:gridSpan w:val="12"/>
            <w:tcBorders/>
            <w:vAlign w:val="center"/>
          </w:tcPr>
          <w:p>
            <w:pPr>
              <w:pStyle w:val="TableContents"/>
              <w:bidi w:val="0"/>
              <w:spacing w:before="0" w:after="0"/>
              <w:jc w:val="left"/>
              <w:rPr>
                <w:b/>
                <w:sz w:val="20"/>
              </w:rPr>
            </w:pPr>
            <w:r>
              <w:rPr>
                <w:b/>
                <w:sz w:val="20"/>
              </w:rPr>
              <w:t>July 31, 2026</w:t>
            </w:r>
          </w:p>
        </w:tc>
      </w:tr>
      <w:tr>
        <w:trPr/>
        <w:tc>
          <w:tcPr>
            <w:tcW w:w="3125" w:type="dxa"/>
            <w:tcBorders/>
            <w:vAlign w:val="center"/>
          </w:tcPr>
          <w:p>
            <w:pPr>
              <w:pStyle w:val="TableContents"/>
              <w:bidi w:val="0"/>
              <w:spacing w:before="0" w:after="0"/>
              <w:jc w:val="left"/>
              <w:rPr>
                <w:sz w:val="20"/>
              </w:rPr>
            </w:pPr>
            <w:r>
              <w:rPr>
                <w:sz w:val="20"/>
              </w:rPr>
              <w:t>Statements of consolidated operations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3125" w:type="dxa"/>
            <w:tcBorders/>
            <w:vAlign w:val="center"/>
          </w:tcPr>
          <w:p>
            <w:pPr>
              <w:pStyle w:val="TableContents"/>
              <w:bidi w:val="0"/>
              <w:spacing w:before="0" w:after="0"/>
              <w:jc w:val="left"/>
              <w:rPr>
                <w:sz w:val="20"/>
              </w:rPr>
            </w:pPr>
            <w:r>
              <w:rPr>
                <w:sz w:val="20"/>
              </w:rPr>
              <w:t>(In thousands, except per share data)</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bl>
    <w:p>
      <w:pPr>
        <w:pStyle w:val="TextBody"/>
        <w:bidi w:val="0"/>
        <w:spacing w:before="0" w:after="0"/>
        <w:jc w:val="left"/>
        <w:rPr/>
      </w:pPr>
      <w:r>
        <w:rPr/>
        <w:t> </w:t>
      </w:r>
    </w:p>
    <w:tbl>
      <w:tblPr>
        <w:tblW w:w="9195" w:type="dxa"/>
        <w:jc w:val="left"/>
        <w:tblInd w:w="0" w:type="dxa"/>
        <w:tblLayout w:type="fixed"/>
        <w:tblCellMar>
          <w:top w:w="0" w:type="dxa"/>
          <w:left w:w="0" w:type="dxa"/>
          <w:bottom w:w="0" w:type="dxa"/>
          <w:right w:w="0" w:type="dxa"/>
        </w:tblCellMar>
      </w:tblPr>
      <w:tblGrid>
        <w:gridCol w:w="4925"/>
        <w:gridCol w:w="125"/>
        <w:gridCol w:w="785"/>
        <w:gridCol w:w="60"/>
        <w:gridCol w:w="170"/>
        <w:gridCol w:w="785"/>
        <w:gridCol w:w="60"/>
        <w:gridCol w:w="170"/>
        <w:gridCol w:w="935"/>
        <w:gridCol w:w="60"/>
        <w:gridCol w:w="170"/>
        <w:gridCol w:w="950"/>
      </w:tblGrid>
      <w:tr>
        <w:trPr/>
        <w:tc>
          <w:tcPr>
            <w:tcW w:w="4925" w:type="dxa"/>
            <w:tcBorders/>
            <w:vAlign w:val="center"/>
          </w:tcPr>
          <w:p>
            <w:pPr>
              <w:pStyle w:val="TableContents"/>
              <w:bidi w:val="0"/>
              <w:spacing w:before="0" w:after="0"/>
              <w:jc w:val="right"/>
              <w:rPr/>
            </w:pPr>
            <w:r>
              <w:rPr/>
              <w:t> </w:t>
            </w:r>
          </w:p>
        </w:tc>
        <w:tc>
          <w:tcPr>
            <w:tcW w:w="1925" w:type="dxa"/>
            <w:gridSpan w:val="5"/>
            <w:tcBorders/>
            <w:vAlign w:val="center"/>
          </w:tcPr>
          <w:p>
            <w:pPr>
              <w:pStyle w:val="TableContents"/>
              <w:bidi w:val="0"/>
              <w:spacing w:before="0" w:after="0"/>
              <w:jc w:val="center"/>
              <w:rPr>
                <w:sz w:val="20"/>
              </w:rPr>
            </w:pPr>
            <w:r>
              <w:rPr>
                <w:sz w:val="20"/>
              </w:rPr>
              <w:t>Three Months Ended</w:t>
            </w:r>
          </w:p>
        </w:tc>
        <w:tc>
          <w:tcPr>
            <w:tcW w:w="60" w:type="dxa"/>
            <w:tcBorders/>
            <w:vAlign w:val="center"/>
          </w:tcPr>
          <w:p>
            <w:pPr>
              <w:pStyle w:val="TableContents"/>
              <w:bidi w:val="0"/>
              <w:spacing w:before="0" w:after="0"/>
              <w:jc w:val="right"/>
              <w:rPr/>
            </w:pPr>
            <w:r>
              <w:rPr/>
              <w:t> </w:t>
            </w:r>
          </w:p>
        </w:tc>
        <w:tc>
          <w:tcPr>
            <w:tcW w:w="2285" w:type="dxa"/>
            <w:gridSpan w:val="5"/>
            <w:tcBorders/>
            <w:vAlign w:val="center"/>
          </w:tcPr>
          <w:p>
            <w:pPr>
              <w:pStyle w:val="TableContents"/>
              <w:bidi w:val="0"/>
              <w:spacing w:before="0" w:after="0"/>
              <w:jc w:val="center"/>
              <w:rPr>
                <w:sz w:val="20"/>
              </w:rPr>
            </w:pPr>
            <w:r>
              <w:rPr>
                <w:sz w:val="20"/>
              </w:rPr>
              <w:t>Nine Months Ended</w:t>
            </w:r>
          </w:p>
        </w:tc>
      </w:tr>
      <w:tr>
        <w:trPr/>
        <w:tc>
          <w:tcPr>
            <w:tcW w:w="4925" w:type="dxa"/>
            <w:tcBorders/>
            <w:vAlign w:val="center"/>
          </w:tcPr>
          <w:p>
            <w:pPr>
              <w:pStyle w:val="TableContents"/>
              <w:bidi w:val="0"/>
              <w:spacing w:before="0" w:after="0"/>
              <w:jc w:val="right"/>
              <w:rPr/>
            </w:pPr>
            <w:r>
              <w:rPr/>
              <w:t> </w:t>
            </w:r>
          </w:p>
        </w:tc>
        <w:tc>
          <w:tcPr>
            <w:tcW w:w="1925"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c>
          <w:tcPr>
            <w:tcW w:w="60" w:type="dxa"/>
            <w:tcBorders/>
            <w:vAlign w:val="center"/>
          </w:tcPr>
          <w:p>
            <w:pPr>
              <w:pStyle w:val="TableContents"/>
              <w:bidi w:val="0"/>
              <w:spacing w:before="0" w:after="0"/>
              <w:jc w:val="right"/>
              <w:rPr/>
            </w:pPr>
            <w:r>
              <w:rPr/>
              <w:t> </w:t>
            </w:r>
          </w:p>
        </w:tc>
        <w:tc>
          <w:tcPr>
            <w:tcW w:w="2285"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r>
      <w:tr>
        <w:trPr/>
        <w:tc>
          <w:tcPr>
            <w:tcW w:w="4925" w:type="dxa"/>
            <w:tcBorders/>
            <w:vAlign w:val="center"/>
          </w:tcPr>
          <w:p>
            <w:pPr>
              <w:pStyle w:val="TableContents"/>
              <w:bidi w:val="0"/>
              <w:spacing w:before="0" w:after="0"/>
              <w:jc w:val="right"/>
              <w:rPr/>
            </w:pPr>
            <w:r>
              <w:rPr/>
              <w:t> </w:t>
            </w:r>
          </w:p>
        </w:tc>
        <w:tc>
          <w:tcPr>
            <w:tcW w:w="91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60" w:type="dxa"/>
            <w:tcBorders/>
            <w:vAlign w:val="center"/>
          </w:tcPr>
          <w:p>
            <w:pPr>
              <w:pStyle w:val="TableContents"/>
              <w:bidi w:val="0"/>
              <w:spacing w:before="0" w:after="0"/>
              <w:jc w:val="center"/>
              <w:rPr/>
            </w:pPr>
            <w:r>
              <w:rPr/>
              <w:t> </w:t>
            </w:r>
          </w:p>
        </w:tc>
        <w:tc>
          <w:tcPr>
            <w:tcW w:w="95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c>
          <w:tcPr>
            <w:tcW w:w="60" w:type="dxa"/>
            <w:tcBorders/>
            <w:vAlign w:val="center"/>
          </w:tcPr>
          <w:p>
            <w:pPr>
              <w:pStyle w:val="TableContents"/>
              <w:bidi w:val="0"/>
              <w:spacing w:before="0" w:after="0"/>
              <w:jc w:val="right"/>
              <w:rPr/>
            </w:pPr>
            <w:r>
              <w:rPr/>
              <w:t> </w:t>
            </w:r>
          </w:p>
        </w:tc>
        <w:tc>
          <w:tcPr>
            <w:tcW w:w="110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60" w:type="dxa"/>
            <w:tcBorders/>
            <w:vAlign w:val="center"/>
          </w:tcPr>
          <w:p>
            <w:pPr>
              <w:pStyle w:val="TableContents"/>
              <w:bidi w:val="0"/>
              <w:spacing w:before="0" w:after="0"/>
              <w:jc w:val="center"/>
              <w:rPr/>
            </w:pPr>
            <w:r>
              <w:rPr/>
              <w:t> </w:t>
            </w:r>
          </w:p>
        </w:tc>
        <w:tc>
          <w:tcPr>
            <w:tcW w:w="112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r>
      <w:tr>
        <w:trPr/>
        <w:tc>
          <w:tcPr>
            <w:tcW w:w="4925" w:type="dxa"/>
            <w:tcBorders/>
            <w:vAlign w:val="center"/>
          </w:tcPr>
          <w:p>
            <w:pPr>
              <w:pStyle w:val="TableContents"/>
              <w:bidi w:val="0"/>
              <w:spacing w:before="0" w:after="0"/>
              <w:jc w:val="right"/>
              <w:rPr/>
            </w:pPr>
            <w:r>
              <w:rPr/>
              <w:t> </w:t>
            </w:r>
          </w:p>
        </w:tc>
        <w:tc>
          <w:tcPr>
            <w:tcW w:w="1925" w:type="dxa"/>
            <w:gridSpan w:val="5"/>
            <w:tcBorders/>
            <w:vAlign w:val="center"/>
          </w:tcPr>
          <w:p>
            <w:pPr>
              <w:pStyle w:val="TableContents"/>
              <w:bidi w:val="0"/>
              <w:spacing w:before="0" w:after="0"/>
              <w:jc w:val="center"/>
              <w:rPr>
                <w:sz w:val="20"/>
              </w:rPr>
            </w:pPr>
            <w:r>
              <w:rPr>
                <w:sz w:val="20"/>
              </w:rPr>
              <w:t>(Unaudited)</w:t>
            </w:r>
          </w:p>
        </w:tc>
        <w:tc>
          <w:tcPr>
            <w:tcW w:w="60" w:type="dxa"/>
            <w:tcBorders/>
            <w:vAlign w:val="center"/>
          </w:tcPr>
          <w:p>
            <w:pPr>
              <w:pStyle w:val="TableContents"/>
              <w:bidi w:val="0"/>
              <w:spacing w:before="0" w:after="0"/>
              <w:jc w:val="right"/>
              <w:rPr/>
            </w:pPr>
            <w:r>
              <w:rPr/>
              <w:t> </w:t>
            </w:r>
          </w:p>
        </w:tc>
        <w:tc>
          <w:tcPr>
            <w:tcW w:w="2285" w:type="dxa"/>
            <w:gridSpan w:val="5"/>
            <w:tcBorders/>
            <w:vAlign w:val="center"/>
          </w:tcPr>
          <w:p>
            <w:pPr>
              <w:pStyle w:val="TableContents"/>
              <w:bidi w:val="0"/>
              <w:spacing w:before="0" w:after="0"/>
              <w:jc w:val="center"/>
              <w:rPr>
                <w:sz w:val="20"/>
              </w:rPr>
            </w:pPr>
            <w:r>
              <w:rPr>
                <w:sz w:val="20"/>
              </w:rPr>
              <w:t>(Unaudited)</w:t>
            </w:r>
          </w:p>
        </w:tc>
      </w:tr>
      <w:tr>
        <w:trPr/>
        <w:tc>
          <w:tcPr>
            <w:tcW w:w="4925" w:type="dxa"/>
            <w:tcBorders/>
            <w:shd w:fill="CCEEFF" w:val="clear"/>
            <w:vAlign w:val="center"/>
          </w:tcPr>
          <w:p>
            <w:pPr>
              <w:pStyle w:val="TableContents"/>
              <w:bidi w:val="0"/>
              <w:spacing w:before="0" w:after="0"/>
              <w:jc w:val="left"/>
              <w:rPr>
                <w:sz w:val="20"/>
              </w:rPr>
            </w:pPr>
            <w:r>
              <w:rPr>
                <w:sz w:val="20"/>
              </w:rPr>
              <w:t>Total revenues</w:t>
            </w:r>
          </w:p>
        </w:tc>
        <w:tc>
          <w:tcPr>
            <w:tcW w:w="125" w:type="dxa"/>
            <w:tcBorders/>
            <w:shd w:fill="CCEEFF" w:val="clear"/>
            <w:vAlign w:val="center"/>
          </w:tcPr>
          <w:p>
            <w:pPr>
              <w:pStyle w:val="TableContents"/>
              <w:bidi w:val="0"/>
              <w:spacing w:before="0" w:after="0"/>
              <w:jc w:val="both"/>
              <w:rPr>
                <w:sz w:val="20"/>
              </w:rPr>
            </w:pPr>
            <w:r>
              <w:rPr>
                <w:sz w:val="20"/>
              </w:rPr>
              <w:t>$</w:t>
            </w:r>
          </w:p>
        </w:tc>
        <w:tc>
          <w:tcPr>
            <w:tcW w:w="785" w:type="dxa"/>
            <w:tcBorders/>
            <w:shd w:fill="CCEEFF" w:val="clear"/>
            <w:vAlign w:val="center"/>
          </w:tcPr>
          <w:p>
            <w:pPr>
              <w:pStyle w:val="TableContents"/>
              <w:bidi w:val="0"/>
              <w:spacing w:before="0" w:after="0"/>
              <w:jc w:val="right"/>
              <w:rPr>
                <w:sz w:val="20"/>
              </w:rPr>
            </w:pPr>
            <w:r>
              <w:rPr>
                <w:sz w:val="20"/>
              </w:rPr>
              <w:t xml:space="preserve">705,746 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785" w:type="dxa"/>
            <w:tcBorders/>
            <w:shd w:fill="CCEEFF" w:val="clear"/>
            <w:vAlign w:val="center"/>
          </w:tcPr>
          <w:p>
            <w:pPr>
              <w:pStyle w:val="TableContents"/>
              <w:bidi w:val="0"/>
              <w:spacing w:before="0" w:after="0"/>
              <w:jc w:val="right"/>
              <w:rPr>
                <w:sz w:val="20"/>
              </w:rPr>
            </w:pPr>
            <w:r>
              <w:rPr>
                <w:sz w:val="20"/>
              </w:rPr>
              <w:t xml:space="preserve">800,583 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935" w:type="dxa"/>
            <w:tcBorders/>
            <w:shd w:fill="CCEEFF" w:val="clear"/>
            <w:vAlign w:val="center"/>
          </w:tcPr>
          <w:p>
            <w:pPr>
              <w:pStyle w:val="TableContents"/>
              <w:bidi w:val="0"/>
              <w:spacing w:before="0" w:after="0"/>
              <w:jc w:val="right"/>
              <w:rPr>
                <w:sz w:val="20"/>
              </w:rPr>
            </w:pPr>
            <w:r>
              <w:rPr>
                <w:sz w:val="20"/>
              </w:rPr>
              <w:t xml:space="preserve">2,005,343 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950" w:type="dxa"/>
            <w:tcBorders/>
            <w:shd w:fill="CCEEFF" w:val="clear"/>
            <w:vAlign w:val="center"/>
          </w:tcPr>
          <w:p>
            <w:pPr>
              <w:pStyle w:val="TableContents"/>
              <w:bidi w:val="0"/>
              <w:spacing w:before="0" w:after="0"/>
              <w:jc w:val="right"/>
              <w:rPr>
                <w:sz w:val="20"/>
              </w:rPr>
            </w:pPr>
            <w:r>
              <w:rPr>
                <w:sz w:val="20"/>
              </w:rPr>
              <w:t xml:space="preserve">2,160,677  </w:t>
            </w:r>
          </w:p>
        </w:tc>
      </w:tr>
      <w:tr>
        <w:trPr/>
        <w:tc>
          <w:tcPr>
            <w:tcW w:w="4925" w:type="dxa"/>
            <w:tcBorders/>
            <w:shd w:fill="FFFFFF" w:val="clear"/>
            <w:vAlign w:val="center"/>
          </w:tcPr>
          <w:p>
            <w:pPr>
              <w:pStyle w:val="TableContents"/>
              <w:bidi w:val="0"/>
              <w:spacing w:before="0" w:after="0"/>
              <w:jc w:val="left"/>
              <w:rPr>
                <w:sz w:val="20"/>
              </w:rPr>
            </w:pPr>
            <w:r>
              <w:rPr>
                <w:sz w:val="20"/>
              </w:rPr>
              <w:t>Costs and expenses (1)</w:t>
            </w:r>
          </w:p>
        </w:tc>
        <w:tc>
          <w:tcPr>
            <w:tcW w:w="125" w:type="dxa"/>
            <w:tcBorders/>
            <w:shd w:fill="FFFFFF" w:val="clear"/>
            <w:vAlign w:val="center"/>
          </w:tcPr>
          <w:p>
            <w:pPr>
              <w:pStyle w:val="TableContents"/>
              <w:bidi w:val="0"/>
              <w:spacing w:before="0" w:after="0"/>
              <w:jc w:val="both"/>
              <w:rPr/>
            </w:pPr>
            <w:r>
              <w:rPr/>
              <w:t> </w:t>
            </w:r>
          </w:p>
        </w:tc>
        <w:tc>
          <w:tcPr>
            <w:tcW w:w="785" w:type="dxa"/>
            <w:tcBorders/>
            <w:shd w:fill="FFFFFF" w:val="clear"/>
            <w:vAlign w:val="center"/>
          </w:tcPr>
          <w:p>
            <w:pPr>
              <w:pStyle w:val="TableContents"/>
              <w:bidi w:val="0"/>
              <w:spacing w:before="0" w:after="0"/>
              <w:jc w:val="right"/>
              <w:rPr>
                <w:sz w:val="20"/>
              </w:rPr>
            </w:pPr>
            <w:r>
              <w:rPr>
                <w:sz w:val="20"/>
              </w:rPr>
              <w:t xml:space="preserve">711,918 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sz w:val="20"/>
              </w:rPr>
            </w:pPr>
            <w:r>
              <w:rPr>
                <w:sz w:val="20"/>
              </w:rPr>
              <w:t xml:space="preserve">792,292 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sz w:val="20"/>
              </w:rPr>
            </w:pPr>
            <w:r>
              <w:rPr>
                <w:sz w:val="20"/>
              </w:rPr>
              <w:t xml:space="preserve">1,984,808 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sz w:val="20"/>
              </w:rPr>
            </w:pPr>
            <w:r>
              <w:rPr>
                <w:sz w:val="20"/>
              </w:rPr>
              <w:t xml:space="preserve">2,104,640  </w:t>
            </w:r>
          </w:p>
        </w:tc>
      </w:tr>
      <w:tr>
        <w:trPr/>
        <w:tc>
          <w:tcPr>
            <w:tcW w:w="4925" w:type="dxa"/>
            <w:tcBorders/>
            <w:shd w:fill="CCEEFF" w:val="clear"/>
            <w:vAlign w:val="center"/>
          </w:tcPr>
          <w:p>
            <w:pPr>
              <w:pStyle w:val="TableContents"/>
              <w:bidi w:val="0"/>
              <w:spacing w:before="0" w:after="0"/>
              <w:jc w:val="left"/>
              <w:rPr>
                <w:sz w:val="20"/>
              </w:rPr>
            </w:pPr>
            <w:r>
              <w:rPr>
                <w:sz w:val="20"/>
              </w:rPr>
              <w:t>Gain on extinguishment of debt, net</w:t>
            </w:r>
          </w:p>
        </w:tc>
        <w:tc>
          <w:tcPr>
            <w:tcW w:w="125" w:type="dxa"/>
            <w:tcBorders/>
            <w:shd w:fill="CCEEFF" w:val="clear"/>
            <w:vAlign w:val="center"/>
          </w:tcPr>
          <w:p>
            <w:pPr>
              <w:pStyle w:val="TableContents"/>
              <w:bidi w:val="0"/>
              <w:spacing w:before="0" w:after="0"/>
              <w:jc w:val="both"/>
              <w:rPr/>
            </w:pPr>
            <w:r>
              <w:rPr/>
              <w:t> </w:t>
            </w:r>
          </w:p>
        </w:tc>
        <w:tc>
          <w:tcPr>
            <w:tcW w:w="785"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sz w:val="20"/>
              </w:rPr>
            </w:pPr>
            <w:r>
              <w:rPr>
                <w:sz w:val="20"/>
              </w:rPr>
              <w:t xml:space="preserve">399  </w:t>
            </w:r>
          </w:p>
        </w:tc>
      </w:tr>
      <w:tr>
        <w:trPr/>
        <w:tc>
          <w:tcPr>
            <w:tcW w:w="4925" w:type="dxa"/>
            <w:tcBorders/>
            <w:shd w:fill="FFFFFF" w:val="clear"/>
            <w:vAlign w:val="center"/>
          </w:tcPr>
          <w:p>
            <w:pPr>
              <w:pStyle w:val="TableContents"/>
              <w:bidi w:val="0"/>
              <w:spacing w:before="0" w:after="0"/>
              <w:jc w:val="left"/>
              <w:rPr>
                <w:sz w:val="20"/>
              </w:rPr>
            </w:pPr>
            <w:r>
              <w:rPr>
                <w:sz w:val="20"/>
              </w:rPr>
              <w:t>Income from unconsolidated joint ventures</w:t>
            </w:r>
          </w:p>
        </w:tc>
        <w:tc>
          <w:tcPr>
            <w:tcW w:w="125" w:type="dxa"/>
            <w:tcBorders/>
            <w:shd w:fill="FFFFFF" w:val="clear"/>
            <w:vAlign w:val="center"/>
          </w:tcPr>
          <w:p>
            <w:pPr>
              <w:pStyle w:val="TableContents"/>
              <w:bidi w:val="0"/>
              <w:spacing w:before="0" w:after="0"/>
              <w:jc w:val="both"/>
              <w:rPr/>
            </w:pPr>
            <w:r>
              <w:rPr/>
              <w:t> </w:t>
            </w:r>
          </w:p>
        </w:tc>
        <w:tc>
          <w:tcPr>
            <w:tcW w:w="785" w:type="dxa"/>
            <w:tcBorders>
              <w:bottom w:val="single" w:sz="6" w:space="0" w:color="000000"/>
            </w:tcBorders>
            <w:shd w:fill="FFFFFF" w:val="clear"/>
            <w:tcMar>
              <w:bottom w:w="28" w:type="dxa"/>
            </w:tcMar>
            <w:vAlign w:val="center"/>
          </w:tcPr>
          <w:p>
            <w:pPr>
              <w:pStyle w:val="TableContents"/>
              <w:bidi w:val="0"/>
              <w:spacing w:before="0" w:after="0"/>
              <w:jc w:val="right"/>
              <w:rPr/>
            </w:pPr>
            <w:r>
              <w:rPr/>
              <w:t xml:space="preserve">  </w:t>
            </w:r>
            <w:r>
              <w:rPr>
                <w:sz w:val="20"/>
              </w:rPr>
              <w:t xml:space="preserve">3,397 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15,511 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sz w:val="20"/>
              </w:rPr>
              <w:t xml:space="preserve">5,731 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33,759  </w:t>
            </w:r>
          </w:p>
        </w:tc>
      </w:tr>
      <w:tr>
        <w:trPr/>
        <w:tc>
          <w:tcPr>
            <w:tcW w:w="4925" w:type="dxa"/>
            <w:tcBorders/>
            <w:shd w:fill="CCEEFF" w:val="clear"/>
            <w:vAlign w:val="center"/>
          </w:tcPr>
          <w:p>
            <w:pPr>
              <w:pStyle w:val="TableContents"/>
              <w:bidi w:val="0"/>
              <w:spacing w:before="0" w:after="0"/>
              <w:jc w:val="left"/>
              <w:rPr>
                <w:sz w:val="20"/>
              </w:rPr>
            </w:pPr>
            <w:r>
              <w:rPr>
                <w:sz w:val="20"/>
              </w:rPr>
              <w:t>(Loss) income before income taxes</w:t>
            </w:r>
          </w:p>
        </w:tc>
        <w:tc>
          <w:tcPr>
            <w:tcW w:w="125" w:type="dxa"/>
            <w:tcBorders>
              <w:top w:val="single" w:sz="6" w:space="0" w:color="000000"/>
            </w:tcBorders>
            <w:shd w:fill="CCEEFF" w:val="clear"/>
            <w:tcMar>
              <w:top w:w="28" w:type="dxa"/>
            </w:tcMar>
            <w:vAlign w:val="center"/>
          </w:tcPr>
          <w:p>
            <w:pPr>
              <w:pStyle w:val="TableContents"/>
              <w:bidi w:val="0"/>
              <w:spacing w:before="0" w:after="0"/>
              <w:jc w:val="both"/>
              <w:rPr/>
            </w:pPr>
            <w:r>
              <w:rPr/>
              <w:t> </w:t>
            </w:r>
          </w:p>
        </w:tc>
        <w:tc>
          <w:tcPr>
            <w:tcW w:w="785" w:type="dxa"/>
            <w:tcBorders/>
            <w:shd w:fill="CCEEFF" w:val="clear"/>
            <w:vAlign w:val="center"/>
          </w:tcPr>
          <w:p>
            <w:pPr>
              <w:pStyle w:val="TableContents"/>
              <w:bidi w:val="0"/>
              <w:spacing w:before="0" w:after="0"/>
              <w:jc w:val="right"/>
              <w:rPr>
                <w:sz w:val="20"/>
              </w:rPr>
            </w:pPr>
            <w:r>
              <w:rPr>
                <w:sz w:val="20"/>
              </w:rPr>
              <w:t>(2,775)</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r>
              <w:rPr>
                <w:sz w:val="20"/>
              </w:rPr>
              <w:t xml:space="preserve">23,802 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 </w:t>
            </w:r>
            <w:r>
              <w:rPr>
                <w:sz w:val="20"/>
              </w:rPr>
              <w:t xml:space="preserve">26,266 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pPr>
            <w:r>
              <w:rPr/>
              <w:t> </w:t>
            </w:r>
            <w:r>
              <w:rPr>
                <w:sz w:val="20"/>
              </w:rPr>
              <w:t xml:space="preserve">90,195  </w:t>
            </w:r>
          </w:p>
        </w:tc>
      </w:tr>
      <w:tr>
        <w:trPr/>
        <w:tc>
          <w:tcPr>
            <w:tcW w:w="4925" w:type="dxa"/>
            <w:tcBorders/>
            <w:shd w:fill="FFFFFF" w:val="clear"/>
            <w:vAlign w:val="center"/>
          </w:tcPr>
          <w:p>
            <w:pPr>
              <w:pStyle w:val="TableContents"/>
              <w:bidi w:val="0"/>
              <w:spacing w:before="0" w:after="0"/>
              <w:jc w:val="left"/>
              <w:rPr>
                <w:sz w:val="20"/>
              </w:rPr>
            </w:pPr>
            <w:r>
              <w:rPr>
                <w:sz w:val="20"/>
              </w:rPr>
              <w:t>(Benefit) provision for income taxes</w:t>
            </w:r>
          </w:p>
        </w:tc>
        <w:tc>
          <w:tcPr>
            <w:tcW w:w="125" w:type="dxa"/>
            <w:tcBorders/>
            <w:shd w:fill="FFFFFF" w:val="clear"/>
            <w:vAlign w:val="center"/>
          </w:tcPr>
          <w:p>
            <w:pPr>
              <w:pStyle w:val="TableContents"/>
              <w:bidi w:val="0"/>
              <w:spacing w:before="0" w:after="0"/>
              <w:jc w:val="both"/>
              <w:rPr/>
            </w:pPr>
            <w:r>
              <w:rPr/>
              <w:t> </w:t>
            </w:r>
          </w:p>
        </w:tc>
        <w:tc>
          <w:tcPr>
            <w:tcW w:w="785"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sz w:val="20"/>
              </w:rPr>
              <w:t>(560)</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sz w:val="20"/>
              </w:rPr>
              <w:t xml:space="preserve">7,187 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sz w:val="20"/>
              </w:rPr>
              <w:t xml:space="preserve">8,217 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25,663  </w:t>
            </w:r>
          </w:p>
        </w:tc>
      </w:tr>
      <w:tr>
        <w:trPr/>
        <w:tc>
          <w:tcPr>
            <w:tcW w:w="4925" w:type="dxa"/>
            <w:tcBorders/>
            <w:shd w:fill="CCEEFF" w:val="clear"/>
            <w:vAlign w:val="center"/>
          </w:tcPr>
          <w:p>
            <w:pPr>
              <w:pStyle w:val="TableContents"/>
              <w:bidi w:val="0"/>
              <w:spacing w:before="0" w:after="0"/>
              <w:jc w:val="left"/>
              <w:rPr>
                <w:sz w:val="20"/>
              </w:rPr>
            </w:pPr>
            <w:r>
              <w:rPr>
                <w:sz w:val="20"/>
              </w:rPr>
              <w:t>Net (loss) income</w:t>
            </w:r>
          </w:p>
        </w:tc>
        <w:tc>
          <w:tcPr>
            <w:tcW w:w="125" w:type="dxa"/>
            <w:tcBorders>
              <w:top w:val="single" w:sz="6" w:space="0" w:color="000000"/>
            </w:tcBorders>
            <w:shd w:fill="CCEEFF" w:val="clear"/>
            <w:tcMar>
              <w:top w:w="28" w:type="dxa"/>
            </w:tcMar>
            <w:vAlign w:val="center"/>
          </w:tcPr>
          <w:p>
            <w:pPr>
              <w:pStyle w:val="TableContents"/>
              <w:bidi w:val="0"/>
              <w:spacing w:before="0" w:after="0"/>
              <w:jc w:val="both"/>
              <w:rPr/>
            </w:pPr>
            <w:r>
              <w:rPr/>
              <w:t> </w:t>
            </w:r>
          </w:p>
        </w:tc>
        <w:tc>
          <w:tcPr>
            <w:tcW w:w="785" w:type="dxa"/>
            <w:tcBorders/>
            <w:shd w:fill="CCEEFF" w:val="clear"/>
            <w:vAlign w:val="center"/>
          </w:tcPr>
          <w:p>
            <w:pPr>
              <w:pStyle w:val="TableContents"/>
              <w:bidi w:val="0"/>
              <w:spacing w:before="0" w:after="0"/>
              <w:jc w:val="right"/>
              <w:rPr>
                <w:sz w:val="20"/>
              </w:rPr>
            </w:pPr>
            <w:r>
              <w:rPr>
                <w:sz w:val="20"/>
              </w:rPr>
              <w:t>(2,215)</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r>
              <w:rPr>
                <w:sz w:val="20"/>
              </w:rPr>
              <w:t xml:space="preserve">16,615 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 </w:t>
            </w:r>
            <w:r>
              <w:rPr>
                <w:sz w:val="20"/>
              </w:rPr>
              <w:t xml:space="preserve">18,049 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pPr>
            <w:r>
              <w:rPr/>
              <w:t> </w:t>
            </w:r>
            <w:r>
              <w:rPr>
                <w:sz w:val="20"/>
              </w:rPr>
              <w:t xml:space="preserve">64,532  </w:t>
            </w:r>
          </w:p>
        </w:tc>
      </w:tr>
      <w:tr>
        <w:trPr/>
        <w:tc>
          <w:tcPr>
            <w:tcW w:w="4925" w:type="dxa"/>
            <w:tcBorders/>
            <w:shd w:fill="FFFFFF" w:val="clear"/>
            <w:vAlign w:val="center"/>
          </w:tcPr>
          <w:p>
            <w:pPr>
              <w:pStyle w:val="TableContents"/>
              <w:bidi w:val="0"/>
              <w:spacing w:before="0" w:after="0"/>
              <w:jc w:val="left"/>
              <w:rPr>
                <w:sz w:val="20"/>
              </w:rPr>
            </w:pPr>
            <w:r>
              <w:rPr>
                <w:sz w:val="20"/>
              </w:rPr>
              <w:t>Less: net (loss) income attributable noncontrolling interest</w:t>
            </w:r>
          </w:p>
        </w:tc>
        <w:tc>
          <w:tcPr>
            <w:tcW w:w="125" w:type="dxa"/>
            <w:tcBorders>
              <w:bottom w:val="single" w:sz="6" w:space="0" w:color="000000"/>
            </w:tcBorders>
            <w:shd w:fill="FFFFFF" w:val="clear"/>
            <w:tcMar>
              <w:bottom w:w="28" w:type="dxa"/>
            </w:tcMar>
            <w:vAlign w:val="center"/>
          </w:tcPr>
          <w:p>
            <w:pPr>
              <w:pStyle w:val="TableContents"/>
              <w:bidi w:val="0"/>
              <w:spacing w:before="0" w:after="0"/>
              <w:jc w:val="both"/>
              <w:rPr/>
            </w:pPr>
            <w:r>
              <w:rPr/>
              <w:t> </w:t>
            </w:r>
          </w:p>
        </w:tc>
        <w:tc>
          <w:tcPr>
            <w:tcW w:w="785" w:type="dxa"/>
            <w:tcBorders/>
            <w:shd w:fill="FFFFFF" w:val="clear"/>
            <w:vAlign w:val="center"/>
          </w:tcPr>
          <w:p>
            <w:pPr>
              <w:pStyle w:val="TableContents"/>
              <w:bidi w:val="0"/>
              <w:spacing w:before="0" w:after="0"/>
              <w:jc w:val="right"/>
              <w:rPr>
                <w:sz w:val="20"/>
              </w:rPr>
            </w:pPr>
            <w:r>
              <w:rPr>
                <w:sz w:val="20"/>
              </w:rPr>
              <w:t>(414)</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pPr>
            <w:r>
              <w:rPr/>
              <w:t> </w:t>
            </w:r>
            <w:r>
              <w:rPr>
                <w:sz w:val="20"/>
              </w:rPr>
              <w:t>(725)</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r>
              <w:rPr>
                <w:sz w:val="20"/>
              </w:rPr>
              <w:t xml:space="preserve">-  </w:t>
            </w:r>
          </w:p>
        </w:tc>
      </w:tr>
      <w:tr>
        <w:trPr/>
        <w:tc>
          <w:tcPr>
            <w:tcW w:w="4925" w:type="dxa"/>
            <w:tcBorders/>
            <w:shd w:fill="CCEEFF" w:val="clear"/>
            <w:vAlign w:val="center"/>
          </w:tcPr>
          <w:p>
            <w:pPr>
              <w:pStyle w:val="TableContents"/>
              <w:bidi w:val="0"/>
              <w:spacing w:before="0" w:after="0"/>
              <w:jc w:val="left"/>
              <w:rPr>
                <w:sz w:val="20"/>
              </w:rPr>
            </w:pPr>
            <w:r>
              <w:rPr>
                <w:sz w:val="20"/>
              </w:rPr>
              <w:t>Net (loss) income attributable to Hovnanian Enterprises, Inc.</w:t>
            </w:r>
          </w:p>
        </w:tc>
        <w:tc>
          <w:tcPr>
            <w:tcW w:w="125" w:type="dxa"/>
            <w:tcBorders>
              <w:top w:val="single" w:sz="6" w:space="0" w:color="000000"/>
            </w:tcBorders>
            <w:shd w:fill="CCEEFF" w:val="clear"/>
            <w:tcMar>
              <w:top w:w="28" w:type="dxa"/>
            </w:tcMar>
            <w:vAlign w:val="center"/>
          </w:tcPr>
          <w:p>
            <w:pPr>
              <w:pStyle w:val="TableContents"/>
              <w:bidi w:val="0"/>
              <w:spacing w:before="0" w:after="0"/>
              <w:jc w:val="both"/>
              <w:rPr/>
            </w:pPr>
            <w:r>
              <w:rPr/>
              <w:t> </w:t>
            </w:r>
          </w:p>
        </w:tc>
        <w:tc>
          <w:tcPr>
            <w:tcW w:w="78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(1,801)</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785"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 xml:space="preserve">16,615 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35"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 xml:space="preserve">18,774 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 xml:space="preserve">64,532  </w:t>
            </w:r>
          </w:p>
        </w:tc>
      </w:tr>
      <w:tr>
        <w:trPr/>
        <w:tc>
          <w:tcPr>
            <w:tcW w:w="4925" w:type="dxa"/>
            <w:tcBorders/>
            <w:shd w:fill="FFFFFF" w:val="clear"/>
            <w:vAlign w:val="center"/>
          </w:tcPr>
          <w:p>
            <w:pPr>
              <w:pStyle w:val="TableContents"/>
              <w:bidi w:val="0"/>
              <w:spacing w:before="0" w:after="0"/>
              <w:jc w:val="left"/>
              <w:rPr>
                <w:sz w:val="20"/>
              </w:rPr>
            </w:pPr>
            <w:r>
              <w:rPr>
                <w:sz w:val="20"/>
              </w:rPr>
              <w:t>Less: preferred stock dividends</w:t>
            </w:r>
          </w:p>
        </w:tc>
        <w:tc>
          <w:tcPr>
            <w:tcW w:w="125" w:type="dxa"/>
            <w:tcBorders/>
            <w:shd w:fill="FFFFFF" w:val="clear"/>
            <w:vAlign w:val="center"/>
          </w:tcPr>
          <w:p>
            <w:pPr>
              <w:pStyle w:val="TableContents"/>
              <w:bidi w:val="0"/>
              <w:spacing w:before="0" w:after="0"/>
              <w:jc w:val="both"/>
              <w:rPr/>
            </w:pPr>
            <w:r>
              <w:rPr/>
              <w:t> </w:t>
            </w:r>
          </w:p>
        </w:tc>
        <w:tc>
          <w:tcPr>
            <w:tcW w:w="785" w:type="dxa"/>
            <w:tcBorders/>
            <w:shd w:fill="FFFFFF" w:val="clear"/>
            <w:vAlign w:val="center"/>
          </w:tcPr>
          <w:p>
            <w:pPr>
              <w:pStyle w:val="TableContents"/>
              <w:bidi w:val="0"/>
              <w:spacing w:before="0" w:after="0"/>
              <w:jc w:val="right"/>
              <w:rPr/>
            </w:pPr>
            <w:r>
              <w:rPr/>
              <w:t xml:space="preserve">  </w:t>
            </w:r>
            <w:r>
              <w:rPr>
                <w:sz w:val="20"/>
              </w:rPr>
              <w:t xml:space="preserve">2,669 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sz w:val="20"/>
              </w:rPr>
            </w:pPr>
            <w:r>
              <w:rPr>
                <w:sz w:val="20"/>
              </w:rPr>
              <w:t xml:space="preserve">2,669 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sz w:val="20"/>
              </w:rPr>
            </w:pPr>
            <w:r>
              <w:rPr>
                <w:sz w:val="20"/>
              </w:rPr>
              <w:t xml:space="preserve">8,007 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sz w:val="20"/>
              </w:rPr>
            </w:pPr>
            <w:r>
              <w:rPr>
                <w:sz w:val="20"/>
              </w:rPr>
              <w:t xml:space="preserve">8,007  </w:t>
            </w:r>
          </w:p>
        </w:tc>
      </w:tr>
      <w:tr>
        <w:trPr/>
        <w:tc>
          <w:tcPr>
            <w:tcW w:w="4925" w:type="dxa"/>
            <w:tcBorders/>
            <w:shd w:fill="CCEEFF" w:val="clear"/>
            <w:vAlign w:val="center"/>
          </w:tcPr>
          <w:p>
            <w:pPr>
              <w:pStyle w:val="TableContents"/>
              <w:bidi w:val="0"/>
              <w:spacing w:before="0" w:after="0"/>
              <w:jc w:val="left"/>
              <w:rPr>
                <w:sz w:val="20"/>
              </w:rPr>
            </w:pPr>
            <w:r>
              <w:rPr>
                <w:sz w:val="20"/>
              </w:rPr>
              <w:t>Net (loss) income available to common stockholders</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both"/>
              <w:rPr>
                <w:sz w:val="20"/>
              </w:rPr>
            </w:pPr>
            <w:r>
              <w:rPr>
                <w:sz w:val="20"/>
              </w:rPr>
              <w:t>$</w:t>
            </w:r>
          </w:p>
        </w:tc>
        <w:tc>
          <w:tcPr>
            <w:tcW w:w="78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(4,470)</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78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r>
              <w:rPr>
                <w:sz w:val="20"/>
              </w:rPr>
              <w:t xml:space="preserve">13,946 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93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r>
              <w:rPr>
                <w:sz w:val="20"/>
              </w:rPr>
              <w:t xml:space="preserve">10,767 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95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r>
              <w:rPr>
                <w:sz w:val="20"/>
              </w:rPr>
              <w:t xml:space="preserve">56,525  </w:t>
            </w:r>
          </w:p>
        </w:tc>
      </w:tr>
      <w:tr>
        <w:trPr/>
        <w:tc>
          <w:tcPr>
            <w:tcW w:w="4925"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both"/>
              <w:rPr/>
            </w:pPr>
            <w:r>
              <w:rPr/>
              <w:t> </w:t>
            </w:r>
          </w:p>
        </w:tc>
        <w:tc>
          <w:tcPr>
            <w:tcW w:w="7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r>
      <w:tr>
        <w:trPr/>
        <w:tc>
          <w:tcPr>
            <w:tcW w:w="4925" w:type="dxa"/>
            <w:tcBorders/>
            <w:shd w:fill="CCEEFF" w:val="clear"/>
            <w:vAlign w:val="center"/>
          </w:tcPr>
          <w:p>
            <w:pPr>
              <w:pStyle w:val="TableContents"/>
              <w:bidi w:val="0"/>
              <w:spacing w:before="0" w:after="0"/>
              <w:jc w:val="left"/>
              <w:rPr>
                <w:sz w:val="20"/>
              </w:rPr>
            </w:pPr>
            <w:r>
              <w:rPr>
                <w:sz w:val="20"/>
              </w:rPr>
              <w:t>Per share data:</w:t>
            </w:r>
          </w:p>
        </w:tc>
        <w:tc>
          <w:tcPr>
            <w:tcW w:w="125" w:type="dxa"/>
            <w:tcBorders/>
            <w:shd w:fill="CCEEFF" w:val="clear"/>
            <w:vAlign w:val="center"/>
          </w:tcPr>
          <w:p>
            <w:pPr>
              <w:pStyle w:val="TableContents"/>
              <w:bidi w:val="0"/>
              <w:spacing w:before="0" w:after="0"/>
              <w:jc w:val="both"/>
              <w:rPr/>
            </w:pPr>
            <w:r>
              <w:rPr/>
              <w:t> </w:t>
            </w:r>
          </w:p>
        </w:tc>
        <w:tc>
          <w:tcPr>
            <w:tcW w:w="78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pPr>
            <w:r>
              <w:rPr/>
              <w:t> </w:t>
            </w:r>
          </w:p>
        </w:tc>
      </w:tr>
      <w:tr>
        <w:trPr/>
        <w:tc>
          <w:tcPr>
            <w:tcW w:w="4925" w:type="dxa"/>
            <w:tcBorders/>
            <w:shd w:fill="FFFFFF" w:val="clear"/>
            <w:vAlign w:val="center"/>
          </w:tcPr>
          <w:p>
            <w:pPr>
              <w:pStyle w:val="TableContents"/>
              <w:bidi w:val="0"/>
              <w:spacing w:before="0" w:after="0"/>
              <w:jc w:val="left"/>
              <w:rPr>
                <w:sz w:val="20"/>
              </w:rPr>
            </w:pPr>
            <w:r>
              <w:rPr>
                <w:sz w:val="20"/>
              </w:rPr>
              <w:t>Basic:</w:t>
            </w:r>
          </w:p>
        </w:tc>
        <w:tc>
          <w:tcPr>
            <w:tcW w:w="125" w:type="dxa"/>
            <w:tcBorders/>
            <w:shd w:fill="FFFFFF" w:val="clear"/>
            <w:vAlign w:val="center"/>
          </w:tcPr>
          <w:p>
            <w:pPr>
              <w:pStyle w:val="TableContents"/>
              <w:bidi w:val="0"/>
              <w:spacing w:before="0" w:after="0"/>
              <w:jc w:val="both"/>
              <w:rPr/>
            </w:pPr>
            <w:r>
              <w:rPr/>
              <w:t> </w:t>
            </w:r>
          </w:p>
        </w:tc>
        <w:tc>
          <w:tcPr>
            <w:tcW w:w="7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r>
      <w:tr>
        <w:trPr/>
        <w:tc>
          <w:tcPr>
            <w:tcW w:w="4925" w:type="dxa"/>
            <w:tcBorders/>
            <w:shd w:fill="CCEEFF" w:val="clear"/>
            <w:vAlign w:val="center"/>
          </w:tcPr>
          <w:p>
            <w:pPr>
              <w:pStyle w:val="TableContents"/>
              <w:bidi w:val="0"/>
              <w:spacing w:before="0" w:after="0"/>
              <w:ind w:left="288" w:right="0" w:hanging="0"/>
              <w:jc w:val="left"/>
              <w:rPr>
                <w:sz w:val="20"/>
              </w:rPr>
            </w:pPr>
            <w:r>
              <w:rPr>
                <w:sz w:val="20"/>
              </w:rPr>
              <w:t xml:space="preserve">Net (loss) income per common share </w:t>
            </w:r>
          </w:p>
        </w:tc>
        <w:tc>
          <w:tcPr>
            <w:tcW w:w="125" w:type="dxa"/>
            <w:tcBorders/>
            <w:shd w:fill="CCEEFF" w:val="clear"/>
            <w:vAlign w:val="center"/>
          </w:tcPr>
          <w:p>
            <w:pPr>
              <w:pStyle w:val="TableContents"/>
              <w:bidi w:val="0"/>
              <w:spacing w:before="0" w:after="0"/>
              <w:jc w:val="both"/>
              <w:rPr>
                <w:sz w:val="20"/>
              </w:rPr>
            </w:pPr>
            <w:r>
              <w:rPr>
                <w:sz w:val="20"/>
              </w:rPr>
              <w:t>$</w:t>
            </w:r>
          </w:p>
        </w:tc>
        <w:tc>
          <w:tcPr>
            <w:tcW w:w="785" w:type="dxa"/>
            <w:tcBorders/>
            <w:shd w:fill="CCEEFF" w:val="clear"/>
            <w:vAlign w:val="center"/>
          </w:tcPr>
          <w:p>
            <w:pPr>
              <w:pStyle w:val="TableContents"/>
              <w:bidi w:val="0"/>
              <w:spacing w:before="0" w:after="0"/>
              <w:jc w:val="right"/>
              <w:rPr/>
            </w:pPr>
            <w:r>
              <w:rPr/>
              <w:t xml:space="preserve">  </w:t>
            </w:r>
            <w:r>
              <w:rPr>
                <w:sz w:val="20"/>
              </w:rPr>
              <w:t>(0.70)</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785" w:type="dxa"/>
            <w:tcBorders/>
            <w:shd w:fill="CCEEFF" w:val="clear"/>
            <w:vAlign w:val="center"/>
          </w:tcPr>
          <w:p>
            <w:pPr>
              <w:pStyle w:val="TableContents"/>
              <w:bidi w:val="0"/>
              <w:spacing w:before="0" w:after="0"/>
              <w:jc w:val="right"/>
              <w:rPr/>
            </w:pPr>
            <w:r>
              <w:rPr/>
              <w:t xml:space="preserve">  </w:t>
            </w:r>
            <w:r>
              <w:rPr>
                <w:sz w:val="20"/>
              </w:rPr>
              <w:t xml:space="preserve">2.14 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935" w:type="dxa"/>
            <w:tcBorders/>
            <w:shd w:fill="CCEEFF" w:val="clear"/>
            <w:vAlign w:val="center"/>
          </w:tcPr>
          <w:p>
            <w:pPr>
              <w:pStyle w:val="TableContents"/>
              <w:bidi w:val="0"/>
              <w:spacing w:before="0" w:after="0"/>
              <w:jc w:val="right"/>
              <w:rPr/>
            </w:pPr>
            <w:r>
              <w:rPr/>
              <w:t xml:space="preserve">  </w:t>
            </w:r>
            <w:r>
              <w:rPr>
                <w:sz w:val="20"/>
              </w:rPr>
              <w:t xml:space="preserve">1.65 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950" w:type="dxa"/>
            <w:tcBorders/>
            <w:shd w:fill="CCEEFF" w:val="clear"/>
            <w:vAlign w:val="center"/>
          </w:tcPr>
          <w:p>
            <w:pPr>
              <w:pStyle w:val="TableContents"/>
              <w:bidi w:val="0"/>
              <w:spacing w:before="0" w:after="0"/>
              <w:jc w:val="right"/>
              <w:rPr/>
            </w:pPr>
            <w:r>
              <w:rPr/>
              <w:t xml:space="preserve">  </w:t>
            </w:r>
            <w:r>
              <w:rPr>
                <w:sz w:val="20"/>
              </w:rPr>
              <w:t xml:space="preserve">8.55  </w:t>
            </w:r>
          </w:p>
        </w:tc>
      </w:tr>
      <w:tr>
        <w:trPr/>
        <w:tc>
          <w:tcPr>
            <w:tcW w:w="4925" w:type="dxa"/>
            <w:tcBorders/>
            <w:shd w:fill="FFFFFF" w:val="clear"/>
            <w:vAlign w:val="center"/>
          </w:tcPr>
          <w:p>
            <w:pPr>
              <w:pStyle w:val="TableContents"/>
              <w:bidi w:val="0"/>
              <w:spacing w:before="0" w:after="0"/>
              <w:ind w:left="288" w:right="0" w:hanging="0"/>
              <w:jc w:val="left"/>
              <w:rPr>
                <w:sz w:val="20"/>
              </w:rPr>
            </w:pPr>
            <w:r>
              <w:rPr>
                <w:sz w:val="20"/>
              </w:rPr>
              <w:t>Weighted average number of common shares outstanding</w:t>
            </w:r>
          </w:p>
        </w:tc>
        <w:tc>
          <w:tcPr>
            <w:tcW w:w="125" w:type="dxa"/>
            <w:tcBorders/>
            <w:shd w:fill="FFFFFF" w:val="clear"/>
            <w:vAlign w:val="center"/>
          </w:tcPr>
          <w:p>
            <w:pPr>
              <w:pStyle w:val="TableContents"/>
              <w:bidi w:val="0"/>
              <w:spacing w:before="0" w:after="0"/>
              <w:ind w:left="144" w:right="0" w:hanging="0"/>
              <w:jc w:val="both"/>
              <w:rPr/>
            </w:pPr>
            <w:r>
              <w:rPr/>
              <w:t> </w:t>
            </w:r>
          </w:p>
        </w:tc>
        <w:tc>
          <w:tcPr>
            <w:tcW w:w="785" w:type="dxa"/>
            <w:tcBorders/>
            <w:shd w:fill="FFFFFF" w:val="clear"/>
            <w:vAlign w:val="center"/>
          </w:tcPr>
          <w:p>
            <w:pPr>
              <w:pStyle w:val="TableContents"/>
              <w:bidi w:val="0"/>
              <w:spacing w:before="0" w:after="0"/>
              <w:jc w:val="right"/>
              <w:rPr/>
            </w:pPr>
            <w:r>
              <w:rPr/>
              <w:t xml:space="preserve">  </w:t>
            </w:r>
            <w:r>
              <w:rPr>
                <w:sz w:val="20"/>
              </w:rPr>
              <w:t xml:space="preserve">6,412 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sz w:val="20"/>
              </w:rPr>
            </w:pPr>
            <w:r>
              <w:rPr>
                <w:sz w:val="20"/>
              </w:rPr>
              <w:t xml:space="preserve">6,399 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35" w:type="dxa"/>
            <w:tcBorders/>
            <w:shd w:fill="FFFFFF" w:val="clear"/>
            <w:vAlign w:val="center"/>
          </w:tcPr>
          <w:p>
            <w:pPr>
              <w:pStyle w:val="TableContents"/>
              <w:bidi w:val="0"/>
              <w:spacing w:before="0" w:after="0"/>
              <w:jc w:val="right"/>
              <w:rPr>
                <w:sz w:val="20"/>
              </w:rPr>
            </w:pPr>
            <w:r>
              <w:rPr>
                <w:sz w:val="20"/>
              </w:rPr>
              <w:t xml:space="preserve">6,439 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sz w:val="20"/>
              </w:rPr>
            </w:pPr>
            <w:r>
              <w:rPr>
                <w:sz w:val="20"/>
              </w:rPr>
              <w:t xml:space="preserve">6,442  </w:t>
            </w:r>
          </w:p>
        </w:tc>
      </w:tr>
      <w:tr>
        <w:trPr/>
        <w:tc>
          <w:tcPr>
            <w:tcW w:w="4925" w:type="dxa"/>
            <w:tcBorders/>
            <w:shd w:fill="CCEEFF" w:val="clear"/>
            <w:vAlign w:val="center"/>
          </w:tcPr>
          <w:p>
            <w:pPr>
              <w:pStyle w:val="TableContents"/>
              <w:bidi w:val="0"/>
              <w:spacing w:before="0" w:after="0"/>
              <w:jc w:val="left"/>
              <w:rPr>
                <w:sz w:val="20"/>
              </w:rPr>
            </w:pPr>
            <w:r>
              <w:rPr>
                <w:sz w:val="20"/>
              </w:rPr>
              <w:t>Assuming dilution:</w:t>
            </w:r>
          </w:p>
        </w:tc>
        <w:tc>
          <w:tcPr>
            <w:tcW w:w="125" w:type="dxa"/>
            <w:tcBorders/>
            <w:shd w:fill="CCEEFF" w:val="clear"/>
            <w:vAlign w:val="center"/>
          </w:tcPr>
          <w:p>
            <w:pPr>
              <w:pStyle w:val="TableContents"/>
              <w:bidi w:val="0"/>
              <w:spacing w:before="0" w:after="0"/>
              <w:jc w:val="both"/>
              <w:rPr/>
            </w:pPr>
            <w:r>
              <w:rPr/>
              <w:t> </w:t>
            </w:r>
          </w:p>
        </w:tc>
        <w:tc>
          <w:tcPr>
            <w:tcW w:w="78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pPr>
            <w:r>
              <w:rPr/>
              <w:t> </w:t>
            </w:r>
          </w:p>
        </w:tc>
      </w:tr>
      <w:tr>
        <w:trPr/>
        <w:tc>
          <w:tcPr>
            <w:tcW w:w="4925" w:type="dxa"/>
            <w:tcBorders/>
            <w:shd w:fill="FFFFFF" w:val="clear"/>
            <w:vAlign w:val="center"/>
          </w:tcPr>
          <w:p>
            <w:pPr>
              <w:pStyle w:val="TableContents"/>
              <w:bidi w:val="0"/>
              <w:spacing w:before="0" w:after="0"/>
              <w:ind w:left="288" w:right="0" w:hanging="0"/>
              <w:jc w:val="left"/>
              <w:rPr>
                <w:sz w:val="20"/>
              </w:rPr>
            </w:pPr>
            <w:r>
              <w:rPr>
                <w:sz w:val="20"/>
              </w:rPr>
              <w:t xml:space="preserve">Net (loss) income per common share </w:t>
            </w:r>
          </w:p>
        </w:tc>
        <w:tc>
          <w:tcPr>
            <w:tcW w:w="125" w:type="dxa"/>
            <w:tcBorders/>
            <w:shd w:fill="FFFFFF" w:val="clear"/>
            <w:vAlign w:val="center"/>
          </w:tcPr>
          <w:p>
            <w:pPr>
              <w:pStyle w:val="TableContents"/>
              <w:bidi w:val="0"/>
              <w:spacing w:before="0" w:after="0"/>
              <w:jc w:val="both"/>
              <w:rPr>
                <w:sz w:val="20"/>
              </w:rPr>
            </w:pPr>
            <w:r>
              <w:rPr>
                <w:sz w:val="20"/>
              </w:rPr>
              <w:t>$</w:t>
            </w:r>
          </w:p>
        </w:tc>
        <w:tc>
          <w:tcPr>
            <w:tcW w:w="785" w:type="dxa"/>
            <w:tcBorders/>
            <w:shd w:fill="FFFFFF" w:val="clear"/>
            <w:vAlign w:val="center"/>
          </w:tcPr>
          <w:p>
            <w:pPr>
              <w:pStyle w:val="TableContents"/>
              <w:bidi w:val="0"/>
              <w:spacing w:before="0" w:after="0"/>
              <w:jc w:val="right"/>
              <w:rPr/>
            </w:pPr>
            <w:r>
              <w:rPr/>
              <w:t xml:space="preserve">  </w:t>
            </w:r>
            <w:r>
              <w:rPr>
                <w:sz w:val="20"/>
              </w:rPr>
              <w:t>(0.70)</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sz w:val="20"/>
              </w:rPr>
            </w:pPr>
            <w:r>
              <w:rPr>
                <w:sz w:val="20"/>
              </w:rPr>
              <w:t xml:space="preserve">$ </w:t>
            </w:r>
          </w:p>
        </w:tc>
        <w:tc>
          <w:tcPr>
            <w:tcW w:w="785" w:type="dxa"/>
            <w:tcBorders/>
            <w:shd w:fill="FFFFFF" w:val="clear"/>
            <w:vAlign w:val="center"/>
          </w:tcPr>
          <w:p>
            <w:pPr>
              <w:pStyle w:val="TableContents"/>
              <w:bidi w:val="0"/>
              <w:spacing w:before="0" w:after="0"/>
              <w:jc w:val="right"/>
              <w:rPr/>
            </w:pPr>
            <w:r>
              <w:rPr/>
              <w:t xml:space="preserve">  </w:t>
            </w:r>
            <w:r>
              <w:rPr>
                <w:sz w:val="20"/>
              </w:rPr>
              <w:t xml:space="preserve">1.99 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sz w:val="20"/>
              </w:rPr>
            </w:pPr>
            <w:r>
              <w:rPr>
                <w:sz w:val="20"/>
              </w:rPr>
              <w:t xml:space="preserve">$ </w:t>
            </w:r>
          </w:p>
        </w:tc>
        <w:tc>
          <w:tcPr>
            <w:tcW w:w="935" w:type="dxa"/>
            <w:tcBorders/>
            <w:shd w:fill="FFFFFF" w:val="clear"/>
            <w:vAlign w:val="center"/>
          </w:tcPr>
          <w:p>
            <w:pPr>
              <w:pStyle w:val="TableContents"/>
              <w:bidi w:val="0"/>
              <w:spacing w:before="0" w:after="0"/>
              <w:jc w:val="right"/>
              <w:rPr/>
            </w:pPr>
            <w:r>
              <w:rPr/>
              <w:t xml:space="preserve">  </w:t>
            </w:r>
            <w:r>
              <w:rPr>
                <w:sz w:val="20"/>
              </w:rPr>
              <w:t xml:space="preserve">1.55 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sz w:val="20"/>
              </w:rPr>
            </w:pPr>
            <w:r>
              <w:rPr>
                <w:sz w:val="20"/>
              </w:rPr>
              <w:t xml:space="preserve">$ </w:t>
            </w:r>
          </w:p>
        </w:tc>
        <w:tc>
          <w:tcPr>
            <w:tcW w:w="950" w:type="dxa"/>
            <w:tcBorders/>
            <w:shd w:fill="FFFFFF" w:val="clear"/>
            <w:vAlign w:val="center"/>
          </w:tcPr>
          <w:p>
            <w:pPr>
              <w:pStyle w:val="TableContents"/>
              <w:bidi w:val="0"/>
              <w:spacing w:before="0" w:after="0"/>
              <w:jc w:val="right"/>
              <w:rPr/>
            </w:pPr>
            <w:r>
              <w:rPr/>
              <w:t xml:space="preserve">  </w:t>
            </w:r>
            <w:r>
              <w:rPr>
                <w:sz w:val="20"/>
              </w:rPr>
              <w:t xml:space="preserve">7.94  </w:t>
            </w:r>
          </w:p>
        </w:tc>
      </w:tr>
      <w:tr>
        <w:trPr/>
        <w:tc>
          <w:tcPr>
            <w:tcW w:w="4925" w:type="dxa"/>
            <w:tcBorders/>
            <w:shd w:fill="CCEEFF" w:val="clear"/>
            <w:vAlign w:val="center"/>
          </w:tcPr>
          <w:p>
            <w:pPr>
              <w:pStyle w:val="TableContents"/>
              <w:bidi w:val="0"/>
              <w:spacing w:before="0" w:after="0"/>
              <w:ind w:left="288" w:right="0" w:hanging="0"/>
              <w:jc w:val="left"/>
              <w:rPr>
                <w:sz w:val="20"/>
              </w:rPr>
            </w:pPr>
            <w:r>
              <w:rPr>
                <w:sz w:val="20"/>
              </w:rPr>
              <w:t>Weighted average number of common shares outstanding</w:t>
            </w:r>
          </w:p>
        </w:tc>
        <w:tc>
          <w:tcPr>
            <w:tcW w:w="125" w:type="dxa"/>
            <w:tcBorders/>
            <w:shd w:fill="CCEEFF" w:val="clear"/>
            <w:vAlign w:val="center"/>
          </w:tcPr>
          <w:p>
            <w:pPr>
              <w:pStyle w:val="TableContents"/>
              <w:bidi w:val="0"/>
              <w:spacing w:before="0" w:after="0"/>
              <w:ind w:left="144" w:right="0" w:hanging="0"/>
              <w:jc w:val="both"/>
              <w:rPr/>
            </w:pPr>
            <w:r>
              <w:rPr/>
              <w:t> </w:t>
            </w:r>
          </w:p>
        </w:tc>
        <w:tc>
          <w:tcPr>
            <w:tcW w:w="785" w:type="dxa"/>
            <w:tcBorders/>
            <w:shd w:fill="CCEEFF" w:val="clear"/>
            <w:vAlign w:val="center"/>
          </w:tcPr>
          <w:p>
            <w:pPr>
              <w:pStyle w:val="TableContents"/>
              <w:bidi w:val="0"/>
              <w:spacing w:before="0" w:after="0"/>
              <w:jc w:val="right"/>
              <w:rPr/>
            </w:pPr>
            <w:r>
              <w:rPr/>
              <w:t xml:space="preserve">  </w:t>
            </w:r>
            <w:r>
              <w:rPr>
                <w:sz w:val="20"/>
              </w:rPr>
              <w:t xml:space="preserve">6,412 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sz w:val="20"/>
              </w:rPr>
            </w:pPr>
            <w:r>
              <w:rPr>
                <w:sz w:val="20"/>
              </w:rPr>
              <w:t xml:space="preserve">6,887 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sz w:val="20"/>
              </w:rPr>
            </w:pPr>
            <w:r>
              <w:rPr>
                <w:sz w:val="20"/>
              </w:rPr>
              <w:t xml:space="preserve">6,840 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sz w:val="20"/>
              </w:rPr>
            </w:pPr>
            <w:r>
              <w:rPr>
                <w:sz w:val="20"/>
              </w:rPr>
              <w:t xml:space="preserve">6,936  </w:t>
            </w:r>
          </w:p>
        </w:tc>
      </w:tr>
    </w:tbl>
    <w:p>
      <w:pPr>
        <w:pStyle w:val="TextBody"/>
        <w:bidi w:val="0"/>
        <w:spacing w:before="0" w:after="0"/>
        <w:jc w:val="left"/>
        <w:rPr/>
      </w:pPr>
      <w:r>
        <w:rPr/>
        <w:t> </w:t>
      </w:r>
    </w:p>
    <w:p>
      <w:pPr>
        <w:pStyle w:val="TextBody"/>
        <w:bidi w:val="0"/>
        <w:spacing w:before="0" w:after="0"/>
        <w:ind w:left="115" w:right="0" w:hanging="0"/>
        <w:jc w:val="left"/>
        <w:rPr>
          <w:sz w:val="20"/>
        </w:rPr>
      </w:pPr>
      <w:r>
        <w:rPr>
          <w:sz w:val="20"/>
        </w:rPr>
        <w:t>(1) Includes inventory impairments and land option write-offs.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94"/>
        <w:gridCol w:w="205"/>
        <w:gridCol w:w="205"/>
        <w:gridCol w:w="205"/>
        <w:gridCol w:w="205"/>
        <w:gridCol w:w="205"/>
        <w:gridCol w:w="205"/>
        <w:gridCol w:w="205"/>
        <w:gridCol w:w="205"/>
        <w:gridCol w:w="205"/>
        <w:gridCol w:w="205"/>
        <w:gridCol w:w="261"/>
      </w:tblGrid>
      <w:tr>
        <w:trPr/>
        <w:tc>
          <w:tcPr>
            <w:tcW w:w="7894" w:type="dxa"/>
            <w:tcBorders/>
            <w:vAlign w:val="center"/>
          </w:tcPr>
          <w:p>
            <w:pPr>
              <w:pStyle w:val="TableContents"/>
              <w:bidi w:val="0"/>
              <w:spacing w:before="0" w:after="0"/>
              <w:jc w:val="left"/>
              <w:rPr>
                <w:b/>
                <w:sz w:val="20"/>
              </w:rPr>
            </w:pPr>
            <w:r>
              <w:rPr>
                <w:b/>
                <w:sz w:val="20"/>
              </w:rPr>
              <w:t>Hovnanian Enterprises, Inc.</w:t>
            </w:r>
          </w:p>
        </w:tc>
        <w:tc>
          <w:tcPr>
            <w:tcW w:w="205" w:type="dxa"/>
            <w:tcBorders/>
            <w:shd w:fill="FFFFFF" w:val="clear"/>
            <w:vAlign w:val="center"/>
          </w:tcPr>
          <w:p>
            <w:pPr>
              <w:pStyle w:val="TableContents"/>
              <w:bidi w:val="0"/>
              <w:spacing w:before="0" w:after="0"/>
              <w:jc w:val="left"/>
              <w:rPr/>
            </w:pPr>
            <w:r>
              <w:rPr/>
              <w:t> </w:t>
            </w:r>
          </w:p>
        </w:tc>
        <w:tc>
          <w:tcPr>
            <w:tcW w:w="205" w:type="dxa"/>
            <w:tcBorders/>
            <w:shd w:fill="FFFFFF" w:val="clear"/>
            <w:vAlign w:val="center"/>
          </w:tcPr>
          <w:p>
            <w:pPr>
              <w:pStyle w:val="TableContents"/>
              <w:bidi w:val="0"/>
              <w:spacing w:before="0" w:after="0"/>
              <w:jc w:val="left"/>
              <w:rPr/>
            </w:pPr>
            <w:r>
              <w:rPr/>
              <w:t> </w:t>
            </w:r>
          </w:p>
        </w:tc>
        <w:tc>
          <w:tcPr>
            <w:tcW w:w="205" w:type="dxa"/>
            <w:tcBorders/>
            <w:shd w:fill="FFFFFF" w:val="clear"/>
            <w:vAlign w:val="center"/>
          </w:tcPr>
          <w:p>
            <w:pPr>
              <w:pStyle w:val="TableContents"/>
              <w:bidi w:val="0"/>
              <w:spacing w:before="0" w:after="0"/>
              <w:jc w:val="left"/>
              <w:rPr/>
            </w:pPr>
            <w:r>
              <w:rPr/>
              <w:t> </w:t>
            </w:r>
          </w:p>
        </w:tc>
        <w:tc>
          <w:tcPr>
            <w:tcW w:w="205" w:type="dxa"/>
            <w:tcBorders/>
            <w:shd w:fill="FFFFFF" w:val="clear"/>
            <w:vAlign w:val="center"/>
          </w:tcPr>
          <w:p>
            <w:pPr>
              <w:pStyle w:val="TableContents"/>
              <w:bidi w:val="0"/>
              <w:spacing w:before="0" w:after="0"/>
              <w:jc w:val="left"/>
              <w:rPr/>
            </w:pPr>
            <w:r>
              <w:rPr/>
              <w:t> </w:t>
            </w:r>
          </w:p>
        </w:tc>
        <w:tc>
          <w:tcPr>
            <w:tcW w:w="205" w:type="dxa"/>
            <w:tcBorders/>
            <w:shd w:fill="FFFFFF" w:val="clear"/>
            <w:vAlign w:val="center"/>
          </w:tcPr>
          <w:p>
            <w:pPr>
              <w:pStyle w:val="TableContents"/>
              <w:bidi w:val="0"/>
              <w:spacing w:before="0" w:after="0"/>
              <w:jc w:val="left"/>
              <w:rPr/>
            </w:pPr>
            <w:r>
              <w:rPr/>
              <w:t> </w:t>
            </w:r>
          </w:p>
        </w:tc>
        <w:tc>
          <w:tcPr>
            <w:tcW w:w="205"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center"/>
              <w:rPr/>
            </w:pPr>
            <w:r>
              <w:rPr/>
              <w:t> </w:t>
            </w:r>
          </w:p>
        </w:tc>
        <w:tc>
          <w:tcPr>
            <w:tcW w:w="205"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center"/>
              <w:rPr/>
            </w:pPr>
            <w:r>
              <w:rPr/>
              <w:t> </w:t>
            </w:r>
          </w:p>
        </w:tc>
        <w:tc>
          <w:tcPr>
            <w:tcW w:w="261" w:type="dxa"/>
            <w:tcBorders/>
            <w:shd w:fill="FFFFFF" w:val="clear"/>
            <w:vAlign w:val="center"/>
          </w:tcPr>
          <w:p>
            <w:pPr>
              <w:pStyle w:val="TableContents"/>
              <w:bidi w:val="0"/>
              <w:spacing w:before="0" w:after="0"/>
              <w:jc w:val="right"/>
              <w:rPr/>
            </w:pPr>
            <w:r>
              <w:rPr/>
              <w:t> </w:t>
            </w:r>
          </w:p>
        </w:tc>
      </w:tr>
      <w:tr>
        <w:trPr/>
        <w:tc>
          <w:tcPr>
            <w:tcW w:w="10205" w:type="dxa"/>
            <w:gridSpan w:val="12"/>
            <w:tcBorders/>
            <w:vAlign w:val="center"/>
          </w:tcPr>
          <w:p>
            <w:pPr>
              <w:pStyle w:val="TableContents"/>
              <w:bidi w:val="0"/>
              <w:spacing w:before="0" w:after="0"/>
              <w:jc w:val="left"/>
              <w:rPr>
                <w:b/>
                <w:sz w:val="20"/>
              </w:rPr>
            </w:pPr>
            <w:r>
              <w:rPr>
                <w:b/>
                <w:sz w:val="20"/>
              </w:rPr>
              <w:t>July 31, 2026</w:t>
            </w:r>
          </w:p>
        </w:tc>
      </w:tr>
      <w:tr>
        <w:trPr/>
        <w:tc>
          <w:tcPr>
            <w:tcW w:w="10205" w:type="dxa"/>
            <w:gridSpan w:val="12"/>
            <w:tcBorders/>
            <w:vAlign w:val="center"/>
          </w:tcPr>
          <w:p>
            <w:pPr>
              <w:pStyle w:val="TableContents"/>
              <w:bidi w:val="0"/>
              <w:spacing w:before="0" w:after="0"/>
              <w:jc w:val="both"/>
              <w:rPr>
                <w:sz w:val="20"/>
              </w:rPr>
            </w:pPr>
            <w:r>
              <w:rPr>
                <w:sz w:val="20"/>
              </w:rPr>
              <w:t>Reconciliation of (loss) income before income taxes excluding land-related charges and gain on extinguishment of debt, net to (loss) income before income taxes</w:t>
            </w:r>
          </w:p>
        </w:tc>
      </w:tr>
      <w:tr>
        <w:trPr/>
        <w:tc>
          <w:tcPr>
            <w:tcW w:w="7894" w:type="dxa"/>
            <w:tcBorders/>
            <w:vAlign w:val="center"/>
          </w:tcPr>
          <w:p>
            <w:pPr>
              <w:pStyle w:val="TableContents"/>
              <w:bidi w:val="0"/>
              <w:spacing w:before="0" w:after="0"/>
              <w:jc w:val="left"/>
              <w:rPr>
                <w:sz w:val="20"/>
              </w:rPr>
            </w:pPr>
            <w:r>
              <w:rPr>
                <w:sz w:val="20"/>
              </w:rPr>
              <w:t>(In thousands)</w:t>
            </w:r>
          </w:p>
        </w:tc>
        <w:tc>
          <w:tcPr>
            <w:tcW w:w="205" w:type="dxa"/>
            <w:tcBorders/>
            <w:vAlign w:val="center"/>
          </w:tcPr>
          <w:p>
            <w:pPr>
              <w:pStyle w:val="TableContents"/>
              <w:bidi w:val="0"/>
              <w:spacing w:before="0" w:after="0"/>
              <w:jc w:val="center"/>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center"/>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center"/>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center"/>
              <w:rPr/>
            </w:pPr>
            <w:r>
              <w:rPr/>
              <w:t> </w:t>
            </w:r>
          </w:p>
        </w:tc>
        <w:tc>
          <w:tcPr>
            <w:tcW w:w="261" w:type="dxa"/>
            <w:tcBorders/>
            <w:vAlign w:val="center"/>
          </w:tcPr>
          <w:p>
            <w:pPr>
              <w:pStyle w:val="TableContents"/>
              <w:bidi w:val="0"/>
              <w:spacing w:before="0" w:after="0"/>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06"/>
        <w:gridCol w:w="128"/>
        <w:gridCol w:w="606"/>
        <w:gridCol w:w="61"/>
        <w:gridCol w:w="128"/>
        <w:gridCol w:w="750"/>
        <w:gridCol w:w="60"/>
        <w:gridCol w:w="125"/>
        <w:gridCol w:w="666"/>
        <w:gridCol w:w="60"/>
        <w:gridCol w:w="125"/>
        <w:gridCol w:w="790"/>
      </w:tblGrid>
      <w:tr>
        <w:trPr/>
        <w:tc>
          <w:tcPr>
            <w:tcW w:w="6706" w:type="dxa"/>
            <w:tcBorders/>
            <w:shd w:fill="FFFFFF" w:val="clear"/>
            <w:vAlign w:val="center"/>
          </w:tcPr>
          <w:p>
            <w:pPr>
              <w:pStyle w:val="TableContents"/>
              <w:bidi w:val="0"/>
              <w:spacing w:before="0" w:after="0"/>
              <w:jc w:val="right"/>
              <w:rPr/>
            </w:pPr>
            <w:r>
              <w:rPr/>
              <w:t> </w:t>
            </w:r>
          </w:p>
        </w:tc>
        <w:tc>
          <w:tcPr>
            <w:tcW w:w="1673" w:type="dxa"/>
            <w:gridSpan w:val="5"/>
            <w:tcBorders/>
            <w:shd w:fill="FFFFFF" w:val="clear"/>
            <w:vAlign w:val="center"/>
          </w:tcPr>
          <w:p>
            <w:pPr>
              <w:pStyle w:val="TableContents"/>
              <w:bidi w:val="0"/>
              <w:spacing w:before="0" w:after="0"/>
              <w:jc w:val="center"/>
              <w:rPr>
                <w:sz w:val="20"/>
              </w:rPr>
            </w:pPr>
            <w:r>
              <w:rPr>
                <w:sz w:val="20"/>
              </w:rPr>
              <w:t>Three Months Ended</w:t>
            </w:r>
          </w:p>
        </w:tc>
        <w:tc>
          <w:tcPr>
            <w:tcW w:w="60" w:type="dxa"/>
            <w:tcBorders/>
            <w:shd w:fill="FFFFFF" w:val="clear"/>
            <w:vAlign w:val="center"/>
          </w:tcPr>
          <w:p>
            <w:pPr>
              <w:pStyle w:val="TableContents"/>
              <w:bidi w:val="0"/>
              <w:spacing w:before="0" w:after="0"/>
              <w:jc w:val="right"/>
              <w:rPr/>
            </w:pPr>
            <w:r>
              <w:rPr/>
              <w:t> </w:t>
            </w:r>
          </w:p>
        </w:tc>
        <w:tc>
          <w:tcPr>
            <w:tcW w:w="1766" w:type="dxa"/>
            <w:gridSpan w:val="5"/>
            <w:tcBorders/>
            <w:shd w:fill="FFFFFF" w:val="clear"/>
            <w:vAlign w:val="center"/>
          </w:tcPr>
          <w:p>
            <w:pPr>
              <w:pStyle w:val="TableContents"/>
              <w:bidi w:val="0"/>
              <w:spacing w:before="0" w:after="0"/>
              <w:jc w:val="center"/>
              <w:rPr>
                <w:sz w:val="20"/>
              </w:rPr>
            </w:pPr>
            <w:r>
              <w:rPr>
                <w:sz w:val="20"/>
              </w:rPr>
              <w:t>Nine Months Ended</w:t>
            </w:r>
          </w:p>
        </w:tc>
      </w:tr>
      <w:tr>
        <w:trPr/>
        <w:tc>
          <w:tcPr>
            <w:tcW w:w="6706" w:type="dxa"/>
            <w:tcBorders/>
            <w:shd w:fill="FFFFFF" w:val="clear"/>
            <w:vAlign w:val="center"/>
          </w:tcPr>
          <w:p>
            <w:pPr>
              <w:pStyle w:val="TableContents"/>
              <w:bidi w:val="0"/>
              <w:spacing w:before="0" w:after="0"/>
              <w:jc w:val="right"/>
              <w:rPr/>
            </w:pPr>
            <w:r>
              <w:rPr/>
              <w:t> </w:t>
            </w:r>
          </w:p>
        </w:tc>
        <w:tc>
          <w:tcPr>
            <w:tcW w:w="1673" w:type="dxa"/>
            <w:gridSpan w:val="5"/>
            <w:tcBorders>
              <w:bottom w:val="single" w:sz="6" w:space="0" w:color="000000"/>
            </w:tcBorders>
            <w:shd w:fill="FFFFFF" w:val="clear"/>
            <w:tcMar>
              <w:bottom w:w="28" w:type="dxa"/>
            </w:tcMar>
            <w:vAlign w:val="center"/>
          </w:tcPr>
          <w:p>
            <w:pPr>
              <w:pStyle w:val="TableContents"/>
              <w:bidi w:val="0"/>
              <w:spacing w:before="0" w:after="0"/>
              <w:jc w:val="center"/>
              <w:rPr>
                <w:sz w:val="20"/>
              </w:rPr>
            </w:pPr>
            <w:r>
              <w:rPr>
                <w:sz w:val="20"/>
              </w:rPr>
              <w:t>July 31,</w:t>
            </w:r>
          </w:p>
        </w:tc>
        <w:tc>
          <w:tcPr>
            <w:tcW w:w="60" w:type="dxa"/>
            <w:tcBorders/>
            <w:shd w:fill="FFFFFF" w:val="clear"/>
            <w:vAlign w:val="center"/>
          </w:tcPr>
          <w:p>
            <w:pPr>
              <w:pStyle w:val="TableContents"/>
              <w:bidi w:val="0"/>
              <w:spacing w:before="0" w:after="0"/>
              <w:jc w:val="right"/>
              <w:rPr/>
            </w:pPr>
            <w:r>
              <w:rPr/>
              <w:t> </w:t>
            </w:r>
          </w:p>
        </w:tc>
        <w:tc>
          <w:tcPr>
            <w:tcW w:w="1766" w:type="dxa"/>
            <w:gridSpan w:val="5"/>
            <w:tcBorders>
              <w:bottom w:val="single" w:sz="6" w:space="0" w:color="000000"/>
            </w:tcBorders>
            <w:shd w:fill="FFFFFF" w:val="clear"/>
            <w:tcMar>
              <w:bottom w:w="28" w:type="dxa"/>
            </w:tcMar>
            <w:vAlign w:val="center"/>
          </w:tcPr>
          <w:p>
            <w:pPr>
              <w:pStyle w:val="TableContents"/>
              <w:bidi w:val="0"/>
              <w:spacing w:before="0" w:after="0"/>
              <w:jc w:val="center"/>
              <w:rPr>
                <w:sz w:val="20"/>
              </w:rPr>
            </w:pPr>
            <w:r>
              <w:rPr>
                <w:sz w:val="20"/>
              </w:rPr>
              <w:t>July 31,</w:t>
            </w:r>
          </w:p>
        </w:tc>
      </w:tr>
      <w:tr>
        <w:trPr/>
        <w:tc>
          <w:tcPr>
            <w:tcW w:w="6706" w:type="dxa"/>
            <w:tcBorders/>
            <w:shd w:fill="FFFFFF" w:val="clear"/>
            <w:vAlign w:val="center"/>
          </w:tcPr>
          <w:p>
            <w:pPr>
              <w:pStyle w:val="TableContents"/>
              <w:bidi w:val="0"/>
              <w:spacing w:before="0" w:after="0"/>
              <w:jc w:val="right"/>
              <w:rPr/>
            </w:pPr>
            <w:r>
              <w:rPr/>
              <w:t> </w:t>
            </w:r>
          </w:p>
        </w:tc>
        <w:tc>
          <w:tcPr>
            <w:tcW w:w="734"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2026</w:t>
            </w:r>
          </w:p>
        </w:tc>
        <w:tc>
          <w:tcPr>
            <w:tcW w:w="61" w:type="dxa"/>
            <w:tcBorders/>
            <w:shd w:fill="FFFFFF" w:val="clear"/>
            <w:vAlign w:val="center"/>
          </w:tcPr>
          <w:p>
            <w:pPr>
              <w:pStyle w:val="TableContents"/>
              <w:bidi w:val="0"/>
              <w:spacing w:before="0" w:after="0"/>
              <w:jc w:val="center"/>
              <w:rPr/>
            </w:pPr>
            <w:r>
              <w:rPr/>
              <w:t> </w:t>
            </w:r>
          </w:p>
        </w:tc>
        <w:tc>
          <w:tcPr>
            <w:tcW w:w="878"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2025</w:t>
            </w:r>
          </w:p>
        </w:tc>
        <w:tc>
          <w:tcPr>
            <w:tcW w:w="60" w:type="dxa"/>
            <w:tcBorders/>
            <w:shd w:fill="FFFFFF" w:val="clear"/>
            <w:vAlign w:val="center"/>
          </w:tcPr>
          <w:p>
            <w:pPr>
              <w:pStyle w:val="TableContents"/>
              <w:bidi w:val="0"/>
              <w:spacing w:before="0" w:after="0"/>
              <w:jc w:val="right"/>
              <w:rPr/>
            </w:pPr>
            <w:r>
              <w:rPr/>
              <w:t> </w:t>
            </w:r>
          </w:p>
        </w:tc>
        <w:tc>
          <w:tcPr>
            <w:tcW w:w="791"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2026</w:t>
            </w:r>
          </w:p>
        </w:tc>
        <w:tc>
          <w:tcPr>
            <w:tcW w:w="60" w:type="dxa"/>
            <w:tcBorders/>
            <w:shd w:fill="FFFFFF" w:val="clear"/>
            <w:vAlign w:val="center"/>
          </w:tcPr>
          <w:p>
            <w:pPr>
              <w:pStyle w:val="TableContents"/>
              <w:bidi w:val="0"/>
              <w:spacing w:before="0" w:after="0"/>
              <w:jc w:val="center"/>
              <w:rPr/>
            </w:pPr>
            <w:r>
              <w:rPr/>
              <w:t> </w:t>
            </w:r>
          </w:p>
        </w:tc>
        <w:tc>
          <w:tcPr>
            <w:tcW w:w="915"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2025</w:t>
            </w:r>
          </w:p>
        </w:tc>
      </w:tr>
      <w:tr>
        <w:trPr/>
        <w:tc>
          <w:tcPr>
            <w:tcW w:w="6706" w:type="dxa"/>
            <w:tcBorders/>
            <w:shd w:fill="FFFFFF" w:val="clear"/>
            <w:vAlign w:val="center"/>
          </w:tcPr>
          <w:p>
            <w:pPr>
              <w:pStyle w:val="TableContents"/>
              <w:bidi w:val="0"/>
              <w:spacing w:before="0" w:after="0"/>
              <w:jc w:val="right"/>
              <w:rPr/>
            </w:pPr>
            <w:r>
              <w:rPr/>
              <w:t> </w:t>
            </w:r>
          </w:p>
        </w:tc>
        <w:tc>
          <w:tcPr>
            <w:tcW w:w="1673" w:type="dxa"/>
            <w:gridSpan w:val="5"/>
            <w:tcBorders/>
            <w:shd w:fill="FFFFFF" w:val="clear"/>
            <w:vAlign w:val="center"/>
          </w:tcPr>
          <w:p>
            <w:pPr>
              <w:pStyle w:val="TableContents"/>
              <w:bidi w:val="0"/>
              <w:spacing w:before="0" w:after="0"/>
              <w:jc w:val="center"/>
              <w:rPr>
                <w:sz w:val="20"/>
              </w:rPr>
            </w:pPr>
            <w:r>
              <w:rPr>
                <w:sz w:val="20"/>
              </w:rPr>
              <w:t>(Unaudited)</w:t>
            </w:r>
          </w:p>
        </w:tc>
        <w:tc>
          <w:tcPr>
            <w:tcW w:w="60" w:type="dxa"/>
            <w:tcBorders/>
            <w:shd w:fill="FFFFFF" w:val="clear"/>
            <w:vAlign w:val="center"/>
          </w:tcPr>
          <w:p>
            <w:pPr>
              <w:pStyle w:val="TableContents"/>
              <w:bidi w:val="0"/>
              <w:spacing w:before="0" w:after="0"/>
              <w:jc w:val="right"/>
              <w:rPr/>
            </w:pPr>
            <w:r>
              <w:rPr/>
              <w:t> </w:t>
            </w:r>
          </w:p>
        </w:tc>
        <w:tc>
          <w:tcPr>
            <w:tcW w:w="1766" w:type="dxa"/>
            <w:gridSpan w:val="5"/>
            <w:tcBorders/>
            <w:shd w:fill="FFFFFF" w:val="clear"/>
            <w:vAlign w:val="center"/>
          </w:tcPr>
          <w:p>
            <w:pPr>
              <w:pStyle w:val="TableContents"/>
              <w:bidi w:val="0"/>
              <w:spacing w:before="0" w:after="0"/>
              <w:jc w:val="center"/>
              <w:rPr>
                <w:sz w:val="20"/>
              </w:rPr>
            </w:pPr>
            <w:r>
              <w:rPr>
                <w:sz w:val="20"/>
              </w:rPr>
              <w:t>(Unaudited)</w:t>
            </w:r>
          </w:p>
        </w:tc>
      </w:tr>
      <w:tr>
        <w:trPr/>
        <w:tc>
          <w:tcPr>
            <w:tcW w:w="6706" w:type="dxa"/>
            <w:tcBorders/>
            <w:shd w:fill="CCEEFF" w:val="clear"/>
            <w:vAlign w:val="center"/>
          </w:tcPr>
          <w:p>
            <w:pPr>
              <w:pStyle w:val="TableContents"/>
              <w:bidi w:val="0"/>
              <w:spacing w:before="0" w:after="0"/>
              <w:jc w:val="left"/>
              <w:rPr>
                <w:sz w:val="20"/>
              </w:rPr>
            </w:pPr>
            <w:r>
              <w:rPr>
                <w:sz w:val="20"/>
              </w:rPr>
              <w:t>(Loss) income before income taxes</w:t>
            </w:r>
          </w:p>
        </w:tc>
        <w:tc>
          <w:tcPr>
            <w:tcW w:w="128" w:type="dxa"/>
            <w:tcBorders/>
            <w:shd w:fill="CCEEFF" w:val="clear"/>
            <w:vAlign w:val="center"/>
          </w:tcPr>
          <w:p>
            <w:pPr>
              <w:pStyle w:val="TableContents"/>
              <w:bidi w:val="0"/>
              <w:spacing w:before="0" w:after="0"/>
              <w:jc w:val="left"/>
              <w:rPr>
                <w:sz w:val="20"/>
              </w:rPr>
            </w:pPr>
            <w:r>
              <w:rPr>
                <w:sz w:val="20"/>
              </w:rPr>
              <w:t>$</w:t>
            </w:r>
          </w:p>
        </w:tc>
        <w:tc>
          <w:tcPr>
            <w:tcW w:w="606" w:type="dxa"/>
            <w:tcBorders/>
            <w:shd w:fill="CCEEFF" w:val="clear"/>
            <w:vAlign w:val="center"/>
          </w:tcPr>
          <w:p>
            <w:pPr>
              <w:pStyle w:val="TableContents"/>
              <w:bidi w:val="0"/>
              <w:spacing w:before="0" w:after="0"/>
              <w:jc w:val="right"/>
              <w:rPr>
                <w:sz w:val="20"/>
              </w:rPr>
            </w:pPr>
            <w:r>
              <w:rPr>
                <w:sz w:val="20"/>
              </w:rPr>
              <w:t>(2,775)</w:t>
            </w:r>
          </w:p>
        </w:tc>
        <w:tc>
          <w:tcPr>
            <w:tcW w:w="61" w:type="dxa"/>
            <w:tcBorders/>
            <w:shd w:fill="CCEEFF" w:val="clear"/>
            <w:vAlign w:val="center"/>
          </w:tcPr>
          <w:p>
            <w:pPr>
              <w:pStyle w:val="TableContents"/>
              <w:bidi w:val="0"/>
              <w:spacing w:before="0" w:after="0"/>
              <w:jc w:val="right"/>
              <w:rPr/>
            </w:pPr>
            <w:r>
              <w:rPr/>
              <w:t> </w:t>
            </w:r>
          </w:p>
        </w:tc>
        <w:tc>
          <w:tcPr>
            <w:tcW w:w="128" w:type="dxa"/>
            <w:tcBorders/>
            <w:shd w:fill="CCEEFF" w:val="clear"/>
            <w:vAlign w:val="center"/>
          </w:tcPr>
          <w:p>
            <w:pPr>
              <w:pStyle w:val="TableContents"/>
              <w:bidi w:val="0"/>
              <w:spacing w:before="0" w:after="0"/>
              <w:jc w:val="left"/>
              <w:rPr>
                <w:sz w:val="20"/>
              </w:rPr>
            </w:pPr>
            <w:r>
              <w:rPr>
                <w:sz w:val="20"/>
              </w:rPr>
              <w:t>$</w:t>
            </w:r>
          </w:p>
        </w:tc>
        <w:tc>
          <w:tcPr>
            <w:tcW w:w="750" w:type="dxa"/>
            <w:tcBorders/>
            <w:shd w:fill="CCEEFF" w:val="clear"/>
            <w:vAlign w:val="center"/>
          </w:tcPr>
          <w:p>
            <w:pPr>
              <w:pStyle w:val="TableContents"/>
              <w:bidi w:val="0"/>
              <w:spacing w:before="0" w:after="0"/>
              <w:jc w:val="right"/>
              <w:rPr>
                <w:sz w:val="20"/>
              </w:rPr>
            </w:pPr>
            <w:r>
              <w:rPr>
                <w:sz w:val="20"/>
              </w:rPr>
              <w:t xml:space="preserve">23,802 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666" w:type="dxa"/>
            <w:tcBorders/>
            <w:shd w:fill="CCEEFF" w:val="clear"/>
            <w:vAlign w:val="center"/>
          </w:tcPr>
          <w:p>
            <w:pPr>
              <w:pStyle w:val="TableContents"/>
              <w:bidi w:val="0"/>
              <w:spacing w:before="0" w:after="0"/>
              <w:jc w:val="right"/>
              <w:rPr>
                <w:sz w:val="20"/>
              </w:rPr>
            </w:pPr>
            <w:r>
              <w:rPr>
                <w:sz w:val="20"/>
              </w:rPr>
              <w:t xml:space="preserve">26,266 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790" w:type="dxa"/>
            <w:tcBorders/>
            <w:shd w:fill="CCEEFF" w:val="clear"/>
            <w:vAlign w:val="center"/>
          </w:tcPr>
          <w:p>
            <w:pPr>
              <w:pStyle w:val="TableContents"/>
              <w:bidi w:val="0"/>
              <w:spacing w:before="0" w:after="0"/>
              <w:jc w:val="right"/>
              <w:rPr>
                <w:sz w:val="20"/>
              </w:rPr>
            </w:pPr>
            <w:r>
              <w:rPr>
                <w:sz w:val="20"/>
              </w:rPr>
              <w:t xml:space="preserve">90,195  </w:t>
            </w:r>
          </w:p>
        </w:tc>
      </w:tr>
      <w:tr>
        <w:trPr/>
        <w:tc>
          <w:tcPr>
            <w:tcW w:w="6706" w:type="dxa"/>
            <w:tcBorders/>
            <w:shd w:fill="FFFFFF" w:val="clear"/>
            <w:vAlign w:val="center"/>
          </w:tcPr>
          <w:p>
            <w:pPr>
              <w:pStyle w:val="TableContents"/>
              <w:bidi w:val="0"/>
              <w:spacing w:before="0" w:after="0"/>
              <w:jc w:val="left"/>
              <w:rPr>
                <w:sz w:val="20"/>
              </w:rPr>
            </w:pPr>
            <w:r>
              <w:rPr>
                <w:sz w:val="20"/>
              </w:rPr>
              <w:t>Inventory impairments and land option write-offs</w:t>
            </w:r>
          </w:p>
        </w:tc>
        <w:tc>
          <w:tcPr>
            <w:tcW w:w="128" w:type="dxa"/>
            <w:tcBorders/>
            <w:shd w:fill="FFFFFF" w:val="clear"/>
            <w:vAlign w:val="center"/>
          </w:tcPr>
          <w:p>
            <w:pPr>
              <w:pStyle w:val="TableContents"/>
              <w:bidi w:val="0"/>
              <w:spacing w:before="0" w:after="0"/>
              <w:jc w:val="left"/>
              <w:rPr/>
            </w:pPr>
            <w:r>
              <w:rPr/>
              <w:t> </w:t>
            </w:r>
          </w:p>
        </w:tc>
        <w:tc>
          <w:tcPr>
            <w:tcW w:w="606" w:type="dxa"/>
            <w:tcBorders/>
            <w:shd w:fill="FFFFFF" w:val="clear"/>
            <w:vAlign w:val="center"/>
          </w:tcPr>
          <w:p>
            <w:pPr>
              <w:pStyle w:val="TableContents"/>
              <w:bidi w:val="0"/>
              <w:spacing w:before="0" w:after="0"/>
              <w:jc w:val="right"/>
              <w:rPr/>
            </w:pPr>
            <w:r>
              <w:rPr/>
              <w:t xml:space="preserve">  </w:t>
            </w:r>
            <w:r>
              <w:rPr>
                <w:sz w:val="20"/>
              </w:rPr>
              <w:t xml:space="preserve">493  </w:t>
            </w:r>
          </w:p>
        </w:tc>
        <w:tc>
          <w:tcPr>
            <w:tcW w:w="61" w:type="dxa"/>
            <w:tcBorders/>
            <w:shd w:fill="FFFFFF" w:val="clear"/>
            <w:vAlign w:val="center"/>
          </w:tcPr>
          <w:p>
            <w:pPr>
              <w:pStyle w:val="TableContents"/>
              <w:bidi w:val="0"/>
              <w:spacing w:before="0" w:after="0"/>
              <w:jc w:val="right"/>
              <w:rPr/>
            </w:pPr>
            <w:r>
              <w:rPr/>
              <w:t> </w:t>
            </w:r>
          </w:p>
        </w:tc>
        <w:tc>
          <w:tcPr>
            <w:tcW w:w="128" w:type="dxa"/>
            <w:tcBorders/>
            <w:shd w:fill="FFFFFF" w:val="clear"/>
            <w:vAlign w:val="center"/>
          </w:tcPr>
          <w:p>
            <w:pPr>
              <w:pStyle w:val="TableContents"/>
              <w:bidi w:val="0"/>
              <w:spacing w:before="0" w:after="0"/>
              <w:jc w:val="left"/>
              <w:rPr/>
            </w:pPr>
            <w:r>
              <w:rPr/>
              <w:t> </w:t>
            </w:r>
          </w:p>
        </w:tc>
        <w:tc>
          <w:tcPr>
            <w:tcW w:w="750" w:type="dxa"/>
            <w:tcBorders/>
            <w:shd w:fill="FFFFFF" w:val="clear"/>
            <w:vAlign w:val="center"/>
          </w:tcPr>
          <w:p>
            <w:pPr>
              <w:pStyle w:val="TableContents"/>
              <w:bidi w:val="0"/>
              <w:spacing w:before="0" w:after="0"/>
              <w:jc w:val="right"/>
              <w:rPr/>
            </w:pPr>
            <w:r>
              <w:rPr/>
              <w:t> </w:t>
            </w:r>
            <w:r>
              <w:rPr>
                <w:sz w:val="20"/>
              </w:rPr>
              <w:t xml:space="preserve">16,045 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66" w:type="dxa"/>
            <w:tcBorders/>
            <w:shd w:fill="FFFFFF" w:val="clear"/>
            <w:vAlign w:val="center"/>
          </w:tcPr>
          <w:p>
            <w:pPr>
              <w:pStyle w:val="TableContents"/>
              <w:bidi w:val="0"/>
              <w:spacing w:before="0" w:after="0"/>
              <w:jc w:val="right"/>
              <w:rPr>
                <w:sz w:val="20"/>
              </w:rPr>
            </w:pPr>
            <w:r>
              <w:rPr>
                <w:sz w:val="20"/>
              </w:rPr>
              <w:t xml:space="preserve">11,602 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790" w:type="dxa"/>
            <w:tcBorders/>
            <w:shd w:fill="FFFFFF" w:val="clear"/>
            <w:vAlign w:val="center"/>
          </w:tcPr>
          <w:p>
            <w:pPr>
              <w:pStyle w:val="TableContents"/>
              <w:bidi w:val="0"/>
              <w:spacing w:before="0" w:after="0"/>
              <w:jc w:val="right"/>
              <w:rPr>
                <w:sz w:val="20"/>
              </w:rPr>
            </w:pPr>
            <w:r>
              <w:rPr>
                <w:sz w:val="20"/>
              </w:rPr>
              <w:t xml:space="preserve">20,141  </w:t>
            </w:r>
          </w:p>
        </w:tc>
      </w:tr>
      <w:tr>
        <w:trPr/>
        <w:tc>
          <w:tcPr>
            <w:tcW w:w="6706" w:type="dxa"/>
            <w:tcBorders/>
            <w:shd w:fill="CCEEFF" w:val="clear"/>
            <w:vAlign w:val="center"/>
          </w:tcPr>
          <w:p>
            <w:pPr>
              <w:pStyle w:val="TableContents"/>
              <w:bidi w:val="0"/>
              <w:spacing w:before="0" w:after="0"/>
              <w:jc w:val="left"/>
              <w:rPr>
                <w:sz w:val="20"/>
              </w:rPr>
            </w:pPr>
            <w:r>
              <w:rPr>
                <w:sz w:val="20"/>
              </w:rPr>
              <w:t>Gain on extinguishment of debt, net</w:t>
            </w:r>
          </w:p>
        </w:tc>
        <w:tc>
          <w:tcPr>
            <w:tcW w:w="128"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0"/>
              <w:jc w:val="right"/>
              <w:rPr/>
            </w:pPr>
            <w:r>
              <w:rPr/>
              <w:t> </w:t>
            </w:r>
            <w:r>
              <w:rPr>
                <w:sz w:val="20"/>
              </w:rPr>
              <w:t xml:space="preserve">-  </w:t>
            </w:r>
          </w:p>
        </w:tc>
        <w:tc>
          <w:tcPr>
            <w:tcW w:w="61" w:type="dxa"/>
            <w:tcBorders/>
            <w:shd w:fill="CCEEFF" w:val="clear"/>
            <w:vAlign w:val="center"/>
          </w:tcPr>
          <w:p>
            <w:pPr>
              <w:pStyle w:val="TableContents"/>
              <w:bidi w:val="0"/>
              <w:spacing w:before="0" w:after="0"/>
              <w:jc w:val="right"/>
              <w:rPr/>
            </w:pPr>
            <w:r>
              <w:rPr/>
              <w:t> </w:t>
            </w:r>
          </w:p>
        </w:tc>
        <w:tc>
          <w:tcPr>
            <w:tcW w:w="128" w:type="dxa"/>
            <w:tcBorders/>
            <w:shd w:fill="CCEEFF" w:val="clear"/>
            <w:vAlign w:val="center"/>
          </w:tcPr>
          <w:p>
            <w:pPr>
              <w:pStyle w:val="TableContents"/>
              <w:bidi w:val="0"/>
              <w:spacing w:before="0" w:after="0"/>
              <w:jc w:val="left"/>
              <w:rPr/>
            </w:pPr>
            <w:r>
              <w:rPr/>
              <w:t> </w:t>
            </w:r>
          </w:p>
        </w:tc>
        <w:tc>
          <w:tcPr>
            <w:tcW w:w="750"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66"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790"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(399)</w:t>
            </w:r>
          </w:p>
        </w:tc>
      </w:tr>
      <w:tr>
        <w:trPr/>
        <w:tc>
          <w:tcPr>
            <w:tcW w:w="6706" w:type="dxa"/>
            <w:tcBorders/>
            <w:shd w:fill="FFFFFF" w:val="clear"/>
            <w:vAlign w:val="center"/>
          </w:tcPr>
          <w:p>
            <w:pPr>
              <w:pStyle w:val="TableContents"/>
              <w:bidi w:val="0"/>
              <w:spacing w:before="0" w:after="0"/>
              <w:jc w:val="left"/>
              <w:rPr>
                <w:sz w:val="20"/>
              </w:rPr>
            </w:pPr>
            <w:r>
              <w:rPr>
                <w:sz w:val="20"/>
              </w:rPr>
              <w:t>(Loss) income before income taxes excluding land-related charges and gain on extinguishment of debt, net (1)</w:t>
            </w:r>
          </w:p>
        </w:tc>
        <w:tc>
          <w:tcPr>
            <w:tcW w:w="128"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606"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(2,282)</w:t>
            </w:r>
          </w:p>
        </w:tc>
        <w:tc>
          <w:tcPr>
            <w:tcW w:w="61" w:type="dxa"/>
            <w:tcBorders/>
            <w:shd w:fill="FFFFFF" w:val="clear"/>
            <w:vAlign w:val="center"/>
          </w:tcPr>
          <w:p>
            <w:pPr>
              <w:pStyle w:val="TableContents"/>
              <w:bidi w:val="0"/>
              <w:spacing w:before="0" w:after="0"/>
              <w:jc w:val="right"/>
              <w:rPr/>
            </w:pPr>
            <w:r>
              <w:rPr/>
              <w:t> </w:t>
            </w:r>
          </w:p>
        </w:tc>
        <w:tc>
          <w:tcPr>
            <w:tcW w:w="128"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7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39,847 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666"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37,868 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79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109,937 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0"/>
              <w:jc w:val="both"/>
              <w:rPr>
                <w:sz w:val="20"/>
              </w:rPr>
            </w:pPr>
            <w:r>
              <w:rPr>
                <w:sz w:val="20"/>
              </w:rPr>
              <w:t>(1) (Loss) income before income taxes excluding land-related charges and gain on extinguishment of debt, net is a non-GAAP financial measure. The most directly comparable GAAP financial measure is (loss) income before income taxes.</w:t>
            </w:r>
          </w:p>
        </w:tc>
      </w:tr>
    </w:tbl>
    <w:p>
      <w:pPr>
        <w:pStyle w:val="TextBody"/>
        <w:bidi w:val="0"/>
        <w:spacing w:before="0" w:after="0"/>
        <w:jc w:val="left"/>
        <w:rPr/>
      </w:pPr>
      <w:r>
        <w:rPr/>
        <w:t> </w:t>
      </w:r>
    </w:p>
    <w:p>
      <w:pPr>
        <w:pStyle w:val="TextBody"/>
        <w:bidi w:val="0"/>
        <w:spacing w:before="0" w:after="0"/>
        <w:jc w:val="center"/>
        <w:rPr>
          <w:sz w:val="20"/>
        </w:rPr>
      </w:pPr>
      <w:r>
        <w:rPr>
          <w:sz w:val="20"/>
        </w:rPr>
        <w:t>6</w:t>
      </w:r>
    </w:p>
    <w:p>
      <w:pPr>
        <w:pStyle w:val="HorizontalLine"/>
        <w:pBdr>
          <w:bottom w:val="double" w:sz="2" w:space="0" w:color="808080"/>
        </w:pBdr>
        <w:bidi w:val="0"/>
        <w:jc w:val="center"/>
        <w:rPr/>
      </w:pPr>
      <w:r>
        <w:rPr/>
      </w:r>
    </w:p>
    <w:tbl>
      <w:tblPr>
        <w:tblW w:w="3140" w:type="dxa"/>
        <w:jc w:val="left"/>
        <w:tblInd w:w="0" w:type="dxa"/>
        <w:tblLayout w:type="fixed"/>
        <w:tblCellMar>
          <w:top w:w="0" w:type="dxa"/>
          <w:left w:w="0" w:type="dxa"/>
          <w:bottom w:w="0" w:type="dxa"/>
          <w:right w:w="0" w:type="dxa"/>
        </w:tblCellMar>
      </w:tblPr>
      <w:tblGrid>
        <w:gridCol w:w="2405"/>
        <w:gridCol w:w="60"/>
        <w:gridCol w:w="60"/>
        <w:gridCol w:w="60"/>
        <w:gridCol w:w="60"/>
        <w:gridCol w:w="60"/>
        <w:gridCol w:w="60"/>
        <w:gridCol w:w="60"/>
        <w:gridCol w:w="60"/>
        <w:gridCol w:w="60"/>
        <w:gridCol w:w="60"/>
        <w:gridCol w:w="60"/>
        <w:gridCol w:w="75"/>
      </w:tblGrid>
      <w:tr>
        <w:trPr/>
        <w:tc>
          <w:tcPr>
            <w:tcW w:w="2405" w:type="dxa"/>
            <w:tcBorders/>
            <w:vAlign w:val="center"/>
          </w:tcPr>
          <w:p>
            <w:pPr>
              <w:pStyle w:val="TableContents"/>
              <w:bidi w:val="0"/>
              <w:spacing w:before="0" w:after="0"/>
              <w:jc w:val="left"/>
              <w:rPr>
                <w:b/>
                <w:sz w:val="20"/>
              </w:rPr>
            </w:pPr>
            <w:r>
              <w:rPr>
                <w:b/>
                <w:sz w:val="20"/>
              </w:rPr>
              <w:t>Hovnanian Enterprises, Inc.</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2405" w:type="dxa"/>
            <w:tcBorders/>
            <w:vAlign w:val="center"/>
          </w:tcPr>
          <w:p>
            <w:pPr>
              <w:pStyle w:val="TableContents"/>
              <w:bidi w:val="0"/>
              <w:spacing w:before="0" w:after="0"/>
              <w:jc w:val="left"/>
              <w:rPr>
                <w:b/>
                <w:sz w:val="20"/>
              </w:rPr>
            </w:pPr>
            <w:r>
              <w:rPr>
                <w:b/>
                <w:sz w:val="20"/>
              </w:rPr>
              <w:t>July 31, 2026</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2405" w:type="dxa"/>
            <w:tcBorders/>
            <w:vAlign w:val="center"/>
          </w:tcPr>
          <w:p>
            <w:pPr>
              <w:pStyle w:val="TableContents"/>
              <w:bidi w:val="0"/>
              <w:spacing w:before="0" w:after="0"/>
              <w:jc w:val="left"/>
              <w:rPr>
                <w:sz w:val="20"/>
              </w:rPr>
            </w:pPr>
            <w:r>
              <w:rPr>
                <w:sz w:val="20"/>
              </w:rPr>
              <w:t>Gross margin</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2405" w:type="dxa"/>
            <w:tcBorders/>
            <w:vAlign w:val="center"/>
          </w:tcPr>
          <w:p>
            <w:pPr>
              <w:pStyle w:val="TableContents"/>
              <w:bidi w:val="0"/>
              <w:spacing w:before="0" w:after="0"/>
              <w:jc w:val="left"/>
              <w:rPr>
                <w:sz w:val="20"/>
              </w:rPr>
            </w:pPr>
            <w:r>
              <w:rPr>
                <w:sz w:val="20"/>
              </w:rPr>
              <w:t>(In thousands)</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96"/>
        <w:gridCol w:w="60"/>
        <w:gridCol w:w="146"/>
        <w:gridCol w:w="855"/>
        <w:gridCol w:w="70"/>
        <w:gridCol w:w="146"/>
        <w:gridCol w:w="926"/>
        <w:gridCol w:w="60"/>
        <w:gridCol w:w="134"/>
        <w:gridCol w:w="945"/>
        <w:gridCol w:w="64"/>
        <w:gridCol w:w="134"/>
        <w:gridCol w:w="969"/>
      </w:tblGrid>
      <w:tr>
        <w:trPr/>
        <w:tc>
          <w:tcPr>
            <w:tcW w:w="5696"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143" w:type="dxa"/>
            <w:gridSpan w:val="5"/>
            <w:tcBorders/>
            <w:vAlign w:val="center"/>
          </w:tcPr>
          <w:p>
            <w:pPr>
              <w:pStyle w:val="TableContents"/>
              <w:bidi w:val="0"/>
              <w:spacing w:before="0" w:after="0"/>
              <w:jc w:val="center"/>
              <w:rPr>
                <w:sz w:val="20"/>
              </w:rPr>
            </w:pPr>
            <w:r>
              <w:rPr>
                <w:sz w:val="20"/>
              </w:rPr>
              <w:t>Homebuilding Gross Margin</w:t>
            </w:r>
          </w:p>
        </w:tc>
        <w:tc>
          <w:tcPr>
            <w:tcW w:w="60" w:type="dxa"/>
            <w:tcBorders/>
            <w:vAlign w:val="center"/>
          </w:tcPr>
          <w:p>
            <w:pPr>
              <w:pStyle w:val="TableContents"/>
              <w:bidi w:val="0"/>
              <w:spacing w:before="0" w:after="0"/>
              <w:jc w:val="right"/>
              <w:rPr/>
            </w:pPr>
            <w:r>
              <w:rPr/>
              <w:t> </w:t>
            </w:r>
          </w:p>
        </w:tc>
        <w:tc>
          <w:tcPr>
            <w:tcW w:w="2246" w:type="dxa"/>
            <w:gridSpan w:val="5"/>
            <w:tcBorders/>
            <w:vAlign w:val="center"/>
          </w:tcPr>
          <w:p>
            <w:pPr>
              <w:pStyle w:val="TableContents"/>
              <w:bidi w:val="0"/>
              <w:spacing w:before="0" w:after="0"/>
              <w:jc w:val="center"/>
              <w:rPr>
                <w:sz w:val="20"/>
              </w:rPr>
            </w:pPr>
            <w:r>
              <w:rPr>
                <w:sz w:val="20"/>
              </w:rPr>
              <w:t>Homebuilding Gross Margin</w:t>
            </w:r>
          </w:p>
        </w:tc>
      </w:tr>
      <w:tr>
        <w:trPr/>
        <w:tc>
          <w:tcPr>
            <w:tcW w:w="5696"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143" w:type="dxa"/>
            <w:gridSpan w:val="5"/>
            <w:tcBorders/>
            <w:vAlign w:val="center"/>
          </w:tcPr>
          <w:p>
            <w:pPr>
              <w:pStyle w:val="TableContents"/>
              <w:bidi w:val="0"/>
              <w:spacing w:before="0" w:after="0"/>
              <w:jc w:val="center"/>
              <w:rPr>
                <w:sz w:val="20"/>
              </w:rPr>
            </w:pPr>
            <w:r>
              <w:rPr>
                <w:sz w:val="20"/>
              </w:rPr>
              <w:t>Three Months Ended</w:t>
            </w:r>
          </w:p>
        </w:tc>
        <w:tc>
          <w:tcPr>
            <w:tcW w:w="60" w:type="dxa"/>
            <w:tcBorders/>
            <w:vAlign w:val="center"/>
          </w:tcPr>
          <w:p>
            <w:pPr>
              <w:pStyle w:val="TableContents"/>
              <w:bidi w:val="0"/>
              <w:spacing w:before="0" w:after="0"/>
              <w:jc w:val="right"/>
              <w:rPr/>
            </w:pPr>
            <w:r>
              <w:rPr/>
              <w:t> </w:t>
            </w:r>
          </w:p>
        </w:tc>
        <w:tc>
          <w:tcPr>
            <w:tcW w:w="2246" w:type="dxa"/>
            <w:gridSpan w:val="5"/>
            <w:tcBorders/>
            <w:vAlign w:val="center"/>
          </w:tcPr>
          <w:p>
            <w:pPr>
              <w:pStyle w:val="TableContents"/>
              <w:bidi w:val="0"/>
              <w:spacing w:before="0" w:after="0"/>
              <w:jc w:val="center"/>
              <w:rPr>
                <w:sz w:val="20"/>
              </w:rPr>
            </w:pPr>
            <w:r>
              <w:rPr>
                <w:sz w:val="20"/>
              </w:rPr>
              <w:t>Nine Months Ended</w:t>
            </w:r>
          </w:p>
        </w:tc>
      </w:tr>
      <w:tr>
        <w:trPr/>
        <w:tc>
          <w:tcPr>
            <w:tcW w:w="5696"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143"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c>
          <w:tcPr>
            <w:tcW w:w="60" w:type="dxa"/>
            <w:tcBorders/>
            <w:vAlign w:val="center"/>
          </w:tcPr>
          <w:p>
            <w:pPr>
              <w:pStyle w:val="TableContents"/>
              <w:bidi w:val="0"/>
              <w:spacing w:before="0" w:after="0"/>
              <w:jc w:val="right"/>
              <w:rPr/>
            </w:pPr>
            <w:r>
              <w:rPr/>
              <w:t> </w:t>
            </w:r>
          </w:p>
        </w:tc>
        <w:tc>
          <w:tcPr>
            <w:tcW w:w="2246"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r>
      <w:tr>
        <w:trPr/>
        <w:tc>
          <w:tcPr>
            <w:tcW w:w="5696"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001"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70" w:type="dxa"/>
            <w:tcBorders/>
            <w:vAlign w:val="center"/>
          </w:tcPr>
          <w:p>
            <w:pPr>
              <w:pStyle w:val="TableContents"/>
              <w:bidi w:val="0"/>
              <w:spacing w:before="0" w:after="0"/>
              <w:jc w:val="center"/>
              <w:rPr/>
            </w:pPr>
            <w:r>
              <w:rPr/>
              <w:t> </w:t>
            </w:r>
          </w:p>
        </w:tc>
        <w:tc>
          <w:tcPr>
            <w:tcW w:w="1072"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c>
          <w:tcPr>
            <w:tcW w:w="60" w:type="dxa"/>
            <w:tcBorders/>
            <w:vAlign w:val="center"/>
          </w:tcPr>
          <w:p>
            <w:pPr>
              <w:pStyle w:val="TableContents"/>
              <w:bidi w:val="0"/>
              <w:spacing w:before="0" w:after="0"/>
              <w:jc w:val="right"/>
              <w:rPr/>
            </w:pPr>
            <w:r>
              <w:rPr/>
              <w:t> </w:t>
            </w:r>
          </w:p>
        </w:tc>
        <w:tc>
          <w:tcPr>
            <w:tcW w:w="1079"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64" w:type="dxa"/>
            <w:tcBorders/>
            <w:vAlign w:val="center"/>
          </w:tcPr>
          <w:p>
            <w:pPr>
              <w:pStyle w:val="TableContents"/>
              <w:bidi w:val="0"/>
              <w:spacing w:before="0" w:after="0"/>
              <w:jc w:val="center"/>
              <w:rPr/>
            </w:pPr>
            <w:r>
              <w:rPr/>
              <w:t> </w:t>
            </w:r>
          </w:p>
        </w:tc>
        <w:tc>
          <w:tcPr>
            <w:tcW w:w="1103"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r>
      <w:tr>
        <w:trPr/>
        <w:tc>
          <w:tcPr>
            <w:tcW w:w="5696"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143" w:type="dxa"/>
            <w:gridSpan w:val="5"/>
            <w:tcBorders/>
            <w:vAlign w:val="center"/>
          </w:tcPr>
          <w:p>
            <w:pPr>
              <w:pStyle w:val="TableContents"/>
              <w:bidi w:val="0"/>
              <w:spacing w:before="0" w:after="0"/>
              <w:jc w:val="center"/>
              <w:rPr>
                <w:sz w:val="20"/>
              </w:rPr>
            </w:pPr>
            <w:r>
              <w:rPr>
                <w:sz w:val="20"/>
              </w:rPr>
              <w:t>(Unaudited)</w:t>
            </w:r>
          </w:p>
        </w:tc>
        <w:tc>
          <w:tcPr>
            <w:tcW w:w="60" w:type="dxa"/>
            <w:tcBorders/>
            <w:vAlign w:val="center"/>
          </w:tcPr>
          <w:p>
            <w:pPr>
              <w:pStyle w:val="TableContents"/>
              <w:bidi w:val="0"/>
              <w:spacing w:before="0" w:after="0"/>
              <w:jc w:val="center"/>
              <w:rPr/>
            </w:pPr>
            <w:r>
              <w:rPr/>
              <w:t> </w:t>
            </w:r>
          </w:p>
        </w:tc>
        <w:tc>
          <w:tcPr>
            <w:tcW w:w="2246" w:type="dxa"/>
            <w:gridSpan w:val="5"/>
            <w:tcBorders/>
            <w:vAlign w:val="center"/>
          </w:tcPr>
          <w:p>
            <w:pPr>
              <w:pStyle w:val="TableContents"/>
              <w:bidi w:val="0"/>
              <w:spacing w:before="0" w:after="0"/>
              <w:jc w:val="center"/>
              <w:rPr>
                <w:sz w:val="20"/>
              </w:rPr>
            </w:pPr>
            <w:r>
              <w:rPr>
                <w:sz w:val="20"/>
              </w:rPr>
              <w:t>(Unaudited)</w:t>
            </w:r>
          </w:p>
        </w:tc>
      </w:tr>
      <w:tr>
        <w:trPr/>
        <w:tc>
          <w:tcPr>
            <w:tcW w:w="5696" w:type="dxa"/>
            <w:tcBorders/>
            <w:shd w:fill="CCEEFF" w:val="clear"/>
            <w:vAlign w:val="center"/>
          </w:tcPr>
          <w:p>
            <w:pPr>
              <w:pStyle w:val="TableContents"/>
              <w:bidi w:val="0"/>
              <w:spacing w:before="0" w:after="0"/>
              <w:jc w:val="left"/>
              <w:rPr>
                <w:sz w:val="20"/>
              </w:rPr>
            </w:pPr>
            <w:r>
              <w:rPr>
                <w:sz w:val="20"/>
              </w:rPr>
              <w:t>Sale of homes</w:t>
            </w:r>
          </w:p>
        </w:tc>
        <w:tc>
          <w:tcPr>
            <w:tcW w:w="60" w:type="dxa"/>
            <w:tcBorders/>
            <w:shd w:fill="CCEEFF" w:val="clear"/>
            <w:vAlign w:val="center"/>
          </w:tcPr>
          <w:p>
            <w:pPr>
              <w:pStyle w:val="TableContents"/>
              <w:bidi w:val="0"/>
              <w:spacing w:before="0" w:after="0"/>
              <w:jc w:val="right"/>
              <w:rPr/>
            </w:pPr>
            <w:r>
              <w:rPr/>
              <w:t> </w:t>
            </w:r>
          </w:p>
        </w:tc>
        <w:tc>
          <w:tcPr>
            <w:tcW w:w="146" w:type="dxa"/>
            <w:tcBorders/>
            <w:shd w:fill="CCEEFF" w:val="clear"/>
            <w:vAlign w:val="center"/>
          </w:tcPr>
          <w:p>
            <w:pPr>
              <w:pStyle w:val="TableContents"/>
              <w:bidi w:val="0"/>
              <w:spacing w:before="0" w:after="0"/>
              <w:jc w:val="left"/>
              <w:rPr>
                <w:sz w:val="20"/>
              </w:rPr>
            </w:pPr>
            <w:r>
              <w:rPr>
                <w:sz w:val="20"/>
              </w:rPr>
              <w:t>$</w:t>
            </w:r>
          </w:p>
        </w:tc>
        <w:tc>
          <w:tcPr>
            <w:tcW w:w="855" w:type="dxa"/>
            <w:tcBorders/>
            <w:shd w:fill="CCEEFF" w:val="clear"/>
            <w:vAlign w:val="center"/>
          </w:tcPr>
          <w:p>
            <w:pPr>
              <w:pStyle w:val="TableContents"/>
              <w:bidi w:val="0"/>
              <w:spacing w:before="0" w:after="0"/>
              <w:jc w:val="right"/>
              <w:rPr>
                <w:sz w:val="20"/>
              </w:rPr>
            </w:pPr>
            <w:r>
              <w:rPr>
                <w:sz w:val="20"/>
              </w:rPr>
              <w:t xml:space="preserve">679,042 </w:t>
            </w:r>
          </w:p>
        </w:tc>
        <w:tc>
          <w:tcPr>
            <w:tcW w:w="70" w:type="dxa"/>
            <w:tcBorders/>
            <w:shd w:fill="CCEEFF" w:val="clear"/>
            <w:vAlign w:val="center"/>
          </w:tcPr>
          <w:p>
            <w:pPr>
              <w:pStyle w:val="TableContents"/>
              <w:bidi w:val="0"/>
              <w:spacing w:before="0" w:after="0"/>
              <w:jc w:val="right"/>
              <w:rPr/>
            </w:pPr>
            <w:r>
              <w:rPr/>
              <w:t> </w:t>
            </w:r>
          </w:p>
        </w:tc>
        <w:tc>
          <w:tcPr>
            <w:tcW w:w="146" w:type="dxa"/>
            <w:tcBorders/>
            <w:shd w:fill="CCEEFF" w:val="clear"/>
            <w:vAlign w:val="center"/>
          </w:tcPr>
          <w:p>
            <w:pPr>
              <w:pStyle w:val="TableContents"/>
              <w:bidi w:val="0"/>
              <w:spacing w:before="0" w:after="0"/>
              <w:jc w:val="left"/>
              <w:rPr>
                <w:sz w:val="20"/>
              </w:rPr>
            </w:pPr>
            <w:r>
              <w:rPr>
                <w:sz w:val="20"/>
              </w:rPr>
              <w:t>$</w:t>
            </w:r>
          </w:p>
        </w:tc>
        <w:tc>
          <w:tcPr>
            <w:tcW w:w="926" w:type="dxa"/>
            <w:tcBorders/>
            <w:shd w:fill="CCEEFF" w:val="clear"/>
            <w:vAlign w:val="center"/>
          </w:tcPr>
          <w:p>
            <w:pPr>
              <w:pStyle w:val="TableContents"/>
              <w:bidi w:val="0"/>
              <w:spacing w:before="0" w:after="0"/>
              <w:jc w:val="right"/>
              <w:rPr>
                <w:sz w:val="20"/>
              </w:rPr>
            </w:pPr>
            <w:r>
              <w:rPr>
                <w:sz w:val="20"/>
              </w:rPr>
              <w:t xml:space="preserve">769,050 </w:t>
            </w:r>
          </w:p>
        </w:tc>
        <w:tc>
          <w:tcPr>
            <w:tcW w:w="60"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left"/>
              <w:rPr>
                <w:sz w:val="20"/>
              </w:rPr>
            </w:pPr>
            <w:r>
              <w:rPr>
                <w:sz w:val="20"/>
              </w:rPr>
              <w:t>$</w:t>
            </w:r>
          </w:p>
        </w:tc>
        <w:tc>
          <w:tcPr>
            <w:tcW w:w="945" w:type="dxa"/>
            <w:tcBorders/>
            <w:shd w:fill="CCEEFF" w:val="clear"/>
            <w:vAlign w:val="center"/>
          </w:tcPr>
          <w:p>
            <w:pPr>
              <w:pStyle w:val="TableContents"/>
              <w:bidi w:val="0"/>
              <w:spacing w:before="0" w:after="0"/>
              <w:jc w:val="right"/>
              <w:rPr>
                <w:sz w:val="20"/>
              </w:rPr>
            </w:pPr>
            <w:r>
              <w:rPr>
                <w:sz w:val="20"/>
              </w:rPr>
              <w:t xml:space="preserve">1,858,989 </w:t>
            </w:r>
          </w:p>
        </w:tc>
        <w:tc>
          <w:tcPr>
            <w:tcW w:w="64"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left"/>
              <w:rPr>
                <w:sz w:val="20"/>
              </w:rPr>
            </w:pPr>
            <w:r>
              <w:rPr>
                <w:sz w:val="20"/>
              </w:rPr>
              <w:t>$</w:t>
            </w:r>
          </w:p>
        </w:tc>
        <w:tc>
          <w:tcPr>
            <w:tcW w:w="969" w:type="dxa"/>
            <w:tcBorders/>
            <w:shd w:fill="CCEEFF" w:val="clear"/>
            <w:vAlign w:val="center"/>
          </w:tcPr>
          <w:p>
            <w:pPr>
              <w:pStyle w:val="TableContents"/>
              <w:bidi w:val="0"/>
              <w:spacing w:before="0" w:after="0"/>
              <w:jc w:val="right"/>
              <w:rPr>
                <w:sz w:val="20"/>
              </w:rPr>
            </w:pPr>
            <w:r>
              <w:rPr>
                <w:sz w:val="20"/>
              </w:rPr>
              <w:t xml:space="preserve">2,066,278 </w:t>
            </w:r>
          </w:p>
        </w:tc>
      </w:tr>
      <w:tr>
        <w:trPr/>
        <w:tc>
          <w:tcPr>
            <w:tcW w:w="5696" w:type="dxa"/>
            <w:tcBorders/>
            <w:shd w:fill="FFFFFF" w:val="clear"/>
            <w:vAlign w:val="center"/>
          </w:tcPr>
          <w:p>
            <w:pPr>
              <w:pStyle w:val="TableContents"/>
              <w:bidi w:val="0"/>
              <w:spacing w:before="0" w:after="0"/>
              <w:jc w:val="left"/>
              <w:rPr>
                <w:sz w:val="20"/>
              </w:rPr>
            </w:pPr>
            <w:r>
              <w:rPr>
                <w:sz w:val="20"/>
              </w:rPr>
              <w:t>Cost of sales, excluding interest expense and land charges (1)</w:t>
            </w:r>
          </w:p>
        </w:tc>
        <w:tc>
          <w:tcPr>
            <w:tcW w:w="60" w:type="dxa"/>
            <w:tcBorders/>
            <w:shd w:fill="FFFFFF" w:val="clear"/>
            <w:vAlign w:val="center"/>
          </w:tcPr>
          <w:p>
            <w:pPr>
              <w:pStyle w:val="TableContents"/>
              <w:bidi w:val="0"/>
              <w:spacing w:before="0" w:after="0"/>
              <w:jc w:val="right"/>
              <w:rPr/>
            </w:pPr>
            <w:r>
              <w:rPr/>
              <w:t> </w:t>
            </w:r>
          </w:p>
        </w:tc>
        <w:tc>
          <w:tcPr>
            <w:tcW w:w="146"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855" w:type="dxa"/>
            <w:tcBorders/>
            <w:shd w:fill="FFFFFF" w:val="clear"/>
            <w:vAlign w:val="center"/>
          </w:tcPr>
          <w:p>
            <w:pPr>
              <w:pStyle w:val="TableContents"/>
              <w:bidi w:val="0"/>
              <w:spacing w:before="0" w:after="0"/>
              <w:jc w:val="right"/>
              <w:rPr>
                <w:sz w:val="20"/>
              </w:rPr>
            </w:pPr>
            <w:r>
              <w:rPr>
                <w:sz w:val="20"/>
              </w:rPr>
              <w:t xml:space="preserve">579,573 </w:t>
            </w:r>
          </w:p>
        </w:tc>
        <w:tc>
          <w:tcPr>
            <w:tcW w:w="7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926" w:type="dxa"/>
            <w:tcBorders/>
            <w:shd w:fill="FFFFFF" w:val="clear"/>
            <w:vAlign w:val="center"/>
          </w:tcPr>
          <w:p>
            <w:pPr>
              <w:pStyle w:val="TableContents"/>
              <w:bidi w:val="0"/>
              <w:spacing w:before="0" w:after="0"/>
              <w:jc w:val="right"/>
              <w:rPr>
                <w:sz w:val="20"/>
              </w:rPr>
            </w:pPr>
            <w:r>
              <w:rPr>
                <w:sz w:val="20"/>
              </w:rPr>
              <w:t xml:space="preserve">636,015 </w:t>
            </w:r>
          </w:p>
        </w:tc>
        <w:tc>
          <w:tcPr>
            <w:tcW w:w="60"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45" w:type="dxa"/>
            <w:tcBorders/>
            <w:shd w:fill="FFFFFF" w:val="clear"/>
            <w:vAlign w:val="center"/>
          </w:tcPr>
          <w:p>
            <w:pPr>
              <w:pStyle w:val="TableContents"/>
              <w:bidi w:val="0"/>
              <w:spacing w:before="0" w:after="0"/>
              <w:jc w:val="right"/>
              <w:rPr>
                <w:sz w:val="20"/>
              </w:rPr>
            </w:pPr>
            <w:r>
              <w:rPr>
                <w:sz w:val="20"/>
              </w:rPr>
              <w:t xml:space="preserve">1,595,651 </w:t>
            </w:r>
          </w:p>
        </w:tc>
        <w:tc>
          <w:tcPr>
            <w:tcW w:w="64"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69" w:type="dxa"/>
            <w:tcBorders/>
            <w:shd w:fill="FFFFFF" w:val="clear"/>
            <w:vAlign w:val="center"/>
          </w:tcPr>
          <w:p>
            <w:pPr>
              <w:pStyle w:val="TableContents"/>
              <w:bidi w:val="0"/>
              <w:spacing w:before="0" w:after="0"/>
              <w:jc w:val="right"/>
              <w:rPr>
                <w:sz w:val="20"/>
              </w:rPr>
            </w:pPr>
            <w:r>
              <w:rPr>
                <w:sz w:val="20"/>
              </w:rPr>
              <w:t xml:space="preserve">1,702,360 </w:t>
            </w:r>
          </w:p>
        </w:tc>
      </w:tr>
      <w:tr>
        <w:trPr/>
        <w:tc>
          <w:tcPr>
            <w:tcW w:w="5696" w:type="dxa"/>
            <w:tcBorders/>
            <w:shd w:fill="CCEEFF" w:val="clear"/>
            <w:vAlign w:val="center"/>
          </w:tcPr>
          <w:p>
            <w:pPr>
              <w:pStyle w:val="TableContents"/>
              <w:bidi w:val="0"/>
              <w:spacing w:before="0" w:after="0"/>
              <w:jc w:val="left"/>
              <w:rPr>
                <w:sz w:val="20"/>
              </w:rPr>
            </w:pPr>
            <w:r>
              <w:rPr>
                <w:sz w:val="20"/>
              </w:rPr>
              <w:t>Homebuilding gross margin, before cost of sales interest expense and land charges (2)</w:t>
            </w:r>
          </w:p>
        </w:tc>
        <w:tc>
          <w:tcPr>
            <w:tcW w:w="60" w:type="dxa"/>
            <w:tcBorders/>
            <w:shd w:fill="CCEEFF" w:val="clear"/>
            <w:vAlign w:val="center"/>
          </w:tcPr>
          <w:p>
            <w:pPr>
              <w:pStyle w:val="TableContents"/>
              <w:bidi w:val="0"/>
              <w:spacing w:before="0" w:after="0"/>
              <w:jc w:val="left"/>
              <w:rPr/>
            </w:pPr>
            <w:r>
              <w:rPr/>
              <w:t> </w:t>
            </w:r>
          </w:p>
        </w:tc>
        <w:tc>
          <w:tcPr>
            <w:tcW w:w="146"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85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99,469 </w:t>
            </w:r>
          </w:p>
        </w:tc>
        <w:tc>
          <w:tcPr>
            <w:tcW w:w="70" w:type="dxa"/>
            <w:tcBorders/>
            <w:shd w:fill="CCEEFF" w:val="clear"/>
            <w:vAlign w:val="center"/>
          </w:tcPr>
          <w:p>
            <w:pPr>
              <w:pStyle w:val="TableContents"/>
              <w:bidi w:val="0"/>
              <w:spacing w:before="0" w:after="0"/>
              <w:jc w:val="right"/>
              <w:rPr/>
            </w:pPr>
            <w:r>
              <w:rPr/>
              <w:t> </w:t>
            </w:r>
          </w:p>
        </w:tc>
        <w:tc>
          <w:tcPr>
            <w:tcW w:w="146"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26"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 xml:space="preserve">133,035 </w:t>
            </w:r>
          </w:p>
        </w:tc>
        <w:tc>
          <w:tcPr>
            <w:tcW w:w="60" w:type="dxa"/>
            <w:tcBorders/>
            <w:shd w:fill="CCEEFF" w:val="clear"/>
            <w:vAlign w:val="center"/>
          </w:tcPr>
          <w:p>
            <w:pPr>
              <w:pStyle w:val="TableContents"/>
              <w:bidi w:val="0"/>
              <w:spacing w:before="0" w:after="0"/>
              <w:jc w:val="right"/>
              <w:rPr/>
            </w:pPr>
            <w:r>
              <w:rPr/>
              <w:t> </w:t>
            </w:r>
          </w:p>
        </w:tc>
        <w:tc>
          <w:tcPr>
            <w:tcW w:w="134"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4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263,338 </w:t>
            </w:r>
          </w:p>
        </w:tc>
        <w:tc>
          <w:tcPr>
            <w:tcW w:w="64" w:type="dxa"/>
            <w:tcBorders/>
            <w:shd w:fill="CCEEFF" w:val="clear"/>
            <w:vAlign w:val="center"/>
          </w:tcPr>
          <w:p>
            <w:pPr>
              <w:pStyle w:val="TableContents"/>
              <w:bidi w:val="0"/>
              <w:spacing w:before="0" w:after="0"/>
              <w:jc w:val="right"/>
              <w:rPr/>
            </w:pPr>
            <w:r>
              <w:rPr/>
              <w:t> </w:t>
            </w:r>
          </w:p>
        </w:tc>
        <w:tc>
          <w:tcPr>
            <w:tcW w:w="134"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69"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363,918 </w:t>
            </w:r>
          </w:p>
        </w:tc>
      </w:tr>
      <w:tr>
        <w:trPr/>
        <w:tc>
          <w:tcPr>
            <w:tcW w:w="5696" w:type="dxa"/>
            <w:tcBorders/>
            <w:shd w:fill="FFFFFF" w:val="clear"/>
            <w:vAlign w:val="center"/>
          </w:tcPr>
          <w:p>
            <w:pPr>
              <w:pStyle w:val="TableContents"/>
              <w:bidi w:val="0"/>
              <w:spacing w:before="0" w:after="0"/>
              <w:jc w:val="left"/>
              <w:rPr>
                <w:sz w:val="20"/>
              </w:rPr>
            </w:pPr>
            <w:r>
              <w:rPr>
                <w:sz w:val="20"/>
              </w:rPr>
              <w:t xml:space="preserve">Cost of sales interest expense, excluding land sales interest expense </w:t>
            </w:r>
          </w:p>
        </w:tc>
        <w:tc>
          <w:tcPr>
            <w:tcW w:w="60" w:type="dxa"/>
            <w:tcBorders/>
            <w:shd w:fill="FFFFFF" w:val="clear"/>
            <w:vAlign w:val="center"/>
          </w:tcPr>
          <w:p>
            <w:pPr>
              <w:pStyle w:val="TableContents"/>
              <w:bidi w:val="0"/>
              <w:spacing w:before="0" w:after="0"/>
              <w:jc w:val="left"/>
              <w:rPr/>
            </w:pPr>
            <w:r>
              <w:rPr/>
              <w:t> </w:t>
            </w:r>
          </w:p>
        </w:tc>
        <w:tc>
          <w:tcPr>
            <w:tcW w:w="146"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855" w:type="dxa"/>
            <w:tcBorders/>
            <w:shd w:fill="FFFFFF" w:val="clear"/>
            <w:vAlign w:val="center"/>
          </w:tcPr>
          <w:p>
            <w:pPr>
              <w:pStyle w:val="TableContents"/>
              <w:bidi w:val="0"/>
              <w:spacing w:before="0" w:after="0"/>
              <w:jc w:val="right"/>
              <w:rPr>
                <w:sz w:val="20"/>
              </w:rPr>
            </w:pPr>
            <w:r>
              <w:rPr>
                <w:sz w:val="20"/>
              </w:rPr>
              <w:t xml:space="preserve">19,098 </w:t>
            </w:r>
          </w:p>
        </w:tc>
        <w:tc>
          <w:tcPr>
            <w:tcW w:w="7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926" w:type="dxa"/>
            <w:tcBorders/>
            <w:shd w:fill="FFFFFF" w:val="clear"/>
            <w:vAlign w:val="center"/>
          </w:tcPr>
          <w:p>
            <w:pPr>
              <w:pStyle w:val="TableContents"/>
              <w:bidi w:val="0"/>
              <w:spacing w:before="0" w:after="0"/>
              <w:jc w:val="right"/>
              <w:rPr>
                <w:sz w:val="20"/>
              </w:rPr>
            </w:pPr>
            <w:r>
              <w:rPr>
                <w:sz w:val="20"/>
              </w:rPr>
              <w:t xml:space="preserve">26,868 </w:t>
            </w:r>
          </w:p>
        </w:tc>
        <w:tc>
          <w:tcPr>
            <w:tcW w:w="60"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45" w:type="dxa"/>
            <w:tcBorders/>
            <w:shd w:fill="FFFFFF" w:val="clear"/>
            <w:vAlign w:val="center"/>
          </w:tcPr>
          <w:p>
            <w:pPr>
              <w:pStyle w:val="TableContents"/>
              <w:bidi w:val="0"/>
              <w:spacing w:before="0" w:after="0"/>
              <w:jc w:val="right"/>
              <w:rPr/>
            </w:pPr>
            <w:r>
              <w:rPr/>
              <w:t xml:space="preserve">  </w:t>
            </w:r>
            <w:r>
              <w:rPr>
                <w:sz w:val="20"/>
              </w:rPr>
              <w:t xml:space="preserve">51,537 </w:t>
            </w:r>
          </w:p>
        </w:tc>
        <w:tc>
          <w:tcPr>
            <w:tcW w:w="64"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69" w:type="dxa"/>
            <w:tcBorders/>
            <w:shd w:fill="FFFFFF" w:val="clear"/>
            <w:vAlign w:val="center"/>
          </w:tcPr>
          <w:p>
            <w:pPr>
              <w:pStyle w:val="TableContents"/>
              <w:bidi w:val="0"/>
              <w:spacing w:before="0" w:after="0"/>
              <w:jc w:val="right"/>
              <w:rPr>
                <w:sz w:val="20"/>
              </w:rPr>
            </w:pPr>
            <w:r>
              <w:rPr>
                <w:sz w:val="20"/>
              </w:rPr>
              <w:t xml:space="preserve">65,544 </w:t>
            </w:r>
          </w:p>
        </w:tc>
      </w:tr>
      <w:tr>
        <w:trPr/>
        <w:tc>
          <w:tcPr>
            <w:tcW w:w="5696" w:type="dxa"/>
            <w:tcBorders/>
            <w:shd w:fill="CCEEFF" w:val="clear"/>
            <w:vAlign w:val="center"/>
          </w:tcPr>
          <w:p>
            <w:pPr>
              <w:pStyle w:val="TableContents"/>
              <w:bidi w:val="0"/>
              <w:spacing w:before="0" w:after="0"/>
              <w:jc w:val="left"/>
              <w:rPr>
                <w:sz w:val="20"/>
              </w:rPr>
            </w:pPr>
            <w:r>
              <w:rPr>
                <w:sz w:val="20"/>
              </w:rPr>
              <w:t>Homebuilding gross margin, after cost of sales interest expense, before land charges (2)</w:t>
            </w:r>
          </w:p>
        </w:tc>
        <w:tc>
          <w:tcPr>
            <w:tcW w:w="60" w:type="dxa"/>
            <w:tcBorders/>
            <w:shd w:fill="CCEEFF" w:val="clear"/>
            <w:vAlign w:val="center"/>
          </w:tcPr>
          <w:p>
            <w:pPr>
              <w:pStyle w:val="TableContents"/>
              <w:bidi w:val="0"/>
              <w:spacing w:before="0" w:after="0"/>
              <w:jc w:val="left"/>
              <w:rPr/>
            </w:pPr>
            <w:r>
              <w:rPr/>
              <w:t> </w:t>
            </w:r>
          </w:p>
        </w:tc>
        <w:tc>
          <w:tcPr>
            <w:tcW w:w="146"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85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80,371 </w:t>
            </w:r>
          </w:p>
        </w:tc>
        <w:tc>
          <w:tcPr>
            <w:tcW w:w="70" w:type="dxa"/>
            <w:tcBorders/>
            <w:shd w:fill="CCEEFF" w:val="clear"/>
            <w:vAlign w:val="center"/>
          </w:tcPr>
          <w:p>
            <w:pPr>
              <w:pStyle w:val="TableContents"/>
              <w:bidi w:val="0"/>
              <w:spacing w:before="0" w:after="0"/>
              <w:jc w:val="right"/>
              <w:rPr/>
            </w:pPr>
            <w:r>
              <w:rPr/>
              <w:t> </w:t>
            </w:r>
          </w:p>
        </w:tc>
        <w:tc>
          <w:tcPr>
            <w:tcW w:w="146"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26"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 xml:space="preserve">106,167 </w:t>
            </w:r>
          </w:p>
        </w:tc>
        <w:tc>
          <w:tcPr>
            <w:tcW w:w="60" w:type="dxa"/>
            <w:tcBorders/>
            <w:shd w:fill="CCEEFF" w:val="clear"/>
            <w:vAlign w:val="center"/>
          </w:tcPr>
          <w:p>
            <w:pPr>
              <w:pStyle w:val="TableContents"/>
              <w:bidi w:val="0"/>
              <w:spacing w:before="0" w:after="0"/>
              <w:jc w:val="right"/>
              <w:rPr/>
            </w:pPr>
            <w:r>
              <w:rPr/>
              <w:t> </w:t>
            </w:r>
          </w:p>
        </w:tc>
        <w:tc>
          <w:tcPr>
            <w:tcW w:w="134"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4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211,801 </w:t>
            </w:r>
          </w:p>
        </w:tc>
        <w:tc>
          <w:tcPr>
            <w:tcW w:w="64" w:type="dxa"/>
            <w:tcBorders/>
            <w:shd w:fill="CCEEFF" w:val="clear"/>
            <w:vAlign w:val="center"/>
          </w:tcPr>
          <w:p>
            <w:pPr>
              <w:pStyle w:val="TableContents"/>
              <w:bidi w:val="0"/>
              <w:spacing w:before="0" w:after="0"/>
              <w:jc w:val="right"/>
              <w:rPr/>
            </w:pPr>
            <w:r>
              <w:rPr/>
              <w:t> </w:t>
            </w:r>
          </w:p>
        </w:tc>
        <w:tc>
          <w:tcPr>
            <w:tcW w:w="134"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969"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298,374 </w:t>
            </w:r>
          </w:p>
        </w:tc>
      </w:tr>
      <w:tr>
        <w:trPr/>
        <w:tc>
          <w:tcPr>
            <w:tcW w:w="5696" w:type="dxa"/>
            <w:tcBorders/>
            <w:shd w:fill="FFFFFF" w:val="clear"/>
            <w:vAlign w:val="center"/>
          </w:tcPr>
          <w:p>
            <w:pPr>
              <w:pStyle w:val="TableContents"/>
              <w:bidi w:val="0"/>
              <w:spacing w:before="0" w:after="0"/>
              <w:jc w:val="left"/>
              <w:rPr>
                <w:sz w:val="20"/>
              </w:rPr>
            </w:pPr>
            <w:r>
              <w:rPr>
                <w:sz w:val="20"/>
              </w:rPr>
              <w:t>Land charges</w:t>
            </w:r>
          </w:p>
        </w:tc>
        <w:tc>
          <w:tcPr>
            <w:tcW w:w="6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855" w:type="dxa"/>
            <w:tcBorders/>
            <w:shd w:fill="FFFFFF" w:val="clear"/>
            <w:vAlign w:val="center"/>
          </w:tcPr>
          <w:p>
            <w:pPr>
              <w:pStyle w:val="TableContents"/>
              <w:bidi w:val="0"/>
              <w:spacing w:before="0" w:after="0"/>
              <w:jc w:val="right"/>
              <w:rPr/>
            </w:pPr>
            <w:r>
              <w:rPr/>
              <w:t xml:space="preserve">  </w:t>
            </w:r>
            <w:r>
              <w:rPr>
                <w:sz w:val="20"/>
              </w:rPr>
              <w:t xml:space="preserve">493 </w:t>
            </w:r>
          </w:p>
        </w:tc>
        <w:tc>
          <w:tcPr>
            <w:tcW w:w="7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926" w:type="dxa"/>
            <w:tcBorders/>
            <w:shd w:fill="FFFFFF" w:val="clear"/>
            <w:vAlign w:val="center"/>
          </w:tcPr>
          <w:p>
            <w:pPr>
              <w:pStyle w:val="TableContents"/>
              <w:bidi w:val="0"/>
              <w:spacing w:before="0" w:after="0"/>
              <w:jc w:val="right"/>
              <w:rPr>
                <w:sz w:val="20"/>
              </w:rPr>
            </w:pPr>
            <w:r>
              <w:rPr>
                <w:sz w:val="20"/>
              </w:rPr>
              <w:t xml:space="preserve">16,045 </w:t>
            </w:r>
          </w:p>
        </w:tc>
        <w:tc>
          <w:tcPr>
            <w:tcW w:w="60"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45" w:type="dxa"/>
            <w:tcBorders/>
            <w:shd w:fill="FFFFFF" w:val="clear"/>
            <w:vAlign w:val="center"/>
          </w:tcPr>
          <w:p>
            <w:pPr>
              <w:pStyle w:val="TableContents"/>
              <w:bidi w:val="0"/>
              <w:spacing w:before="0" w:after="0"/>
              <w:jc w:val="right"/>
              <w:rPr/>
            </w:pPr>
            <w:r>
              <w:rPr/>
              <w:t xml:space="preserve">  </w:t>
            </w:r>
            <w:r>
              <w:rPr>
                <w:sz w:val="20"/>
              </w:rPr>
              <w:t xml:space="preserve">11,602 </w:t>
            </w:r>
          </w:p>
        </w:tc>
        <w:tc>
          <w:tcPr>
            <w:tcW w:w="64"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69" w:type="dxa"/>
            <w:tcBorders/>
            <w:shd w:fill="FFFFFF" w:val="clear"/>
            <w:vAlign w:val="center"/>
          </w:tcPr>
          <w:p>
            <w:pPr>
              <w:pStyle w:val="TableContents"/>
              <w:bidi w:val="0"/>
              <w:spacing w:before="0" w:after="0"/>
              <w:jc w:val="right"/>
              <w:rPr>
                <w:sz w:val="20"/>
              </w:rPr>
            </w:pPr>
            <w:r>
              <w:rPr>
                <w:sz w:val="20"/>
              </w:rPr>
              <w:t xml:space="preserve">20,141 </w:t>
            </w:r>
          </w:p>
        </w:tc>
      </w:tr>
      <w:tr>
        <w:trPr/>
        <w:tc>
          <w:tcPr>
            <w:tcW w:w="5696" w:type="dxa"/>
            <w:tcBorders/>
            <w:shd w:fill="CCEEFF" w:val="clear"/>
            <w:vAlign w:val="center"/>
          </w:tcPr>
          <w:p>
            <w:pPr>
              <w:pStyle w:val="TableContents"/>
              <w:bidi w:val="0"/>
              <w:spacing w:before="0" w:after="0"/>
              <w:jc w:val="left"/>
              <w:rPr>
                <w:sz w:val="20"/>
              </w:rPr>
            </w:pPr>
            <w:r>
              <w:rPr>
                <w:sz w:val="20"/>
              </w:rPr>
              <w:t>Homebuilding gross margin</w:t>
            </w:r>
          </w:p>
        </w:tc>
        <w:tc>
          <w:tcPr>
            <w:tcW w:w="60" w:type="dxa"/>
            <w:tcBorders/>
            <w:shd w:fill="CCEEFF" w:val="clear"/>
            <w:vAlign w:val="center"/>
          </w:tcPr>
          <w:p>
            <w:pPr>
              <w:pStyle w:val="TableContents"/>
              <w:bidi w:val="0"/>
              <w:spacing w:before="0" w:after="0"/>
              <w:jc w:val="right"/>
              <w:rPr/>
            </w:pPr>
            <w:r>
              <w:rPr/>
              <w:t> </w:t>
            </w:r>
          </w:p>
        </w:tc>
        <w:tc>
          <w:tcPr>
            <w:tcW w:w="14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5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79,878 </w:t>
            </w:r>
          </w:p>
        </w:tc>
        <w:tc>
          <w:tcPr>
            <w:tcW w:w="70" w:type="dxa"/>
            <w:tcBorders/>
            <w:shd w:fill="CCEEFF" w:val="clear"/>
            <w:vAlign w:val="center"/>
          </w:tcPr>
          <w:p>
            <w:pPr>
              <w:pStyle w:val="TableContents"/>
              <w:bidi w:val="0"/>
              <w:spacing w:before="0" w:after="0"/>
              <w:jc w:val="right"/>
              <w:rPr/>
            </w:pPr>
            <w:r>
              <w:rPr/>
              <w:t> </w:t>
            </w:r>
          </w:p>
        </w:tc>
        <w:tc>
          <w:tcPr>
            <w:tcW w:w="14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92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90,122 </w:t>
            </w:r>
          </w:p>
        </w:tc>
        <w:tc>
          <w:tcPr>
            <w:tcW w:w="60" w:type="dxa"/>
            <w:tcBorders/>
            <w:shd w:fill="CCEEFF" w:val="clear"/>
            <w:vAlign w:val="center"/>
          </w:tcPr>
          <w:p>
            <w:pPr>
              <w:pStyle w:val="TableContents"/>
              <w:bidi w:val="0"/>
              <w:spacing w:before="0" w:after="0"/>
              <w:jc w:val="right"/>
              <w:rPr/>
            </w:pPr>
            <w:r>
              <w:rPr/>
              <w:t> </w:t>
            </w:r>
          </w:p>
        </w:tc>
        <w:tc>
          <w:tcPr>
            <w:tcW w:w="134"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94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200,199 </w:t>
            </w:r>
          </w:p>
        </w:tc>
        <w:tc>
          <w:tcPr>
            <w:tcW w:w="64" w:type="dxa"/>
            <w:tcBorders/>
            <w:shd w:fill="CCEEFF" w:val="clear"/>
            <w:vAlign w:val="center"/>
          </w:tcPr>
          <w:p>
            <w:pPr>
              <w:pStyle w:val="TableContents"/>
              <w:bidi w:val="0"/>
              <w:spacing w:before="0" w:after="0"/>
              <w:jc w:val="right"/>
              <w:rPr/>
            </w:pPr>
            <w:r>
              <w:rPr/>
              <w:t> </w:t>
            </w:r>
          </w:p>
        </w:tc>
        <w:tc>
          <w:tcPr>
            <w:tcW w:w="134"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96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r>
              <w:rPr>
                <w:sz w:val="20"/>
              </w:rPr>
              <w:t xml:space="preserve">278,233 </w:t>
            </w:r>
          </w:p>
        </w:tc>
      </w:tr>
      <w:tr>
        <w:trPr/>
        <w:tc>
          <w:tcPr>
            <w:tcW w:w="569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855" w:type="dxa"/>
            <w:tcBorders/>
            <w:shd w:fill="FFFFFF" w:val="clear"/>
            <w:vAlign w:val="center"/>
          </w:tcPr>
          <w:p>
            <w:pPr>
              <w:pStyle w:val="TableContents"/>
              <w:bidi w:val="0"/>
              <w:spacing w:before="0" w:after="0"/>
              <w:jc w:val="right"/>
              <w:rPr/>
            </w:pPr>
            <w:r>
              <w:rPr/>
              <w:t> </w:t>
            </w:r>
          </w:p>
        </w:tc>
        <w:tc>
          <w:tcPr>
            <w:tcW w:w="7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9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45" w:type="dxa"/>
            <w:tcBorders/>
            <w:shd w:fill="FFFFFF" w:val="cle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69" w:type="dxa"/>
            <w:tcBorders/>
            <w:shd w:fill="FFFFFF" w:val="clear"/>
            <w:vAlign w:val="center"/>
          </w:tcPr>
          <w:p>
            <w:pPr>
              <w:pStyle w:val="TableContents"/>
              <w:bidi w:val="0"/>
              <w:spacing w:before="0" w:after="0"/>
              <w:jc w:val="right"/>
              <w:rPr/>
            </w:pPr>
            <w:r>
              <w:rPr/>
              <w:t> </w:t>
            </w:r>
          </w:p>
        </w:tc>
      </w:tr>
      <w:tr>
        <w:trPr/>
        <w:tc>
          <w:tcPr>
            <w:tcW w:w="5696" w:type="dxa"/>
            <w:tcBorders/>
            <w:shd w:fill="CCEEFF" w:val="clear"/>
            <w:vAlign w:val="center"/>
          </w:tcPr>
          <w:p>
            <w:pPr>
              <w:pStyle w:val="TableContents"/>
              <w:bidi w:val="0"/>
              <w:spacing w:before="0" w:after="0"/>
              <w:jc w:val="left"/>
              <w:rPr>
                <w:sz w:val="20"/>
              </w:rPr>
            </w:pPr>
            <w:r>
              <w:rPr>
                <w:sz w:val="20"/>
              </w:rPr>
              <w:t>Homebuilding gross margin percentage</w:t>
            </w:r>
          </w:p>
        </w:tc>
        <w:tc>
          <w:tcPr>
            <w:tcW w:w="60" w:type="dxa"/>
            <w:tcBorders/>
            <w:shd w:fill="CCEEFF" w:val="clear"/>
            <w:vAlign w:val="center"/>
          </w:tcPr>
          <w:p>
            <w:pPr>
              <w:pStyle w:val="TableContents"/>
              <w:bidi w:val="0"/>
              <w:spacing w:before="0" w:after="0"/>
              <w:jc w:val="right"/>
              <w:rPr/>
            </w:pPr>
            <w:r>
              <w:rPr/>
              <w:t> </w:t>
            </w:r>
          </w:p>
        </w:tc>
        <w:tc>
          <w:tcPr>
            <w:tcW w:w="146"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0"/>
              <w:jc w:val="right"/>
              <w:rPr>
                <w:sz w:val="20"/>
              </w:rPr>
            </w:pPr>
            <w:r>
              <w:rPr>
                <w:sz w:val="20"/>
              </w:rPr>
              <w:t>11.8%</w:t>
            </w:r>
          </w:p>
        </w:tc>
        <w:tc>
          <w:tcPr>
            <w:tcW w:w="70" w:type="dxa"/>
            <w:tcBorders/>
            <w:shd w:fill="CCEEFF" w:val="clear"/>
            <w:vAlign w:val="center"/>
          </w:tcPr>
          <w:p>
            <w:pPr>
              <w:pStyle w:val="TableContents"/>
              <w:bidi w:val="0"/>
              <w:spacing w:before="0" w:after="0"/>
              <w:jc w:val="right"/>
              <w:rPr/>
            </w:pPr>
            <w:r>
              <w:rPr/>
              <w:t> </w:t>
            </w:r>
          </w:p>
        </w:tc>
        <w:tc>
          <w:tcPr>
            <w:tcW w:w="146"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right"/>
              <w:rPr>
                <w:sz w:val="20"/>
              </w:rPr>
            </w:pPr>
            <w:r>
              <w:rPr>
                <w:sz w:val="20"/>
              </w:rPr>
              <w:t>11.7%</w:t>
            </w:r>
          </w:p>
        </w:tc>
        <w:tc>
          <w:tcPr>
            <w:tcW w:w="60"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center"/>
              <w:rPr/>
            </w:pPr>
            <w:r>
              <w:rPr/>
              <w:t> </w:t>
            </w:r>
          </w:p>
        </w:tc>
        <w:tc>
          <w:tcPr>
            <w:tcW w:w="945" w:type="dxa"/>
            <w:tcBorders/>
            <w:shd w:fill="CCEEFF" w:val="clear"/>
            <w:vAlign w:val="center"/>
          </w:tcPr>
          <w:p>
            <w:pPr>
              <w:pStyle w:val="TableContents"/>
              <w:bidi w:val="0"/>
              <w:spacing w:before="0" w:after="0"/>
              <w:jc w:val="right"/>
              <w:rPr>
                <w:sz w:val="20"/>
              </w:rPr>
            </w:pPr>
            <w:r>
              <w:rPr>
                <w:sz w:val="20"/>
              </w:rPr>
              <w:t>10.8%</w:t>
            </w:r>
          </w:p>
        </w:tc>
        <w:tc>
          <w:tcPr>
            <w:tcW w:w="64"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left"/>
              <w:rPr/>
            </w:pPr>
            <w:r>
              <w:rPr/>
              <w:t> </w:t>
            </w:r>
          </w:p>
        </w:tc>
        <w:tc>
          <w:tcPr>
            <w:tcW w:w="969" w:type="dxa"/>
            <w:tcBorders/>
            <w:shd w:fill="CCEEFF" w:val="clear"/>
            <w:vAlign w:val="center"/>
          </w:tcPr>
          <w:p>
            <w:pPr>
              <w:pStyle w:val="TableContents"/>
              <w:bidi w:val="0"/>
              <w:spacing w:before="0" w:after="0"/>
              <w:jc w:val="right"/>
              <w:rPr>
                <w:sz w:val="20"/>
              </w:rPr>
            </w:pPr>
            <w:r>
              <w:rPr>
                <w:sz w:val="20"/>
              </w:rPr>
              <w:t>13.5%</w:t>
            </w:r>
          </w:p>
        </w:tc>
      </w:tr>
      <w:tr>
        <w:trPr/>
        <w:tc>
          <w:tcPr>
            <w:tcW w:w="5696" w:type="dxa"/>
            <w:tcBorders/>
            <w:shd w:fill="FFFFFF" w:val="clear"/>
            <w:vAlign w:val="center"/>
          </w:tcPr>
          <w:p>
            <w:pPr>
              <w:pStyle w:val="TableContents"/>
              <w:bidi w:val="0"/>
              <w:spacing w:before="0" w:after="0"/>
              <w:jc w:val="left"/>
              <w:rPr>
                <w:sz w:val="20"/>
              </w:rPr>
            </w:pPr>
            <w:r>
              <w:rPr>
                <w:sz w:val="20"/>
              </w:rPr>
              <w:t>Homebuilding gross margin percentage, before cost of sales interest expense and land charges (2)</w:t>
            </w:r>
          </w:p>
        </w:tc>
        <w:tc>
          <w:tcPr>
            <w:tcW w:w="6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855" w:type="dxa"/>
            <w:tcBorders/>
            <w:shd w:fill="FFFFFF" w:val="clear"/>
            <w:vAlign w:val="center"/>
          </w:tcPr>
          <w:p>
            <w:pPr>
              <w:pStyle w:val="TableContents"/>
              <w:bidi w:val="0"/>
              <w:spacing w:before="0" w:after="0"/>
              <w:jc w:val="right"/>
              <w:rPr>
                <w:sz w:val="20"/>
              </w:rPr>
            </w:pPr>
            <w:r>
              <w:rPr>
                <w:sz w:val="20"/>
              </w:rPr>
              <w:t>14.6%</w:t>
            </w:r>
          </w:p>
        </w:tc>
        <w:tc>
          <w:tcPr>
            <w:tcW w:w="70" w:type="dxa"/>
            <w:tcBorders/>
            <w:shd w:fill="FFFFFF" w:val="clear"/>
            <w:vAlign w:val="center"/>
          </w:tcPr>
          <w:p>
            <w:pPr>
              <w:pStyle w:val="TableContents"/>
              <w:bidi w:val="0"/>
              <w:spacing w:before="0" w:after="0"/>
              <w:jc w:val="right"/>
              <w:rPr/>
            </w:pPr>
            <w:r>
              <w:rPr/>
              <w:t> </w:t>
            </w:r>
          </w:p>
        </w:tc>
        <w:tc>
          <w:tcPr>
            <w:tcW w:w="146" w:type="dxa"/>
            <w:tcBorders/>
            <w:shd w:fill="FFFFFF" w:val="clear"/>
            <w:vAlign w:val="center"/>
          </w:tcPr>
          <w:p>
            <w:pPr>
              <w:pStyle w:val="TableContents"/>
              <w:bidi w:val="0"/>
              <w:spacing w:before="0" w:after="0"/>
              <w:jc w:val="left"/>
              <w:rPr/>
            </w:pPr>
            <w:r>
              <w:rPr/>
              <w:t> </w:t>
            </w:r>
          </w:p>
        </w:tc>
        <w:tc>
          <w:tcPr>
            <w:tcW w:w="926" w:type="dxa"/>
            <w:tcBorders/>
            <w:shd w:fill="FFFFFF" w:val="clear"/>
            <w:vAlign w:val="center"/>
          </w:tcPr>
          <w:p>
            <w:pPr>
              <w:pStyle w:val="TableContents"/>
              <w:bidi w:val="0"/>
              <w:spacing w:before="0" w:after="0"/>
              <w:jc w:val="right"/>
              <w:rPr>
                <w:sz w:val="20"/>
              </w:rPr>
            </w:pPr>
            <w:r>
              <w:rPr>
                <w:sz w:val="20"/>
              </w:rPr>
              <w:t>17.3%</w:t>
            </w:r>
          </w:p>
        </w:tc>
        <w:tc>
          <w:tcPr>
            <w:tcW w:w="60"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center"/>
              <w:rPr/>
            </w:pPr>
            <w:r>
              <w:rPr/>
              <w:t> </w:t>
            </w:r>
          </w:p>
        </w:tc>
        <w:tc>
          <w:tcPr>
            <w:tcW w:w="945" w:type="dxa"/>
            <w:tcBorders/>
            <w:shd w:fill="FFFFFF" w:val="clear"/>
            <w:vAlign w:val="center"/>
          </w:tcPr>
          <w:p>
            <w:pPr>
              <w:pStyle w:val="TableContents"/>
              <w:bidi w:val="0"/>
              <w:spacing w:before="0" w:after="0"/>
              <w:jc w:val="right"/>
              <w:rPr>
                <w:sz w:val="20"/>
              </w:rPr>
            </w:pPr>
            <w:r>
              <w:rPr>
                <w:sz w:val="20"/>
              </w:rPr>
              <w:t>14.2%</w:t>
            </w:r>
          </w:p>
        </w:tc>
        <w:tc>
          <w:tcPr>
            <w:tcW w:w="64" w:type="dxa"/>
            <w:tcBorders/>
            <w:shd w:fill="FFFFFF" w:val="clear"/>
            <w:vAlign w:val="center"/>
          </w:tcPr>
          <w:p>
            <w:pPr>
              <w:pStyle w:val="TableContents"/>
              <w:bidi w:val="0"/>
              <w:spacing w:before="0" w:after="0"/>
              <w:jc w:val="right"/>
              <w:rPr/>
            </w:pPr>
            <w:r>
              <w:rPr/>
              <w:t> </w:t>
            </w:r>
          </w:p>
        </w:tc>
        <w:tc>
          <w:tcPr>
            <w:tcW w:w="134" w:type="dxa"/>
            <w:tcBorders/>
            <w:shd w:fill="FFFFFF" w:val="clear"/>
            <w:vAlign w:val="center"/>
          </w:tcPr>
          <w:p>
            <w:pPr>
              <w:pStyle w:val="TableContents"/>
              <w:bidi w:val="0"/>
              <w:spacing w:before="0" w:after="0"/>
              <w:jc w:val="left"/>
              <w:rPr/>
            </w:pPr>
            <w:r>
              <w:rPr/>
              <w:t> </w:t>
            </w:r>
          </w:p>
        </w:tc>
        <w:tc>
          <w:tcPr>
            <w:tcW w:w="969" w:type="dxa"/>
            <w:tcBorders/>
            <w:shd w:fill="FFFFFF" w:val="clear"/>
            <w:vAlign w:val="center"/>
          </w:tcPr>
          <w:p>
            <w:pPr>
              <w:pStyle w:val="TableContents"/>
              <w:bidi w:val="0"/>
              <w:spacing w:before="0" w:after="0"/>
              <w:jc w:val="right"/>
              <w:rPr>
                <w:sz w:val="20"/>
              </w:rPr>
            </w:pPr>
            <w:r>
              <w:rPr>
                <w:sz w:val="20"/>
              </w:rPr>
              <w:t>17.6%</w:t>
            </w:r>
          </w:p>
        </w:tc>
      </w:tr>
      <w:tr>
        <w:trPr/>
        <w:tc>
          <w:tcPr>
            <w:tcW w:w="5696" w:type="dxa"/>
            <w:tcBorders/>
            <w:shd w:fill="CCEEFF" w:val="clear"/>
            <w:vAlign w:val="center"/>
          </w:tcPr>
          <w:p>
            <w:pPr>
              <w:pStyle w:val="TableContents"/>
              <w:bidi w:val="0"/>
              <w:spacing w:before="0" w:after="0"/>
              <w:jc w:val="left"/>
              <w:rPr>
                <w:sz w:val="20"/>
              </w:rPr>
            </w:pPr>
            <w:r>
              <w:rPr>
                <w:sz w:val="20"/>
              </w:rPr>
              <w:t>Homebuilding gross margin percentage, after cost of sales interest expense, before land charges (2)</w:t>
            </w:r>
          </w:p>
        </w:tc>
        <w:tc>
          <w:tcPr>
            <w:tcW w:w="6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0"/>
              <w:jc w:val="right"/>
              <w:rPr>
                <w:sz w:val="20"/>
              </w:rPr>
            </w:pPr>
            <w:r>
              <w:rPr>
                <w:sz w:val="20"/>
              </w:rPr>
              <w:t>11.9%</w:t>
            </w:r>
          </w:p>
        </w:tc>
        <w:tc>
          <w:tcPr>
            <w:tcW w:w="70" w:type="dxa"/>
            <w:tcBorders/>
            <w:shd w:fill="CCEEFF" w:val="clear"/>
            <w:vAlign w:val="center"/>
          </w:tcPr>
          <w:p>
            <w:pPr>
              <w:pStyle w:val="TableContents"/>
              <w:bidi w:val="0"/>
              <w:spacing w:before="0" w:after="0"/>
              <w:jc w:val="right"/>
              <w:rPr/>
            </w:pPr>
            <w:r>
              <w:rPr/>
              <w:t> </w:t>
            </w:r>
          </w:p>
        </w:tc>
        <w:tc>
          <w:tcPr>
            <w:tcW w:w="146" w:type="dxa"/>
            <w:tcBorders/>
            <w:shd w:fill="CCEEFF" w:val="clear"/>
            <w:vAlign w:val="center"/>
          </w:tcPr>
          <w:p>
            <w:pPr>
              <w:pStyle w:val="TableContents"/>
              <w:bidi w:val="0"/>
              <w:spacing w:before="0" w:after="0"/>
              <w:jc w:val="center"/>
              <w:rPr/>
            </w:pPr>
            <w:r>
              <w:rPr/>
              <w:t> </w:t>
            </w:r>
          </w:p>
        </w:tc>
        <w:tc>
          <w:tcPr>
            <w:tcW w:w="926" w:type="dxa"/>
            <w:tcBorders/>
            <w:shd w:fill="CCEEFF" w:val="clear"/>
            <w:vAlign w:val="center"/>
          </w:tcPr>
          <w:p>
            <w:pPr>
              <w:pStyle w:val="TableContents"/>
              <w:bidi w:val="0"/>
              <w:spacing w:before="0" w:after="0"/>
              <w:jc w:val="right"/>
              <w:rPr>
                <w:sz w:val="20"/>
              </w:rPr>
            </w:pPr>
            <w:r>
              <w:rPr>
                <w:sz w:val="20"/>
              </w:rPr>
              <w:t>13.8%</w:t>
            </w:r>
          </w:p>
        </w:tc>
        <w:tc>
          <w:tcPr>
            <w:tcW w:w="60"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center"/>
              <w:rPr/>
            </w:pPr>
            <w:r>
              <w:rPr/>
              <w:t> </w:t>
            </w:r>
          </w:p>
        </w:tc>
        <w:tc>
          <w:tcPr>
            <w:tcW w:w="945" w:type="dxa"/>
            <w:tcBorders/>
            <w:shd w:fill="CCEEFF" w:val="clear"/>
            <w:vAlign w:val="center"/>
          </w:tcPr>
          <w:p>
            <w:pPr>
              <w:pStyle w:val="TableContents"/>
              <w:bidi w:val="0"/>
              <w:spacing w:before="0" w:after="0"/>
              <w:jc w:val="right"/>
              <w:rPr>
                <w:sz w:val="20"/>
              </w:rPr>
            </w:pPr>
            <w:r>
              <w:rPr>
                <w:sz w:val="20"/>
              </w:rPr>
              <w:t>11.4%</w:t>
            </w:r>
          </w:p>
        </w:tc>
        <w:tc>
          <w:tcPr>
            <w:tcW w:w="64" w:type="dxa"/>
            <w:tcBorders/>
            <w:shd w:fill="CCEEFF" w:val="clear"/>
            <w:vAlign w:val="center"/>
          </w:tcPr>
          <w:p>
            <w:pPr>
              <w:pStyle w:val="TableContents"/>
              <w:bidi w:val="0"/>
              <w:spacing w:before="0" w:after="0"/>
              <w:jc w:val="right"/>
              <w:rPr/>
            </w:pPr>
            <w:r>
              <w:rPr/>
              <w:t> </w:t>
            </w:r>
          </w:p>
        </w:tc>
        <w:tc>
          <w:tcPr>
            <w:tcW w:w="134" w:type="dxa"/>
            <w:tcBorders/>
            <w:shd w:fill="CCEEFF" w:val="clear"/>
            <w:vAlign w:val="center"/>
          </w:tcPr>
          <w:p>
            <w:pPr>
              <w:pStyle w:val="TableContents"/>
              <w:bidi w:val="0"/>
              <w:spacing w:before="0" w:after="0"/>
              <w:jc w:val="center"/>
              <w:rPr/>
            </w:pPr>
            <w:r>
              <w:rPr/>
              <w:t> </w:t>
            </w:r>
          </w:p>
        </w:tc>
        <w:tc>
          <w:tcPr>
            <w:tcW w:w="969" w:type="dxa"/>
            <w:tcBorders/>
            <w:shd w:fill="CCEEFF" w:val="clear"/>
            <w:vAlign w:val="center"/>
          </w:tcPr>
          <w:p>
            <w:pPr>
              <w:pStyle w:val="TableContents"/>
              <w:bidi w:val="0"/>
              <w:spacing w:before="0" w:after="0"/>
              <w:jc w:val="right"/>
              <w:rPr>
                <w:sz w:val="20"/>
              </w:rPr>
            </w:pPr>
            <w:r>
              <w:rPr>
                <w:sz w:val="20"/>
              </w:rPr>
              <w:t>14.4%</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4145"/>
        <w:gridCol w:w="60"/>
        <w:gridCol w:w="197"/>
        <w:gridCol w:w="529"/>
        <w:gridCol w:w="94"/>
        <w:gridCol w:w="197"/>
        <w:gridCol w:w="1026"/>
        <w:gridCol w:w="60"/>
        <w:gridCol w:w="148"/>
        <w:gridCol w:w="899"/>
        <w:gridCol w:w="71"/>
        <w:gridCol w:w="148"/>
        <w:gridCol w:w="791"/>
      </w:tblGrid>
      <w:tr>
        <w:trPr/>
        <w:tc>
          <w:tcPr>
            <w:tcW w:w="41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043" w:type="dxa"/>
            <w:gridSpan w:val="5"/>
            <w:tcBorders/>
            <w:vAlign w:val="center"/>
          </w:tcPr>
          <w:p>
            <w:pPr>
              <w:pStyle w:val="TableContents"/>
              <w:bidi w:val="0"/>
              <w:spacing w:before="0" w:after="0"/>
              <w:jc w:val="center"/>
              <w:rPr>
                <w:sz w:val="20"/>
              </w:rPr>
            </w:pPr>
            <w:r>
              <w:rPr>
                <w:sz w:val="20"/>
              </w:rPr>
              <w:t>Land Sales Gross Margin</w:t>
            </w:r>
          </w:p>
        </w:tc>
        <w:tc>
          <w:tcPr>
            <w:tcW w:w="60" w:type="dxa"/>
            <w:tcBorders/>
            <w:vAlign w:val="center"/>
          </w:tcPr>
          <w:p>
            <w:pPr>
              <w:pStyle w:val="TableContents"/>
              <w:bidi w:val="0"/>
              <w:spacing w:before="0" w:after="0"/>
              <w:jc w:val="right"/>
              <w:rPr/>
            </w:pPr>
            <w:r>
              <w:rPr/>
              <w:t> </w:t>
            </w:r>
          </w:p>
        </w:tc>
        <w:tc>
          <w:tcPr>
            <w:tcW w:w="2057" w:type="dxa"/>
            <w:gridSpan w:val="5"/>
            <w:tcBorders/>
            <w:vAlign w:val="center"/>
          </w:tcPr>
          <w:p>
            <w:pPr>
              <w:pStyle w:val="TableContents"/>
              <w:bidi w:val="0"/>
              <w:spacing w:before="0" w:after="0"/>
              <w:jc w:val="center"/>
              <w:rPr>
                <w:sz w:val="20"/>
              </w:rPr>
            </w:pPr>
            <w:r>
              <w:rPr>
                <w:sz w:val="20"/>
              </w:rPr>
              <w:t>Land Sales Gross Margin</w:t>
            </w:r>
          </w:p>
        </w:tc>
      </w:tr>
      <w:tr>
        <w:trPr/>
        <w:tc>
          <w:tcPr>
            <w:tcW w:w="41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043" w:type="dxa"/>
            <w:gridSpan w:val="5"/>
            <w:tcBorders/>
            <w:vAlign w:val="center"/>
          </w:tcPr>
          <w:p>
            <w:pPr>
              <w:pStyle w:val="TableContents"/>
              <w:bidi w:val="0"/>
              <w:spacing w:before="0" w:after="0"/>
              <w:jc w:val="center"/>
              <w:rPr>
                <w:sz w:val="20"/>
              </w:rPr>
            </w:pPr>
            <w:r>
              <w:rPr>
                <w:sz w:val="20"/>
              </w:rPr>
              <w:t>Three Months Ended</w:t>
            </w:r>
          </w:p>
        </w:tc>
        <w:tc>
          <w:tcPr>
            <w:tcW w:w="60" w:type="dxa"/>
            <w:tcBorders/>
            <w:vAlign w:val="center"/>
          </w:tcPr>
          <w:p>
            <w:pPr>
              <w:pStyle w:val="TableContents"/>
              <w:bidi w:val="0"/>
              <w:spacing w:before="0" w:after="0"/>
              <w:jc w:val="right"/>
              <w:rPr/>
            </w:pPr>
            <w:r>
              <w:rPr/>
              <w:t> </w:t>
            </w:r>
          </w:p>
        </w:tc>
        <w:tc>
          <w:tcPr>
            <w:tcW w:w="2057" w:type="dxa"/>
            <w:gridSpan w:val="5"/>
            <w:tcBorders/>
            <w:vAlign w:val="center"/>
          </w:tcPr>
          <w:p>
            <w:pPr>
              <w:pStyle w:val="TableContents"/>
              <w:bidi w:val="0"/>
              <w:spacing w:before="0" w:after="0"/>
              <w:jc w:val="center"/>
              <w:rPr>
                <w:sz w:val="20"/>
              </w:rPr>
            </w:pPr>
            <w:r>
              <w:rPr>
                <w:sz w:val="20"/>
              </w:rPr>
              <w:t>Nine Months Ended</w:t>
            </w:r>
          </w:p>
        </w:tc>
      </w:tr>
      <w:tr>
        <w:trPr/>
        <w:tc>
          <w:tcPr>
            <w:tcW w:w="41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043"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c>
          <w:tcPr>
            <w:tcW w:w="60" w:type="dxa"/>
            <w:tcBorders/>
            <w:vAlign w:val="center"/>
          </w:tcPr>
          <w:p>
            <w:pPr>
              <w:pStyle w:val="TableContents"/>
              <w:bidi w:val="0"/>
              <w:spacing w:before="0" w:after="0"/>
              <w:jc w:val="right"/>
              <w:rPr/>
            </w:pPr>
            <w:r>
              <w:rPr/>
              <w:t> </w:t>
            </w:r>
          </w:p>
        </w:tc>
        <w:tc>
          <w:tcPr>
            <w:tcW w:w="2057"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r>
      <w:tr>
        <w:trPr/>
        <w:tc>
          <w:tcPr>
            <w:tcW w:w="41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726"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94" w:type="dxa"/>
            <w:tcBorders/>
            <w:vAlign w:val="center"/>
          </w:tcPr>
          <w:p>
            <w:pPr>
              <w:pStyle w:val="TableContents"/>
              <w:bidi w:val="0"/>
              <w:spacing w:before="0" w:after="0"/>
              <w:jc w:val="center"/>
              <w:rPr/>
            </w:pPr>
            <w:r>
              <w:rPr/>
              <w:t> </w:t>
            </w:r>
          </w:p>
        </w:tc>
        <w:tc>
          <w:tcPr>
            <w:tcW w:w="1223"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c>
          <w:tcPr>
            <w:tcW w:w="60" w:type="dxa"/>
            <w:tcBorders/>
            <w:vAlign w:val="center"/>
          </w:tcPr>
          <w:p>
            <w:pPr>
              <w:pStyle w:val="TableContents"/>
              <w:bidi w:val="0"/>
              <w:spacing w:before="0" w:after="0"/>
              <w:jc w:val="right"/>
              <w:rPr/>
            </w:pPr>
            <w:r>
              <w:rPr/>
              <w:t> </w:t>
            </w:r>
          </w:p>
        </w:tc>
        <w:tc>
          <w:tcPr>
            <w:tcW w:w="1047"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71" w:type="dxa"/>
            <w:tcBorders/>
            <w:vAlign w:val="center"/>
          </w:tcPr>
          <w:p>
            <w:pPr>
              <w:pStyle w:val="TableContents"/>
              <w:bidi w:val="0"/>
              <w:spacing w:before="0" w:after="0"/>
              <w:jc w:val="center"/>
              <w:rPr/>
            </w:pPr>
            <w:r>
              <w:rPr/>
              <w:t> </w:t>
            </w:r>
          </w:p>
        </w:tc>
        <w:tc>
          <w:tcPr>
            <w:tcW w:w="939"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r>
      <w:tr>
        <w:trPr/>
        <w:tc>
          <w:tcPr>
            <w:tcW w:w="41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2043" w:type="dxa"/>
            <w:gridSpan w:val="5"/>
            <w:tcBorders/>
            <w:vAlign w:val="center"/>
          </w:tcPr>
          <w:p>
            <w:pPr>
              <w:pStyle w:val="TableContents"/>
              <w:bidi w:val="0"/>
              <w:spacing w:before="0" w:after="0"/>
              <w:jc w:val="center"/>
              <w:rPr>
                <w:sz w:val="20"/>
              </w:rPr>
            </w:pPr>
            <w:r>
              <w:rPr>
                <w:sz w:val="20"/>
              </w:rPr>
              <w:t>(Unaudited)</w:t>
            </w:r>
          </w:p>
        </w:tc>
        <w:tc>
          <w:tcPr>
            <w:tcW w:w="60" w:type="dxa"/>
            <w:tcBorders/>
            <w:vAlign w:val="center"/>
          </w:tcPr>
          <w:p>
            <w:pPr>
              <w:pStyle w:val="TableContents"/>
              <w:bidi w:val="0"/>
              <w:spacing w:before="0" w:after="0"/>
              <w:jc w:val="right"/>
              <w:rPr/>
            </w:pPr>
            <w:r>
              <w:rPr/>
              <w:t> </w:t>
            </w:r>
          </w:p>
        </w:tc>
        <w:tc>
          <w:tcPr>
            <w:tcW w:w="2057" w:type="dxa"/>
            <w:gridSpan w:val="5"/>
            <w:tcBorders/>
            <w:vAlign w:val="center"/>
          </w:tcPr>
          <w:p>
            <w:pPr>
              <w:pStyle w:val="TableContents"/>
              <w:bidi w:val="0"/>
              <w:spacing w:before="0" w:after="0"/>
              <w:jc w:val="center"/>
              <w:rPr>
                <w:sz w:val="20"/>
              </w:rPr>
            </w:pPr>
            <w:r>
              <w:rPr>
                <w:sz w:val="20"/>
              </w:rPr>
              <w:t>(Unaudited)</w:t>
            </w:r>
          </w:p>
        </w:tc>
      </w:tr>
      <w:tr>
        <w:trPr/>
        <w:tc>
          <w:tcPr>
            <w:tcW w:w="4145" w:type="dxa"/>
            <w:tcBorders/>
            <w:shd w:fill="CCEEFF" w:val="clear"/>
            <w:vAlign w:val="center"/>
          </w:tcPr>
          <w:p>
            <w:pPr>
              <w:pStyle w:val="TableContents"/>
              <w:bidi w:val="0"/>
              <w:spacing w:before="0" w:after="0"/>
              <w:jc w:val="left"/>
              <w:rPr>
                <w:sz w:val="20"/>
              </w:rPr>
            </w:pPr>
            <w:r>
              <w:rPr>
                <w:sz w:val="20"/>
              </w:rPr>
              <w:t>Land and lot sales</w:t>
            </w:r>
          </w:p>
        </w:tc>
        <w:tc>
          <w:tcPr>
            <w:tcW w:w="60" w:type="dxa"/>
            <w:tcBorders/>
            <w:shd w:fill="CCEEFF" w:val="clear"/>
            <w:vAlign w:val="center"/>
          </w:tcPr>
          <w:p>
            <w:pPr>
              <w:pStyle w:val="TableContents"/>
              <w:bidi w:val="0"/>
              <w:spacing w:before="0" w:after="0"/>
              <w:jc w:val="right"/>
              <w:rPr/>
            </w:pPr>
            <w:r>
              <w:rPr/>
              <w:t> </w:t>
            </w:r>
          </w:p>
        </w:tc>
        <w:tc>
          <w:tcPr>
            <w:tcW w:w="197" w:type="dxa"/>
            <w:tcBorders/>
            <w:shd w:fill="CCEEFF" w:val="clear"/>
            <w:vAlign w:val="center"/>
          </w:tcPr>
          <w:p>
            <w:pPr>
              <w:pStyle w:val="TableContents"/>
              <w:bidi w:val="0"/>
              <w:spacing w:before="0" w:after="0"/>
              <w:jc w:val="left"/>
              <w:rPr>
                <w:sz w:val="20"/>
              </w:rPr>
            </w:pPr>
            <w:r>
              <w:rPr>
                <w:sz w:val="20"/>
              </w:rPr>
              <w:t>$</w:t>
            </w:r>
          </w:p>
        </w:tc>
        <w:tc>
          <w:tcPr>
            <w:tcW w:w="529" w:type="dxa"/>
            <w:tcBorders/>
            <w:shd w:fill="CCEEFF" w:val="clear"/>
            <w:vAlign w:val="center"/>
          </w:tcPr>
          <w:p>
            <w:pPr>
              <w:pStyle w:val="TableContents"/>
              <w:bidi w:val="0"/>
              <w:spacing w:before="0" w:after="0"/>
              <w:jc w:val="right"/>
              <w:rPr/>
            </w:pPr>
            <w:r>
              <w:rPr/>
              <w:t> </w:t>
            </w:r>
            <w:r>
              <w:rPr>
                <w:sz w:val="20"/>
              </w:rPr>
              <w:t xml:space="preserve">10 </w:t>
            </w:r>
          </w:p>
        </w:tc>
        <w:tc>
          <w:tcPr>
            <w:tcW w:w="94" w:type="dxa"/>
            <w:tcBorders/>
            <w:shd w:fill="CCEEFF" w:val="clear"/>
            <w:vAlign w:val="center"/>
          </w:tcPr>
          <w:p>
            <w:pPr>
              <w:pStyle w:val="TableContents"/>
              <w:bidi w:val="0"/>
              <w:spacing w:before="0" w:after="0"/>
              <w:jc w:val="right"/>
              <w:rPr/>
            </w:pPr>
            <w:r>
              <w:rPr/>
              <w:t> </w:t>
            </w:r>
          </w:p>
        </w:tc>
        <w:tc>
          <w:tcPr>
            <w:tcW w:w="197" w:type="dxa"/>
            <w:tcBorders/>
            <w:shd w:fill="CCEEFF" w:val="clear"/>
            <w:vAlign w:val="center"/>
          </w:tcPr>
          <w:p>
            <w:pPr>
              <w:pStyle w:val="TableContents"/>
              <w:bidi w:val="0"/>
              <w:spacing w:before="0" w:after="0"/>
              <w:jc w:val="left"/>
              <w:rPr>
                <w:sz w:val="20"/>
              </w:rPr>
            </w:pPr>
            <w:r>
              <w:rPr>
                <w:sz w:val="20"/>
              </w:rPr>
              <w:t>$</w:t>
            </w:r>
          </w:p>
        </w:tc>
        <w:tc>
          <w:tcPr>
            <w:tcW w:w="1026" w:type="dxa"/>
            <w:tcBorders/>
            <w:shd w:fill="CCEEFF" w:val="clear"/>
            <w:vAlign w:val="center"/>
          </w:tcPr>
          <w:p>
            <w:pPr>
              <w:pStyle w:val="TableContents"/>
              <w:bidi w:val="0"/>
              <w:spacing w:before="0" w:after="0"/>
              <w:jc w:val="right"/>
              <w:rPr/>
            </w:pPr>
            <w:r>
              <w:rPr/>
              <w:t xml:space="preserve">  </w:t>
            </w:r>
            <w:r>
              <w:rPr>
                <w:sz w:val="20"/>
              </w:rPr>
              <w:t xml:space="preserve">1,193 </w:t>
            </w:r>
          </w:p>
        </w:tc>
        <w:tc>
          <w:tcPr>
            <w:tcW w:w="60"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sz w:val="20"/>
              </w:rPr>
            </w:pPr>
            <w:r>
              <w:rPr>
                <w:sz w:val="20"/>
              </w:rPr>
              <w:t>$</w:t>
            </w:r>
          </w:p>
        </w:tc>
        <w:tc>
          <w:tcPr>
            <w:tcW w:w="899" w:type="dxa"/>
            <w:tcBorders/>
            <w:shd w:fill="CCEEFF" w:val="clear"/>
            <w:vAlign w:val="center"/>
          </w:tcPr>
          <w:p>
            <w:pPr>
              <w:pStyle w:val="TableContents"/>
              <w:bidi w:val="0"/>
              <w:spacing w:before="0" w:after="0"/>
              <w:jc w:val="right"/>
              <w:rPr/>
            </w:pPr>
            <w:r>
              <w:rPr/>
              <w:t xml:space="preserve">  </w:t>
            </w:r>
            <w:r>
              <w:rPr>
                <w:sz w:val="20"/>
              </w:rPr>
              <w:t xml:space="preserve">68,224 </w:t>
            </w:r>
          </w:p>
        </w:tc>
        <w:tc>
          <w:tcPr>
            <w:tcW w:w="71"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sz w:val="20"/>
              </w:rPr>
            </w:pPr>
            <w:r>
              <w:rPr>
                <w:sz w:val="20"/>
              </w:rPr>
              <w:t>$</w:t>
            </w:r>
          </w:p>
        </w:tc>
        <w:tc>
          <w:tcPr>
            <w:tcW w:w="791" w:type="dxa"/>
            <w:tcBorders/>
            <w:shd w:fill="CCEEFF" w:val="clear"/>
            <w:vAlign w:val="center"/>
          </w:tcPr>
          <w:p>
            <w:pPr>
              <w:pStyle w:val="TableContents"/>
              <w:bidi w:val="0"/>
              <w:spacing w:before="0" w:after="0"/>
              <w:jc w:val="right"/>
              <w:rPr>
                <w:sz w:val="20"/>
              </w:rPr>
            </w:pPr>
            <w:r>
              <w:rPr>
                <w:sz w:val="20"/>
              </w:rPr>
              <w:t xml:space="preserve">20,623 </w:t>
            </w:r>
          </w:p>
        </w:tc>
      </w:tr>
      <w:tr>
        <w:trPr/>
        <w:tc>
          <w:tcPr>
            <w:tcW w:w="4145" w:type="dxa"/>
            <w:tcBorders/>
            <w:shd w:fill="FFFFFF" w:val="clear"/>
            <w:vAlign w:val="center"/>
          </w:tcPr>
          <w:p>
            <w:pPr>
              <w:pStyle w:val="TableContents"/>
              <w:bidi w:val="0"/>
              <w:spacing w:before="0" w:after="0"/>
              <w:jc w:val="left"/>
              <w:rPr>
                <w:sz w:val="20"/>
              </w:rPr>
            </w:pPr>
            <w:r>
              <w:rPr>
                <w:sz w:val="20"/>
              </w:rPr>
              <w:t>Cost of sales, excluding interest</w:t>
            </w:r>
          </w:p>
        </w:tc>
        <w:tc>
          <w:tcPr>
            <w:tcW w:w="60" w:type="dxa"/>
            <w:tcBorders/>
            <w:shd w:fill="FFFFFF" w:val="clear"/>
            <w:vAlign w:val="center"/>
          </w:tcPr>
          <w:p>
            <w:pPr>
              <w:pStyle w:val="TableContents"/>
              <w:bidi w:val="0"/>
              <w:spacing w:before="0" w:after="0"/>
              <w:jc w:val="right"/>
              <w:rPr/>
            </w:pPr>
            <w:r>
              <w:rPr/>
              <w:t> </w:t>
            </w:r>
          </w:p>
        </w:tc>
        <w:tc>
          <w:tcPr>
            <w:tcW w:w="197"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529" w:type="dxa"/>
            <w:tcBorders/>
            <w:shd w:fill="FFFFFF" w:val="clear"/>
            <w:vAlign w:val="center"/>
          </w:tcPr>
          <w:p>
            <w:pPr>
              <w:pStyle w:val="TableContents"/>
              <w:bidi w:val="0"/>
              <w:spacing w:before="0" w:after="0"/>
              <w:jc w:val="right"/>
              <w:rPr>
                <w:sz w:val="20"/>
              </w:rPr>
            </w:pPr>
            <w:r>
              <w:rPr>
                <w:sz w:val="20"/>
              </w:rPr>
              <w:t xml:space="preserve">3 </w:t>
            </w:r>
          </w:p>
        </w:tc>
        <w:tc>
          <w:tcPr>
            <w:tcW w:w="94" w:type="dxa"/>
            <w:tcBorders/>
            <w:shd w:fill="FFFFFF" w:val="clear"/>
            <w:vAlign w:val="center"/>
          </w:tcPr>
          <w:p>
            <w:pPr>
              <w:pStyle w:val="TableContents"/>
              <w:bidi w:val="0"/>
              <w:spacing w:before="0" w:after="0"/>
              <w:jc w:val="right"/>
              <w:rPr/>
            </w:pPr>
            <w:r>
              <w:rPr/>
              <w:t> </w:t>
            </w:r>
          </w:p>
        </w:tc>
        <w:tc>
          <w:tcPr>
            <w:tcW w:w="197"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xml:space="preserve">  </w:t>
            </w:r>
            <w:r>
              <w:rPr>
                <w:sz w:val="20"/>
              </w:rPr>
              <w:t xml:space="preserve">241 </w:t>
            </w:r>
          </w:p>
        </w:tc>
        <w:tc>
          <w:tcPr>
            <w:tcW w:w="60" w:type="dxa"/>
            <w:tcBorders/>
            <w:shd w:fill="FFFFFF" w:val="clear"/>
            <w:vAlign w:val="center"/>
          </w:tcPr>
          <w:p>
            <w:pPr>
              <w:pStyle w:val="TableContents"/>
              <w:bidi w:val="0"/>
              <w:spacing w:before="0" w:after="0"/>
              <w:jc w:val="right"/>
              <w:rPr/>
            </w:pPr>
            <w:r>
              <w:rPr/>
              <w:t> </w:t>
            </w:r>
          </w:p>
        </w:tc>
        <w:tc>
          <w:tcPr>
            <w:tcW w:w="148"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899" w:type="dxa"/>
            <w:tcBorders/>
            <w:shd w:fill="FFFFFF" w:val="clear"/>
            <w:vAlign w:val="center"/>
          </w:tcPr>
          <w:p>
            <w:pPr>
              <w:pStyle w:val="TableContents"/>
              <w:bidi w:val="0"/>
              <w:spacing w:before="0" w:after="0"/>
              <w:jc w:val="right"/>
              <w:rPr/>
            </w:pPr>
            <w:r>
              <w:rPr/>
              <w:t xml:space="preserve">  </w:t>
            </w:r>
            <w:r>
              <w:rPr>
                <w:sz w:val="20"/>
              </w:rPr>
              <w:t xml:space="preserve">24,617 </w:t>
            </w:r>
          </w:p>
        </w:tc>
        <w:tc>
          <w:tcPr>
            <w:tcW w:w="71" w:type="dxa"/>
            <w:tcBorders/>
            <w:shd w:fill="FFFFFF" w:val="clear"/>
            <w:vAlign w:val="center"/>
          </w:tcPr>
          <w:p>
            <w:pPr>
              <w:pStyle w:val="TableContents"/>
              <w:bidi w:val="0"/>
              <w:spacing w:before="0" w:after="0"/>
              <w:jc w:val="right"/>
              <w:rPr/>
            </w:pPr>
            <w:r>
              <w:rPr/>
              <w:t> </w:t>
            </w:r>
          </w:p>
        </w:tc>
        <w:tc>
          <w:tcPr>
            <w:tcW w:w="148"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791" w:type="dxa"/>
            <w:tcBorders/>
            <w:shd w:fill="FFFFFF" w:val="clear"/>
            <w:vAlign w:val="center"/>
          </w:tcPr>
          <w:p>
            <w:pPr>
              <w:pStyle w:val="TableContents"/>
              <w:bidi w:val="0"/>
              <w:spacing w:before="0" w:after="0"/>
              <w:jc w:val="right"/>
              <w:rPr>
                <w:sz w:val="20"/>
              </w:rPr>
            </w:pPr>
            <w:r>
              <w:rPr>
                <w:sz w:val="20"/>
              </w:rPr>
              <w:t xml:space="preserve">10,475 </w:t>
            </w:r>
          </w:p>
        </w:tc>
      </w:tr>
      <w:tr>
        <w:trPr/>
        <w:tc>
          <w:tcPr>
            <w:tcW w:w="4145" w:type="dxa"/>
            <w:tcBorders/>
            <w:shd w:fill="CCEEFF" w:val="clear"/>
            <w:vAlign w:val="center"/>
          </w:tcPr>
          <w:p>
            <w:pPr>
              <w:pStyle w:val="TableContents"/>
              <w:bidi w:val="0"/>
              <w:spacing w:before="0" w:after="0"/>
              <w:jc w:val="left"/>
              <w:rPr>
                <w:sz w:val="20"/>
              </w:rPr>
            </w:pPr>
            <w:r>
              <w:rPr>
                <w:sz w:val="20"/>
              </w:rPr>
              <w:t>Land and lot sales gross margin, excluding interest</w:t>
            </w:r>
          </w:p>
        </w:tc>
        <w:tc>
          <w:tcPr>
            <w:tcW w:w="60" w:type="dxa"/>
            <w:tcBorders/>
            <w:shd w:fill="CCEEFF" w:val="clear"/>
            <w:vAlign w:val="center"/>
          </w:tcPr>
          <w:p>
            <w:pPr>
              <w:pStyle w:val="TableContents"/>
              <w:bidi w:val="0"/>
              <w:spacing w:before="0" w:after="0"/>
              <w:jc w:val="right"/>
              <w:rPr/>
            </w:pPr>
            <w:r>
              <w:rPr/>
              <w:t> </w:t>
            </w:r>
          </w:p>
        </w:tc>
        <w:tc>
          <w:tcPr>
            <w:tcW w:w="197" w:type="dxa"/>
            <w:tcBorders/>
            <w:shd w:fill="CCEEFF" w:val="clear"/>
            <w:vAlign w:val="center"/>
          </w:tcPr>
          <w:p>
            <w:pPr>
              <w:pStyle w:val="TableContents"/>
              <w:bidi w:val="0"/>
              <w:spacing w:before="0" w:after="0"/>
              <w:jc w:val="left"/>
              <w:rPr/>
            </w:pPr>
            <w:r>
              <w:rPr/>
              <w:t> </w:t>
            </w:r>
          </w:p>
        </w:tc>
        <w:tc>
          <w:tcPr>
            <w:tcW w:w="529"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7 </w:t>
            </w:r>
          </w:p>
        </w:tc>
        <w:tc>
          <w:tcPr>
            <w:tcW w:w="94" w:type="dxa"/>
            <w:tcBorders/>
            <w:shd w:fill="CCEEFF" w:val="clear"/>
            <w:vAlign w:val="center"/>
          </w:tcPr>
          <w:p>
            <w:pPr>
              <w:pStyle w:val="TableContents"/>
              <w:bidi w:val="0"/>
              <w:spacing w:before="0" w:after="0"/>
              <w:jc w:val="right"/>
              <w:rPr/>
            </w:pPr>
            <w:r>
              <w:rPr/>
              <w:t> </w:t>
            </w:r>
          </w:p>
        </w:tc>
        <w:tc>
          <w:tcPr>
            <w:tcW w:w="197" w:type="dxa"/>
            <w:tcBorders/>
            <w:shd w:fill="CCEEFF" w:val="clear"/>
            <w:vAlign w:val="center"/>
          </w:tcPr>
          <w:p>
            <w:pPr>
              <w:pStyle w:val="TableContents"/>
              <w:bidi w:val="0"/>
              <w:spacing w:before="0" w:after="0"/>
              <w:jc w:val="left"/>
              <w:rPr/>
            </w:pPr>
            <w:r>
              <w:rPr/>
              <w:t> </w:t>
            </w:r>
          </w:p>
        </w:tc>
        <w:tc>
          <w:tcPr>
            <w:tcW w:w="1026" w:type="dxa"/>
            <w:tcBorders>
              <w:top w:val="single" w:sz="6" w:space="0" w:color="000000"/>
            </w:tcBorders>
            <w:shd w:fill="CCEEFF" w:val="clear"/>
            <w:tcMar>
              <w:top w:w="28" w:type="dxa"/>
            </w:tcMar>
            <w:vAlign w:val="center"/>
          </w:tcPr>
          <w:p>
            <w:pPr>
              <w:pStyle w:val="TableContents"/>
              <w:bidi w:val="0"/>
              <w:spacing w:before="0" w:after="0"/>
              <w:jc w:val="right"/>
              <w:rPr/>
            </w:pPr>
            <w:r>
              <w:rPr/>
              <w:t xml:space="preserve">  </w:t>
            </w:r>
            <w:r>
              <w:rPr>
                <w:sz w:val="20"/>
              </w:rPr>
              <w:t xml:space="preserve">952 </w:t>
            </w:r>
          </w:p>
        </w:tc>
        <w:tc>
          <w:tcPr>
            <w:tcW w:w="60"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pPr>
            <w:r>
              <w:rPr/>
              <w:t> </w:t>
            </w:r>
          </w:p>
        </w:tc>
        <w:tc>
          <w:tcPr>
            <w:tcW w:w="899" w:type="dxa"/>
            <w:tcBorders>
              <w:top w:val="single" w:sz="6" w:space="0" w:color="000000"/>
            </w:tcBorders>
            <w:shd w:fill="CCEEFF" w:val="clear"/>
            <w:tcMar>
              <w:top w:w="28" w:type="dxa"/>
            </w:tcMar>
            <w:vAlign w:val="center"/>
          </w:tcPr>
          <w:p>
            <w:pPr>
              <w:pStyle w:val="TableContents"/>
              <w:bidi w:val="0"/>
              <w:spacing w:before="0" w:after="0"/>
              <w:jc w:val="right"/>
              <w:rPr/>
            </w:pPr>
            <w:r>
              <w:rPr/>
              <w:t xml:space="preserve">  </w:t>
            </w:r>
            <w:r>
              <w:rPr>
                <w:sz w:val="20"/>
              </w:rPr>
              <w:t xml:space="preserve">43,607 </w:t>
            </w:r>
          </w:p>
        </w:tc>
        <w:tc>
          <w:tcPr>
            <w:tcW w:w="71"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pPr>
            <w:r>
              <w:rPr/>
              <w:t> </w:t>
            </w:r>
          </w:p>
        </w:tc>
        <w:tc>
          <w:tcPr>
            <w:tcW w:w="791"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10,148 </w:t>
            </w:r>
          </w:p>
        </w:tc>
      </w:tr>
      <w:tr>
        <w:trPr/>
        <w:tc>
          <w:tcPr>
            <w:tcW w:w="4145" w:type="dxa"/>
            <w:tcBorders/>
            <w:shd w:fill="FFFFFF" w:val="clear"/>
            <w:vAlign w:val="center"/>
          </w:tcPr>
          <w:p>
            <w:pPr>
              <w:pStyle w:val="TableContents"/>
              <w:bidi w:val="0"/>
              <w:spacing w:before="0" w:after="0"/>
              <w:jc w:val="left"/>
              <w:rPr>
                <w:sz w:val="20"/>
              </w:rPr>
            </w:pPr>
            <w:r>
              <w:rPr>
                <w:sz w:val="20"/>
              </w:rPr>
              <w:t>Land and lot sales interest expense</w:t>
            </w:r>
          </w:p>
        </w:tc>
        <w:tc>
          <w:tcPr>
            <w:tcW w:w="60" w:type="dxa"/>
            <w:tcBorders/>
            <w:shd w:fill="FFFFFF" w:val="clear"/>
            <w:vAlign w:val="center"/>
          </w:tcPr>
          <w:p>
            <w:pPr>
              <w:pStyle w:val="TableContents"/>
              <w:bidi w:val="0"/>
              <w:spacing w:before="0" w:after="0"/>
              <w:jc w:val="right"/>
              <w:rPr/>
            </w:pPr>
            <w:r>
              <w:rPr/>
              <w:t> </w:t>
            </w:r>
          </w:p>
        </w:tc>
        <w:tc>
          <w:tcPr>
            <w:tcW w:w="197" w:type="dxa"/>
            <w:tcBorders/>
            <w:shd w:fill="FFFFFF" w:val="clear"/>
            <w:vAlign w:val="center"/>
          </w:tcPr>
          <w:p>
            <w:pPr>
              <w:pStyle w:val="TableContents"/>
              <w:bidi w:val="0"/>
              <w:spacing w:before="0" w:after="0"/>
              <w:jc w:val="left"/>
              <w:rPr/>
            </w:pPr>
            <w:r>
              <w:rPr/>
              <w:t> </w:t>
            </w:r>
          </w:p>
        </w:tc>
        <w:tc>
          <w:tcPr>
            <w:tcW w:w="529" w:type="dxa"/>
            <w:tcBorders/>
            <w:shd w:fill="FFFFFF" w:val="clear"/>
            <w:vAlign w:val="center"/>
          </w:tcPr>
          <w:p>
            <w:pPr>
              <w:pStyle w:val="TableContents"/>
              <w:bidi w:val="0"/>
              <w:spacing w:before="0" w:after="0"/>
              <w:jc w:val="right"/>
              <w:rPr>
                <w:sz w:val="20"/>
              </w:rPr>
            </w:pPr>
            <w:r>
              <w:rPr>
                <w:sz w:val="20"/>
              </w:rPr>
              <w:t xml:space="preserve">- </w:t>
            </w:r>
          </w:p>
        </w:tc>
        <w:tc>
          <w:tcPr>
            <w:tcW w:w="94" w:type="dxa"/>
            <w:tcBorders/>
            <w:shd w:fill="FFFFFF" w:val="clear"/>
            <w:vAlign w:val="center"/>
          </w:tcPr>
          <w:p>
            <w:pPr>
              <w:pStyle w:val="TableContents"/>
              <w:bidi w:val="0"/>
              <w:spacing w:before="0" w:after="0"/>
              <w:jc w:val="right"/>
              <w:rPr/>
            </w:pPr>
            <w:r>
              <w:rPr/>
              <w:t> </w:t>
            </w:r>
          </w:p>
        </w:tc>
        <w:tc>
          <w:tcPr>
            <w:tcW w:w="197"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48" w:type="dxa"/>
            <w:tcBorders/>
            <w:shd w:fill="FFFFFF" w:val="clear"/>
            <w:vAlign w:val="center"/>
          </w:tcPr>
          <w:p>
            <w:pPr>
              <w:pStyle w:val="TableContents"/>
              <w:bidi w:val="0"/>
              <w:spacing w:before="0" w:after="0"/>
              <w:jc w:val="left"/>
              <w:rPr/>
            </w:pPr>
            <w:r>
              <w:rPr/>
              <w:t> </w:t>
            </w:r>
          </w:p>
        </w:tc>
        <w:tc>
          <w:tcPr>
            <w:tcW w:w="899" w:type="dxa"/>
            <w:tcBorders/>
            <w:shd w:fill="FFFFFF" w:val="clear"/>
            <w:vAlign w:val="center"/>
          </w:tcPr>
          <w:p>
            <w:pPr>
              <w:pStyle w:val="TableContents"/>
              <w:bidi w:val="0"/>
              <w:spacing w:before="0" w:after="0"/>
              <w:jc w:val="right"/>
              <w:rPr/>
            </w:pPr>
            <w:r>
              <w:rPr/>
              <w:t> </w:t>
            </w:r>
            <w:r>
              <w:rPr>
                <w:sz w:val="20"/>
              </w:rPr>
              <w:t xml:space="preserve">118 </w:t>
            </w:r>
          </w:p>
        </w:tc>
        <w:tc>
          <w:tcPr>
            <w:tcW w:w="71" w:type="dxa"/>
            <w:tcBorders/>
            <w:shd w:fill="FFFFFF" w:val="clear"/>
            <w:vAlign w:val="center"/>
          </w:tcPr>
          <w:p>
            <w:pPr>
              <w:pStyle w:val="TableContents"/>
              <w:bidi w:val="0"/>
              <w:spacing w:before="0" w:after="0"/>
              <w:jc w:val="right"/>
              <w:rPr/>
            </w:pPr>
            <w:r>
              <w:rPr/>
              <w:t> </w:t>
            </w:r>
          </w:p>
        </w:tc>
        <w:tc>
          <w:tcPr>
            <w:tcW w:w="148" w:type="dxa"/>
            <w:tcBorders/>
            <w:shd w:fill="FFFFFF" w:val="clear"/>
            <w:vAlign w:val="center"/>
          </w:tcPr>
          <w:p>
            <w:pPr>
              <w:pStyle w:val="TableContents"/>
              <w:bidi w:val="0"/>
              <w:spacing w:before="0" w:after="0"/>
              <w:jc w:val="left"/>
              <w:rPr/>
            </w:pPr>
            <w:r>
              <w:rPr/>
              <w:t> </w:t>
            </w:r>
          </w:p>
        </w:tc>
        <w:tc>
          <w:tcPr>
            <w:tcW w:w="791" w:type="dxa"/>
            <w:tcBorders/>
            <w:shd w:fill="FFFFFF" w:val="clear"/>
            <w:vAlign w:val="center"/>
          </w:tcPr>
          <w:p>
            <w:pPr>
              <w:pStyle w:val="TableContents"/>
              <w:bidi w:val="0"/>
              <w:spacing w:before="0" w:after="0"/>
              <w:jc w:val="right"/>
              <w:rPr/>
            </w:pPr>
            <w:r>
              <w:rPr/>
              <w:t xml:space="preserve">  </w:t>
            </w:r>
            <w:r>
              <w:rPr>
                <w:sz w:val="20"/>
              </w:rPr>
              <w:t xml:space="preserve">618 </w:t>
            </w:r>
          </w:p>
        </w:tc>
      </w:tr>
      <w:tr>
        <w:trPr/>
        <w:tc>
          <w:tcPr>
            <w:tcW w:w="4145" w:type="dxa"/>
            <w:tcBorders/>
            <w:shd w:fill="CCEEFF" w:val="clear"/>
            <w:vAlign w:val="center"/>
          </w:tcPr>
          <w:p>
            <w:pPr>
              <w:pStyle w:val="TableContents"/>
              <w:bidi w:val="0"/>
              <w:spacing w:before="0" w:after="0"/>
              <w:jc w:val="left"/>
              <w:rPr>
                <w:sz w:val="20"/>
              </w:rPr>
            </w:pPr>
            <w:r>
              <w:rPr>
                <w:sz w:val="20"/>
              </w:rPr>
              <w:t>Land and lot sales gross margin, including interest</w:t>
            </w:r>
          </w:p>
        </w:tc>
        <w:tc>
          <w:tcPr>
            <w:tcW w:w="60" w:type="dxa"/>
            <w:tcBorders/>
            <w:shd w:fill="CCEEFF" w:val="clear"/>
            <w:vAlign w:val="center"/>
          </w:tcPr>
          <w:p>
            <w:pPr>
              <w:pStyle w:val="TableContents"/>
              <w:bidi w:val="0"/>
              <w:spacing w:before="0" w:after="0"/>
              <w:jc w:val="right"/>
              <w:rPr/>
            </w:pPr>
            <w:r>
              <w:rPr/>
              <w:t> </w:t>
            </w:r>
          </w:p>
        </w:tc>
        <w:tc>
          <w:tcPr>
            <w:tcW w:w="197"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52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7 </w:t>
            </w:r>
          </w:p>
        </w:tc>
        <w:tc>
          <w:tcPr>
            <w:tcW w:w="94" w:type="dxa"/>
            <w:tcBorders/>
            <w:shd w:fill="CCEEFF" w:val="clear"/>
            <w:vAlign w:val="center"/>
          </w:tcPr>
          <w:p>
            <w:pPr>
              <w:pStyle w:val="TableContents"/>
              <w:bidi w:val="0"/>
              <w:spacing w:before="0" w:after="0"/>
              <w:jc w:val="right"/>
              <w:rPr/>
            </w:pPr>
            <w:r>
              <w:rPr/>
              <w:t> </w:t>
            </w:r>
          </w:p>
        </w:tc>
        <w:tc>
          <w:tcPr>
            <w:tcW w:w="197"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26"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xml:space="preserve">  </w:t>
            </w:r>
            <w:r>
              <w:rPr>
                <w:sz w:val="20"/>
              </w:rPr>
              <w:t xml:space="preserve">952 </w:t>
            </w:r>
          </w:p>
        </w:tc>
        <w:tc>
          <w:tcPr>
            <w:tcW w:w="60" w:type="dxa"/>
            <w:tcBorders/>
            <w:shd w:fill="CCEEFF" w:val="clear"/>
            <w:vAlign w:val="center"/>
          </w:tcPr>
          <w:p>
            <w:pPr>
              <w:pStyle w:val="TableContents"/>
              <w:bidi w:val="0"/>
              <w:spacing w:before="0" w:after="0"/>
              <w:jc w:val="right"/>
              <w:rPr/>
            </w:pPr>
            <w:r>
              <w:rPr/>
              <w:t> </w:t>
            </w:r>
          </w:p>
        </w:tc>
        <w:tc>
          <w:tcPr>
            <w:tcW w:w="148"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9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xml:space="preserve">  </w:t>
            </w:r>
            <w:r>
              <w:rPr>
                <w:sz w:val="20"/>
              </w:rPr>
              <w:t xml:space="preserve">43,489 </w:t>
            </w:r>
          </w:p>
        </w:tc>
        <w:tc>
          <w:tcPr>
            <w:tcW w:w="71" w:type="dxa"/>
            <w:tcBorders/>
            <w:shd w:fill="CCEEFF" w:val="clear"/>
            <w:vAlign w:val="center"/>
          </w:tcPr>
          <w:p>
            <w:pPr>
              <w:pStyle w:val="TableContents"/>
              <w:bidi w:val="0"/>
              <w:spacing w:before="0" w:after="0"/>
              <w:jc w:val="right"/>
              <w:rPr/>
            </w:pPr>
            <w:r>
              <w:rPr/>
              <w:t> </w:t>
            </w:r>
          </w:p>
        </w:tc>
        <w:tc>
          <w:tcPr>
            <w:tcW w:w="148"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791"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xml:space="preserve">  </w:t>
            </w:r>
            <w:r>
              <w:rPr>
                <w:sz w:val="20"/>
              </w:rPr>
              <w:t xml:space="preserve">9,530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0"/>
              <w:jc w:val="both"/>
              <w:rPr>
                <w:sz w:val="20"/>
              </w:rPr>
            </w:pPr>
            <w:r>
              <w:rPr>
                <w:sz w:val="20"/>
              </w:rPr>
              <w:t>(1) Does not include cost associated with walking away from land options or inventory impairment losses which are recorded as Inventory impairment loss and land option write-offs in the Condensed Consolidated Statements of Operations.</w:t>
            </w:r>
          </w:p>
        </w:tc>
      </w:tr>
      <w:tr>
        <w:trPr/>
        <w:tc>
          <w:tcPr>
            <w:tcW w:w="10205" w:type="dxa"/>
            <w:tcBorders/>
            <w:vAlign w:val="center"/>
          </w:tcPr>
          <w:p>
            <w:pPr>
              <w:pStyle w:val="TableContents"/>
              <w:bidi w:val="0"/>
              <w:spacing w:before="0" w:after="0"/>
              <w:jc w:val="both"/>
              <w:rPr>
                <w:sz w:val="20"/>
              </w:rPr>
            </w:pPr>
            <w:r>
              <w:rPr>
                <w:sz w:val="20"/>
              </w:rPr>
              <w:t>(2) Homebuilding gross margin, before cost of sales interest expense and land charges, and homebuilding gross margin percentage, before cost of sales interest expense and land charges, are non-GAAP financial measures. The most directly comparable GAAP financial measures are homebuilding gross margin and homebuilding gross margin percentage, respectively.</w:t>
            </w:r>
          </w:p>
        </w:tc>
      </w:tr>
    </w:tbl>
    <w:p>
      <w:pPr>
        <w:pStyle w:val="TextBody"/>
        <w:bidi w:val="0"/>
        <w:spacing w:before="0" w:after="0"/>
        <w:jc w:val="left"/>
        <w:rPr/>
      </w:pPr>
      <w:r>
        <w:rPr/>
        <w:t> </w:t>
      </w:r>
    </w:p>
    <w:p>
      <w:pPr>
        <w:pStyle w:val="TextBody"/>
        <w:bidi w:val="0"/>
        <w:spacing w:before="0" w:after="0"/>
        <w:jc w:val="center"/>
        <w:rPr>
          <w:sz w:val="20"/>
        </w:rPr>
      </w:pPr>
      <w:r>
        <w:rPr>
          <w:sz w:val="20"/>
        </w:rPr>
        <w:t>7</w:t>
      </w:r>
    </w:p>
    <w:p>
      <w:pPr>
        <w:pStyle w:val="HorizontalLine"/>
        <w:pBdr>
          <w:bottom w:val="double" w:sz="2" w:space="0" w:color="808080"/>
        </w:pBdr>
        <w:bidi w:val="0"/>
        <w:jc w:val="center"/>
        <w:rPr/>
      </w:pPr>
      <w:r>
        <w:rPr/>
      </w:r>
    </w:p>
    <w:tbl>
      <w:tblPr>
        <w:tblW w:w="5178" w:type="dxa"/>
        <w:jc w:val="left"/>
        <w:tblInd w:w="0" w:type="dxa"/>
        <w:tblLayout w:type="fixed"/>
        <w:tblCellMar>
          <w:top w:w="0" w:type="dxa"/>
          <w:left w:w="0" w:type="dxa"/>
          <w:bottom w:w="0" w:type="dxa"/>
          <w:right w:w="0" w:type="dxa"/>
        </w:tblCellMar>
      </w:tblPr>
      <w:tblGrid>
        <w:gridCol w:w="4409"/>
        <w:gridCol w:w="107"/>
        <w:gridCol w:w="107"/>
        <w:gridCol w:w="60"/>
        <w:gridCol w:w="60"/>
        <w:gridCol w:w="60"/>
        <w:gridCol w:w="60"/>
        <w:gridCol w:w="60"/>
        <w:gridCol w:w="60"/>
        <w:gridCol w:w="60"/>
        <w:gridCol w:w="60"/>
        <w:gridCol w:w="75"/>
      </w:tblGrid>
      <w:tr>
        <w:trPr/>
        <w:tc>
          <w:tcPr>
            <w:tcW w:w="4409" w:type="dxa"/>
            <w:tcBorders/>
            <w:vAlign w:val="center"/>
          </w:tcPr>
          <w:p>
            <w:pPr>
              <w:pStyle w:val="TableContents"/>
              <w:bidi w:val="0"/>
              <w:spacing w:before="0" w:after="0"/>
              <w:jc w:val="left"/>
              <w:rPr>
                <w:b/>
                <w:sz w:val="20"/>
              </w:rPr>
            </w:pPr>
            <w:r>
              <w:rPr>
                <w:b/>
                <w:sz w:val="20"/>
              </w:rPr>
              <w:t xml:space="preserve">Hovnanian Enterprises, Inc. </w:t>
            </w:r>
          </w:p>
        </w:tc>
        <w:tc>
          <w:tcPr>
            <w:tcW w:w="107" w:type="dxa"/>
            <w:tcBorders/>
            <w:vAlign w:val="center"/>
          </w:tcPr>
          <w:p>
            <w:pPr>
              <w:pStyle w:val="TableContents"/>
              <w:bidi w:val="0"/>
              <w:spacing w:before="0" w:after="0"/>
              <w:jc w:val="center"/>
              <w:rPr/>
            </w:pPr>
            <w:r>
              <w:rPr/>
              <w:t> </w:t>
            </w:r>
          </w:p>
        </w:tc>
        <w:tc>
          <w:tcPr>
            <w:tcW w:w="107"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4409" w:type="dxa"/>
            <w:tcBorders/>
            <w:vAlign w:val="center"/>
          </w:tcPr>
          <w:p>
            <w:pPr>
              <w:pStyle w:val="TableContents"/>
              <w:bidi w:val="0"/>
              <w:spacing w:before="0" w:after="0"/>
              <w:jc w:val="left"/>
              <w:rPr>
                <w:b/>
                <w:sz w:val="20"/>
              </w:rPr>
            </w:pPr>
            <w:r>
              <w:rPr>
                <w:b/>
                <w:sz w:val="20"/>
              </w:rPr>
              <w:t xml:space="preserve">July 31, 2026 </w:t>
            </w:r>
          </w:p>
        </w:tc>
        <w:tc>
          <w:tcPr>
            <w:tcW w:w="107" w:type="dxa"/>
            <w:tcBorders/>
            <w:vAlign w:val="center"/>
          </w:tcPr>
          <w:p>
            <w:pPr>
              <w:pStyle w:val="TableContents"/>
              <w:bidi w:val="0"/>
              <w:spacing w:before="0" w:after="0"/>
              <w:jc w:val="center"/>
              <w:rPr/>
            </w:pPr>
            <w:r>
              <w:rPr/>
              <w:t> </w:t>
            </w:r>
          </w:p>
        </w:tc>
        <w:tc>
          <w:tcPr>
            <w:tcW w:w="107"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4623" w:type="dxa"/>
            <w:gridSpan w:val="3"/>
            <w:tcBorders/>
            <w:vAlign w:val="center"/>
          </w:tcPr>
          <w:p>
            <w:pPr>
              <w:pStyle w:val="TableContents"/>
              <w:bidi w:val="0"/>
              <w:spacing w:before="0" w:after="0"/>
              <w:jc w:val="left"/>
              <w:rPr>
                <w:sz w:val="20"/>
              </w:rPr>
            </w:pPr>
            <w:r>
              <w:rPr>
                <w:sz w:val="20"/>
              </w:rPr>
              <w:t xml:space="preserve">Reconciliation of adjusted EBITDA to net (loss) income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r>
        <w:trPr/>
        <w:tc>
          <w:tcPr>
            <w:tcW w:w="4409" w:type="dxa"/>
            <w:tcBorders/>
            <w:vAlign w:val="center"/>
          </w:tcPr>
          <w:p>
            <w:pPr>
              <w:pStyle w:val="TableContents"/>
              <w:bidi w:val="0"/>
              <w:spacing w:before="0" w:after="0"/>
              <w:jc w:val="left"/>
              <w:rPr>
                <w:sz w:val="20"/>
              </w:rPr>
            </w:pPr>
            <w:r>
              <w:rPr>
                <w:sz w:val="20"/>
              </w:rPr>
              <w:t xml:space="preserve">(In thousands) </w:t>
            </w:r>
          </w:p>
        </w:tc>
        <w:tc>
          <w:tcPr>
            <w:tcW w:w="107" w:type="dxa"/>
            <w:tcBorders/>
            <w:vAlign w:val="center"/>
          </w:tcPr>
          <w:p>
            <w:pPr>
              <w:pStyle w:val="TableContents"/>
              <w:bidi w:val="0"/>
              <w:spacing w:before="0" w:after="0"/>
              <w:jc w:val="center"/>
              <w:rPr/>
            </w:pPr>
            <w:r>
              <w:rPr/>
              <w:t> </w:t>
            </w:r>
          </w:p>
        </w:tc>
        <w:tc>
          <w:tcPr>
            <w:tcW w:w="107"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right"/>
              <w:rPr/>
            </w:pPr>
            <w:r>
              <w:rPr/>
              <w:t> </w:t>
            </w:r>
          </w:p>
        </w:tc>
      </w:tr>
    </w:tbl>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4070"/>
        <w:gridCol w:w="170"/>
        <w:gridCol w:w="680"/>
        <w:gridCol w:w="60"/>
        <w:gridCol w:w="170"/>
        <w:gridCol w:w="680"/>
        <w:gridCol w:w="60"/>
        <w:gridCol w:w="170"/>
        <w:gridCol w:w="800"/>
        <w:gridCol w:w="60"/>
        <w:gridCol w:w="170"/>
        <w:gridCol w:w="800"/>
      </w:tblGrid>
      <w:tr>
        <w:trPr/>
        <w:tc>
          <w:tcPr>
            <w:tcW w:w="4070" w:type="dxa"/>
            <w:tcBorders/>
            <w:vAlign w:val="center"/>
          </w:tcPr>
          <w:p>
            <w:pPr>
              <w:pStyle w:val="TableContents"/>
              <w:bidi w:val="0"/>
              <w:spacing w:before="0" w:after="0"/>
              <w:jc w:val="right"/>
              <w:rPr/>
            </w:pPr>
            <w:r>
              <w:rPr/>
              <w:t> </w:t>
            </w:r>
          </w:p>
        </w:tc>
        <w:tc>
          <w:tcPr>
            <w:tcW w:w="1760" w:type="dxa"/>
            <w:gridSpan w:val="5"/>
            <w:tcBorders/>
            <w:vAlign w:val="center"/>
          </w:tcPr>
          <w:p>
            <w:pPr>
              <w:pStyle w:val="TableContents"/>
              <w:bidi w:val="0"/>
              <w:spacing w:before="0" w:after="0"/>
              <w:jc w:val="center"/>
              <w:rPr>
                <w:sz w:val="20"/>
              </w:rPr>
            </w:pPr>
            <w:r>
              <w:rPr>
                <w:sz w:val="20"/>
              </w:rPr>
              <w:t>Three Months Ended</w:t>
            </w:r>
          </w:p>
        </w:tc>
        <w:tc>
          <w:tcPr>
            <w:tcW w:w="60" w:type="dxa"/>
            <w:tcBorders/>
            <w:vAlign w:val="center"/>
          </w:tcPr>
          <w:p>
            <w:pPr>
              <w:pStyle w:val="TableContents"/>
              <w:bidi w:val="0"/>
              <w:spacing w:before="0" w:after="0"/>
              <w:jc w:val="right"/>
              <w:rPr/>
            </w:pPr>
            <w:r>
              <w:rPr/>
              <w:t> </w:t>
            </w:r>
          </w:p>
        </w:tc>
        <w:tc>
          <w:tcPr>
            <w:tcW w:w="2000" w:type="dxa"/>
            <w:gridSpan w:val="5"/>
            <w:tcBorders/>
            <w:vAlign w:val="center"/>
          </w:tcPr>
          <w:p>
            <w:pPr>
              <w:pStyle w:val="TableContents"/>
              <w:bidi w:val="0"/>
              <w:spacing w:before="0" w:after="0"/>
              <w:jc w:val="center"/>
              <w:rPr>
                <w:sz w:val="20"/>
              </w:rPr>
            </w:pPr>
            <w:r>
              <w:rPr>
                <w:sz w:val="20"/>
              </w:rPr>
              <w:t>Nine Months Ended</w:t>
            </w:r>
          </w:p>
        </w:tc>
      </w:tr>
      <w:tr>
        <w:trPr/>
        <w:tc>
          <w:tcPr>
            <w:tcW w:w="4070" w:type="dxa"/>
            <w:tcBorders/>
            <w:vAlign w:val="center"/>
          </w:tcPr>
          <w:p>
            <w:pPr>
              <w:pStyle w:val="TableContents"/>
              <w:bidi w:val="0"/>
              <w:spacing w:before="0" w:after="0"/>
              <w:jc w:val="right"/>
              <w:rPr/>
            </w:pPr>
            <w:r>
              <w:rPr/>
              <w:t> </w:t>
            </w:r>
          </w:p>
        </w:tc>
        <w:tc>
          <w:tcPr>
            <w:tcW w:w="1760"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c>
          <w:tcPr>
            <w:tcW w:w="60" w:type="dxa"/>
            <w:tcBorders/>
            <w:vAlign w:val="center"/>
          </w:tcPr>
          <w:p>
            <w:pPr>
              <w:pStyle w:val="TableContents"/>
              <w:bidi w:val="0"/>
              <w:spacing w:before="0" w:after="0"/>
              <w:jc w:val="right"/>
              <w:rPr/>
            </w:pPr>
            <w:r>
              <w:rPr/>
              <w:t> </w:t>
            </w:r>
          </w:p>
        </w:tc>
        <w:tc>
          <w:tcPr>
            <w:tcW w:w="2000" w:type="dxa"/>
            <w:gridSpan w:val="5"/>
            <w:tcBorders>
              <w:bottom w:val="single" w:sz="6" w:space="0" w:color="000000"/>
            </w:tcBorders>
            <w:tcMar>
              <w:bottom w:w="28" w:type="dxa"/>
            </w:tcMar>
            <w:vAlign w:val="center"/>
          </w:tcPr>
          <w:p>
            <w:pPr>
              <w:pStyle w:val="TableContents"/>
              <w:bidi w:val="0"/>
              <w:spacing w:before="0" w:after="0"/>
              <w:jc w:val="center"/>
              <w:rPr>
                <w:sz w:val="20"/>
              </w:rPr>
            </w:pPr>
            <w:r>
              <w:rPr>
                <w:sz w:val="20"/>
              </w:rPr>
              <w:t>July 31,</w:t>
            </w:r>
          </w:p>
        </w:tc>
      </w:tr>
      <w:tr>
        <w:trPr/>
        <w:tc>
          <w:tcPr>
            <w:tcW w:w="4070" w:type="dxa"/>
            <w:tcBorders/>
            <w:vAlign w:val="center"/>
          </w:tcPr>
          <w:p>
            <w:pPr>
              <w:pStyle w:val="TableContents"/>
              <w:bidi w:val="0"/>
              <w:spacing w:before="0" w:after="0"/>
              <w:jc w:val="right"/>
              <w:rPr/>
            </w:pPr>
            <w:r>
              <w:rPr/>
              <w:t> </w:t>
            </w:r>
          </w:p>
        </w:tc>
        <w:tc>
          <w:tcPr>
            <w:tcW w:w="85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60" w:type="dxa"/>
            <w:tcBorders/>
            <w:vAlign w:val="center"/>
          </w:tcPr>
          <w:p>
            <w:pPr>
              <w:pStyle w:val="TableContents"/>
              <w:bidi w:val="0"/>
              <w:spacing w:before="0" w:after="0"/>
              <w:jc w:val="center"/>
              <w:rPr/>
            </w:pPr>
            <w:r>
              <w:rPr/>
              <w:t> </w:t>
            </w:r>
          </w:p>
        </w:tc>
        <w:tc>
          <w:tcPr>
            <w:tcW w:w="85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c>
          <w:tcPr>
            <w:tcW w:w="60" w:type="dxa"/>
            <w:tcBorders/>
            <w:vAlign w:val="center"/>
          </w:tcPr>
          <w:p>
            <w:pPr>
              <w:pStyle w:val="TableContents"/>
              <w:bidi w:val="0"/>
              <w:spacing w:before="0" w:after="0"/>
              <w:jc w:val="right"/>
              <w:rPr/>
            </w:pPr>
            <w:r>
              <w:rPr/>
              <w:t> </w:t>
            </w:r>
          </w:p>
        </w:tc>
        <w:tc>
          <w:tcPr>
            <w:tcW w:w="97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2026</w:t>
            </w:r>
          </w:p>
        </w:tc>
        <w:tc>
          <w:tcPr>
            <w:tcW w:w="60" w:type="dxa"/>
            <w:tcBorders/>
            <w:vAlign w:val="center"/>
          </w:tcPr>
          <w:p>
            <w:pPr>
              <w:pStyle w:val="TableContents"/>
              <w:bidi w:val="0"/>
              <w:spacing w:before="0" w:after="0"/>
              <w:jc w:val="center"/>
              <w:rPr/>
            </w:pPr>
            <w:r>
              <w:rPr/>
              <w:t> </w:t>
            </w:r>
          </w:p>
        </w:tc>
        <w:tc>
          <w:tcPr>
            <w:tcW w:w="97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2025</w:t>
            </w:r>
          </w:p>
        </w:tc>
      </w:tr>
      <w:tr>
        <w:trPr/>
        <w:tc>
          <w:tcPr>
            <w:tcW w:w="4070" w:type="dxa"/>
            <w:tcBorders/>
            <w:vAlign w:val="center"/>
          </w:tcPr>
          <w:p>
            <w:pPr>
              <w:pStyle w:val="TableContents"/>
              <w:bidi w:val="0"/>
              <w:spacing w:before="0" w:after="0"/>
              <w:jc w:val="right"/>
              <w:rPr/>
            </w:pPr>
            <w:r>
              <w:rPr/>
              <w:t> </w:t>
            </w:r>
          </w:p>
        </w:tc>
        <w:tc>
          <w:tcPr>
            <w:tcW w:w="1760" w:type="dxa"/>
            <w:gridSpan w:val="5"/>
            <w:tcBorders/>
            <w:vAlign w:val="center"/>
          </w:tcPr>
          <w:p>
            <w:pPr>
              <w:pStyle w:val="TableContents"/>
              <w:bidi w:val="0"/>
              <w:spacing w:before="0" w:after="0"/>
              <w:jc w:val="center"/>
              <w:rPr>
                <w:sz w:val="20"/>
              </w:rPr>
            </w:pPr>
            <w:r>
              <w:rPr>
                <w:sz w:val="20"/>
              </w:rPr>
              <w:t>(Unaudited)</w:t>
            </w:r>
          </w:p>
        </w:tc>
        <w:tc>
          <w:tcPr>
            <w:tcW w:w="60" w:type="dxa"/>
            <w:tcBorders/>
            <w:vAlign w:val="center"/>
          </w:tcPr>
          <w:p>
            <w:pPr>
              <w:pStyle w:val="TableContents"/>
              <w:bidi w:val="0"/>
              <w:spacing w:before="0" w:after="0"/>
              <w:jc w:val="center"/>
              <w:rPr/>
            </w:pPr>
            <w:r>
              <w:rPr/>
              <w:t> </w:t>
            </w:r>
          </w:p>
        </w:tc>
        <w:tc>
          <w:tcPr>
            <w:tcW w:w="2000" w:type="dxa"/>
            <w:gridSpan w:val="5"/>
            <w:tcBorders/>
            <w:vAlign w:val="center"/>
          </w:tcPr>
          <w:p>
            <w:pPr>
              <w:pStyle w:val="TableContents"/>
              <w:bidi w:val="0"/>
              <w:spacing w:before="0" w:after="0"/>
              <w:jc w:val="center"/>
              <w:rPr>
                <w:sz w:val="20"/>
              </w:rPr>
            </w:pPr>
            <w:r>
              <w:rPr>
                <w:sz w:val="20"/>
              </w:rPr>
              <w:t>(Unaudited)</w:t>
            </w:r>
          </w:p>
        </w:tc>
      </w:tr>
      <w:tr>
        <w:trPr/>
        <w:tc>
          <w:tcPr>
            <w:tcW w:w="4070" w:type="dxa"/>
            <w:tcBorders/>
            <w:shd w:fill="CCEEFF" w:val="clear"/>
            <w:vAlign w:val="center"/>
          </w:tcPr>
          <w:p>
            <w:pPr>
              <w:pStyle w:val="TableContents"/>
              <w:bidi w:val="0"/>
              <w:spacing w:before="0" w:after="0"/>
              <w:jc w:val="left"/>
              <w:rPr>
                <w:sz w:val="20"/>
              </w:rPr>
            </w:pPr>
            <w:r>
              <w:rPr>
                <w:sz w:val="20"/>
              </w:rPr>
              <w:t xml:space="preserve">Net (loss) income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680" w:type="dxa"/>
            <w:tcBorders/>
            <w:shd w:fill="CCEEFF" w:val="clear"/>
            <w:vAlign w:val="center"/>
          </w:tcPr>
          <w:p>
            <w:pPr>
              <w:pStyle w:val="TableContents"/>
              <w:bidi w:val="0"/>
              <w:spacing w:before="0" w:after="0"/>
              <w:jc w:val="right"/>
              <w:rPr>
                <w:sz w:val="20"/>
              </w:rPr>
            </w:pPr>
            <w:r>
              <w:rPr>
                <w:sz w:val="20"/>
              </w:rPr>
              <w:t>(2,215)</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680" w:type="dxa"/>
            <w:tcBorders/>
            <w:shd w:fill="CCEEFF" w:val="clear"/>
            <w:vAlign w:val="center"/>
          </w:tcPr>
          <w:p>
            <w:pPr>
              <w:pStyle w:val="TableContents"/>
              <w:bidi w:val="0"/>
              <w:spacing w:before="0" w:after="0"/>
              <w:jc w:val="right"/>
              <w:rPr>
                <w:sz w:val="20"/>
              </w:rPr>
            </w:pPr>
            <w:r>
              <w:rPr>
                <w:sz w:val="20"/>
              </w:rPr>
              <w:t xml:space="preserve">16,615 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800" w:type="dxa"/>
            <w:tcBorders/>
            <w:shd w:fill="CCEEFF" w:val="clear"/>
            <w:vAlign w:val="center"/>
          </w:tcPr>
          <w:p>
            <w:pPr>
              <w:pStyle w:val="TableContents"/>
              <w:bidi w:val="0"/>
              <w:spacing w:before="0" w:after="0"/>
              <w:jc w:val="right"/>
              <w:rPr>
                <w:sz w:val="20"/>
              </w:rPr>
            </w:pPr>
            <w:r>
              <w:rPr>
                <w:sz w:val="20"/>
              </w:rPr>
              <w:t xml:space="preserve">18,049 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 xml:space="preserve">$ </w:t>
            </w:r>
          </w:p>
        </w:tc>
        <w:tc>
          <w:tcPr>
            <w:tcW w:w="800" w:type="dxa"/>
            <w:tcBorders/>
            <w:shd w:fill="CCEEFF" w:val="clear"/>
            <w:vAlign w:val="center"/>
          </w:tcPr>
          <w:p>
            <w:pPr>
              <w:pStyle w:val="TableContents"/>
              <w:bidi w:val="0"/>
              <w:spacing w:before="0" w:after="0"/>
              <w:jc w:val="right"/>
              <w:rPr>
                <w:sz w:val="20"/>
              </w:rPr>
            </w:pPr>
            <w:r>
              <w:rPr>
                <w:sz w:val="20"/>
              </w:rPr>
              <w:t xml:space="preserve">64,532  </w:t>
            </w:r>
          </w:p>
        </w:tc>
      </w:tr>
      <w:tr>
        <w:trPr/>
        <w:tc>
          <w:tcPr>
            <w:tcW w:w="4070" w:type="dxa"/>
            <w:tcBorders/>
            <w:shd w:fill="FFFFFF" w:val="clear"/>
            <w:vAlign w:val="center"/>
          </w:tcPr>
          <w:p>
            <w:pPr>
              <w:pStyle w:val="TableContents"/>
              <w:bidi w:val="0"/>
              <w:spacing w:before="0" w:after="0"/>
              <w:jc w:val="left"/>
              <w:rPr>
                <w:sz w:val="20"/>
              </w:rPr>
            </w:pPr>
            <w:r>
              <w:rPr>
                <w:sz w:val="20"/>
              </w:rPr>
              <w:t xml:space="preserve">(Benefit) provision for income taxes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(560)</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 xml:space="preserve">7,187 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8,217 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25,663  </w:t>
            </w:r>
          </w:p>
        </w:tc>
      </w:tr>
      <w:tr>
        <w:trPr/>
        <w:tc>
          <w:tcPr>
            <w:tcW w:w="4070" w:type="dxa"/>
            <w:tcBorders/>
            <w:shd w:fill="CCEEFF" w:val="clear"/>
            <w:vAlign w:val="center"/>
          </w:tcPr>
          <w:p>
            <w:pPr>
              <w:pStyle w:val="TableContents"/>
              <w:bidi w:val="0"/>
              <w:spacing w:before="0" w:after="0"/>
              <w:jc w:val="left"/>
              <w:rPr>
                <w:sz w:val="20"/>
              </w:rPr>
            </w:pPr>
            <w:r>
              <w:rPr>
                <w:sz w:val="20"/>
              </w:rPr>
              <w:t xml:space="preserve">Interest expense </w:t>
            </w:r>
          </w:p>
        </w:tc>
        <w:tc>
          <w:tcPr>
            <w:tcW w:w="170" w:type="dxa"/>
            <w:tcBorders/>
            <w:shd w:fill="CCEEFF" w:val="clear"/>
            <w:vAlign w:val="center"/>
          </w:tcPr>
          <w:p>
            <w:pPr>
              <w:pStyle w:val="TableContents"/>
              <w:bidi w:val="0"/>
              <w:spacing w:before="0" w:after="0"/>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30,475 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34,017 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87,680 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91,973  </w:t>
            </w:r>
          </w:p>
        </w:tc>
      </w:tr>
      <w:tr>
        <w:trPr/>
        <w:tc>
          <w:tcPr>
            <w:tcW w:w="4070" w:type="dxa"/>
            <w:tcBorders/>
            <w:shd w:fill="FFFFFF" w:val="clear"/>
            <w:vAlign w:val="center"/>
          </w:tcPr>
          <w:p>
            <w:pPr>
              <w:pStyle w:val="TableContents"/>
              <w:bidi w:val="0"/>
              <w:spacing w:before="0" w:after="0"/>
              <w:jc w:val="left"/>
              <w:rPr>
                <w:sz w:val="20"/>
              </w:rPr>
            </w:pPr>
            <w:r>
              <w:rPr>
                <w:sz w:val="20"/>
              </w:rPr>
              <w:t>EBIT (1)</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27,700 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 xml:space="preserve">57,819 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113,946 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182,168  </w:t>
            </w:r>
          </w:p>
        </w:tc>
      </w:tr>
      <w:tr>
        <w:trPr/>
        <w:tc>
          <w:tcPr>
            <w:tcW w:w="4070" w:type="dxa"/>
            <w:tcBorders/>
            <w:shd w:fill="CCEEFF" w:val="clear"/>
            <w:vAlign w:val="center"/>
          </w:tcPr>
          <w:p>
            <w:pPr>
              <w:pStyle w:val="TableContents"/>
              <w:bidi w:val="0"/>
              <w:spacing w:before="0" w:after="0"/>
              <w:jc w:val="left"/>
              <w:rPr>
                <w:sz w:val="20"/>
              </w:rPr>
            </w:pPr>
            <w:r>
              <w:rPr>
                <w:sz w:val="20"/>
              </w:rPr>
              <w:t xml:space="preserve">Depreciation and amortization </w:t>
            </w:r>
          </w:p>
        </w:tc>
        <w:tc>
          <w:tcPr>
            <w:tcW w:w="170" w:type="dxa"/>
            <w:tcBorders/>
            <w:shd w:fill="CCEEFF" w:val="clear"/>
            <w:vAlign w:val="center"/>
          </w:tcPr>
          <w:p>
            <w:pPr>
              <w:pStyle w:val="TableContents"/>
              <w:bidi w:val="0"/>
              <w:spacing w:before="0" w:after="0"/>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3,723 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3,192 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10,536 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0"/>
              <w:jc w:val="right"/>
              <w:rPr>
                <w:sz w:val="20"/>
              </w:rPr>
            </w:pPr>
            <w:r>
              <w:rPr>
                <w:sz w:val="20"/>
              </w:rPr>
              <w:t xml:space="preserve">8,513  </w:t>
            </w:r>
          </w:p>
        </w:tc>
      </w:tr>
      <w:tr>
        <w:trPr/>
        <w:tc>
          <w:tcPr>
            <w:tcW w:w="4070" w:type="dxa"/>
            <w:tcBorders/>
            <w:shd w:fill="FFFFFF" w:val="clear"/>
            <w:vAlign w:val="center"/>
          </w:tcPr>
          <w:p>
            <w:pPr>
              <w:pStyle w:val="TableContents"/>
              <w:bidi w:val="0"/>
              <w:spacing w:before="0" w:after="0"/>
              <w:jc w:val="left"/>
              <w:rPr>
                <w:sz w:val="20"/>
              </w:rPr>
            </w:pPr>
            <w:r>
              <w:rPr>
                <w:sz w:val="20"/>
              </w:rPr>
              <w:t>EBITDA (2)</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31,423 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sz w:val="20"/>
              </w:rPr>
            </w:pPr>
            <w:r>
              <w:rPr>
                <w:sz w:val="20"/>
              </w:rPr>
              <w:t xml:space="preserve">61,011 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124,482  </w:t>
            </w:r>
          </w:p>
        </w:tc>
        <w:tc>
          <w:tcPr>
            <w:tcW w:w="60" w:type="dxa"/>
            <w:tcBorders/>
            <w:shd w:fill="FFFFFF" w:val="clear"/>
            <w:vAlign w:val="center"/>
          </w:tcPr>
          <w:p>
            <w:pPr>
              <w:pStyle w:val="TableContents"/>
              <w:bidi w:val="0"/>
              <w:spacing w:before="0" w:after="0"/>
              <w:jc w:val="right"/>
              <w:rPr/>
            </w:pPr>
            <w:r>
              <w:rPr/>
              <w:t> </w:t>
            </w:r>
          </w:p>
        </w:tc>
        <w:tc>
          <w:tcPr>
            <w:tcW w:w="17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 xml:space="preserve">190,681  </w:t>
            </w:r>
          </w:p>
        </w:tc>
      </w:tr>
      <w:tr>
        <w:trPr/>
        <w:tc>
          <w:tcPr>
            <w:tcW w:w="4070" w:type="dxa"/>
            <w:tcBorders/>
            <w:shd w:fill="CCEEFF" w:val="clear"/>
            <w:vAlign w:val="center"/>
          </w:tcPr>
          <w:p>
            <w:pPr>
              <w:pStyle w:val="TableContents"/>
              <w:bidi w:val="0"/>
              <w:spacing w:before="0" w:after="0"/>
              <w:jc w:val="left"/>
              <w:rPr>
                <w:sz w:val="20"/>
              </w:rPr>
            </w:pPr>
            <w:r>
              <w:rPr>
                <w:sz w:val="20"/>
              </w:rPr>
              <w:t xml:space="preserve">Inventory impairments and land option write-offs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sz w:val="20"/>
              </w:rPr>
            </w:pPr>
            <w:r>
              <w:rPr>
                <w:sz w:val="20"/>
              </w:rPr>
              <w:t>493 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sz w:val="20"/>
              </w:rPr>
            </w:pPr>
            <w:r>
              <w:rPr>
                <w:sz w:val="20"/>
              </w:rPr>
              <w:t xml:space="preserve">16,045 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sz w:val="20"/>
              </w:rPr>
            </w:pPr>
            <w:r>
              <w:rPr>
                <w:sz w:val="20"/>
              </w:rPr>
              <w:t xml:space="preserve">11,602 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sz w:val="20"/>
              </w:rPr>
            </w:pPr>
            <w:r>
              <w:rPr>
                <w:sz w:val="20"/>
              </w:rPr>
              <w:t xml:space="preserve">20,141  </w:t>
            </w:r>
          </w:p>
        </w:tc>
      </w:tr>
      <w:tr>
        <w:trPr/>
        <w:tc>
          <w:tcPr>
            <w:tcW w:w="4070" w:type="dxa"/>
            <w:tcBorders/>
            <w:shd w:fill="FFFFFF" w:val="clear"/>
            <w:vAlign w:val="center"/>
          </w:tcPr>
          <w:p>
            <w:pPr>
              <w:pStyle w:val="TableContents"/>
              <w:bidi w:val="0"/>
              <w:spacing w:before="0" w:after="0"/>
              <w:jc w:val="left"/>
              <w:rPr>
                <w:sz w:val="20"/>
              </w:rPr>
            </w:pPr>
            <w:r>
              <w:rPr>
                <w:sz w:val="20"/>
              </w:rPr>
              <w:t xml:space="preserve">Gain on extinguishment of debt, net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xml:space="preserve">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sz w:val="20"/>
              </w:rPr>
            </w:pPr>
            <w:r>
              <w:rPr>
                <w:sz w:val="20"/>
              </w:rPr>
              <w:t>(399)</w:t>
            </w:r>
          </w:p>
        </w:tc>
      </w:tr>
      <w:tr>
        <w:trPr/>
        <w:tc>
          <w:tcPr>
            <w:tcW w:w="4070" w:type="dxa"/>
            <w:tcBorders/>
            <w:shd w:fill="CCEEFF" w:val="clear"/>
            <w:vAlign w:val="center"/>
          </w:tcPr>
          <w:p>
            <w:pPr>
              <w:pStyle w:val="TableContents"/>
              <w:bidi w:val="0"/>
              <w:spacing w:before="0" w:after="0"/>
              <w:jc w:val="left"/>
              <w:rPr>
                <w:sz w:val="20"/>
              </w:rPr>
            </w:pPr>
            <w:r>
              <w:rPr>
                <w:sz w:val="20"/>
              </w:rPr>
              <w:t>Adjusted EBITDA (3)</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68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31,916 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68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77,056 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0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136,084 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0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210,423  </w:t>
            </w:r>
          </w:p>
        </w:tc>
      </w:tr>
      <w:tr>
        <w:trPr/>
        <w:tc>
          <w:tcPr>
            <w:tcW w:w="407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w:t>
            </w:r>
          </w:p>
        </w:tc>
      </w:tr>
      <w:tr>
        <w:trPr/>
        <w:tc>
          <w:tcPr>
            <w:tcW w:w="4070" w:type="dxa"/>
            <w:tcBorders/>
            <w:shd w:fill="CCEEFF" w:val="clear"/>
            <w:vAlign w:val="center"/>
          </w:tcPr>
          <w:p>
            <w:pPr>
              <w:pStyle w:val="TableContents"/>
              <w:bidi w:val="0"/>
              <w:spacing w:before="0" w:after="0"/>
              <w:jc w:val="left"/>
              <w:rPr>
                <w:sz w:val="20"/>
              </w:rPr>
            </w:pPr>
            <w:r>
              <w:rPr>
                <w:sz w:val="20"/>
              </w:rPr>
              <w:t xml:space="preserve">Interest incurred </w:t>
            </w:r>
          </w:p>
        </w:tc>
        <w:tc>
          <w:tcPr>
            <w:tcW w:w="170" w:type="dxa"/>
            <w:tcBorders/>
            <w:shd w:fill="CCEEFF" w:val="clear"/>
            <w:vAlign w:val="center"/>
          </w:tcPr>
          <w:p>
            <w:pPr>
              <w:pStyle w:val="TableContents"/>
              <w:bidi w:val="0"/>
              <w:spacing w:before="0" w:after="0"/>
              <w:jc w:val="left"/>
              <w:rPr>
                <w:sz w:val="20"/>
              </w:rPr>
            </w:pPr>
            <w:r>
              <w:rPr>
                <w:sz w:val="20"/>
              </w:rPr>
              <w:t>$</w:t>
            </w:r>
          </w:p>
        </w:tc>
        <w:tc>
          <w:tcPr>
            <w:tcW w:w="680" w:type="dxa"/>
            <w:tcBorders/>
            <w:shd w:fill="CCEEFF" w:val="clear"/>
            <w:vAlign w:val="center"/>
          </w:tcPr>
          <w:p>
            <w:pPr>
              <w:pStyle w:val="TableContents"/>
              <w:bidi w:val="0"/>
              <w:spacing w:before="0" w:after="0"/>
              <w:jc w:val="right"/>
              <w:rPr>
                <w:sz w:val="20"/>
              </w:rPr>
            </w:pPr>
            <w:r>
              <w:rPr>
                <w:sz w:val="20"/>
              </w:rPr>
              <w:t xml:space="preserve">30,222 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680" w:type="dxa"/>
            <w:tcBorders/>
            <w:shd w:fill="CCEEFF" w:val="clear"/>
            <w:vAlign w:val="center"/>
          </w:tcPr>
          <w:p>
            <w:pPr>
              <w:pStyle w:val="TableContents"/>
              <w:bidi w:val="0"/>
              <w:spacing w:before="0" w:after="0"/>
              <w:jc w:val="right"/>
              <w:rPr>
                <w:sz w:val="20"/>
              </w:rPr>
            </w:pPr>
            <w:r>
              <w:rPr>
                <w:sz w:val="20"/>
              </w:rPr>
              <w:t xml:space="preserve">28,523 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800" w:type="dxa"/>
            <w:tcBorders/>
            <w:shd w:fill="CCEEFF" w:val="clear"/>
            <w:vAlign w:val="center"/>
          </w:tcPr>
          <w:p>
            <w:pPr>
              <w:pStyle w:val="TableContents"/>
              <w:bidi w:val="0"/>
              <w:spacing w:before="0" w:after="0"/>
              <w:jc w:val="right"/>
              <w:rPr/>
            </w:pPr>
            <w:r>
              <w:rPr/>
              <w:t xml:space="preserve">  </w:t>
            </w:r>
            <w:r>
              <w:rPr>
                <w:sz w:val="20"/>
              </w:rPr>
              <w:t xml:space="preserve">91,584 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sz w:val="20"/>
              </w:rPr>
            </w:pPr>
            <w:r>
              <w:rPr>
                <w:sz w:val="20"/>
              </w:rPr>
              <w:t>$</w:t>
            </w:r>
          </w:p>
        </w:tc>
        <w:tc>
          <w:tcPr>
            <w:tcW w:w="800" w:type="dxa"/>
            <w:tcBorders/>
            <w:shd w:fill="CCEEFF" w:val="clear"/>
            <w:vAlign w:val="center"/>
          </w:tcPr>
          <w:p>
            <w:pPr>
              <w:pStyle w:val="TableContents"/>
              <w:bidi w:val="0"/>
              <w:spacing w:before="0" w:after="0"/>
              <w:jc w:val="right"/>
              <w:rPr>
                <w:sz w:val="20"/>
              </w:rPr>
            </w:pPr>
            <w:r>
              <w:rPr>
                <w:sz w:val="20"/>
              </w:rPr>
              <w:t xml:space="preserve">88,210  </w:t>
            </w:r>
          </w:p>
        </w:tc>
      </w:tr>
      <w:tr>
        <w:trPr/>
        <w:tc>
          <w:tcPr>
            <w:tcW w:w="407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70"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w:t>
            </w:r>
          </w:p>
        </w:tc>
      </w:tr>
      <w:tr>
        <w:trPr/>
        <w:tc>
          <w:tcPr>
            <w:tcW w:w="4070" w:type="dxa"/>
            <w:tcBorders/>
            <w:shd w:fill="CCEEFF" w:val="clear"/>
            <w:vAlign w:val="center"/>
          </w:tcPr>
          <w:p>
            <w:pPr>
              <w:pStyle w:val="TableContents"/>
              <w:bidi w:val="0"/>
              <w:spacing w:before="0" w:after="0"/>
              <w:jc w:val="left"/>
              <w:rPr>
                <w:sz w:val="20"/>
              </w:rPr>
            </w:pPr>
            <w:r>
              <w:rPr>
                <w:sz w:val="20"/>
              </w:rPr>
              <w:t xml:space="preserve">Adjusted EBITDA to interest incurred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sz w:val="20"/>
              </w:rPr>
            </w:pPr>
            <w:r>
              <w:rPr>
                <w:sz w:val="20"/>
              </w:rPr>
              <w:t xml:space="preserve">1.06 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sz w:val="20"/>
              </w:rPr>
            </w:pPr>
            <w:r>
              <w:rPr>
                <w:sz w:val="20"/>
              </w:rPr>
              <w:t xml:space="preserve">2.70 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sz w:val="20"/>
              </w:rPr>
            </w:pPr>
            <w:r>
              <w:rPr>
                <w:sz w:val="20"/>
              </w:rPr>
              <w:t xml:space="preserve">1.49  </w:t>
            </w:r>
          </w:p>
        </w:tc>
        <w:tc>
          <w:tcPr>
            <w:tcW w:w="6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sz w:val="20"/>
              </w:rPr>
            </w:pPr>
            <w:r>
              <w:rPr>
                <w:sz w:val="20"/>
              </w:rPr>
              <w:t xml:space="preserve">2.39 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0"/>
              <w:jc w:val="both"/>
              <w:rPr>
                <w:sz w:val="20"/>
              </w:rPr>
            </w:pPr>
            <w:r>
              <w:rPr>
                <w:sz w:val="20"/>
              </w:rPr>
              <w:t>(1) EBIT is a non-GAAP financial measure. The most directly comparable GAAP financial measure is net (loss) income. EBIT represents earnings before interest expense and income taxes.</w:t>
            </w:r>
          </w:p>
        </w:tc>
      </w:tr>
      <w:tr>
        <w:trPr/>
        <w:tc>
          <w:tcPr>
            <w:tcW w:w="10205" w:type="dxa"/>
            <w:tcBorders/>
            <w:shd w:fill="FFFFFF" w:val="clear"/>
            <w:vAlign w:val="center"/>
          </w:tcPr>
          <w:p>
            <w:pPr>
              <w:pStyle w:val="TableContents"/>
              <w:bidi w:val="0"/>
              <w:spacing w:before="0" w:after="0"/>
              <w:jc w:val="both"/>
              <w:rPr>
                <w:sz w:val="20"/>
              </w:rPr>
            </w:pPr>
            <w:r>
              <w:rPr>
                <w:sz w:val="20"/>
              </w:rPr>
              <w:t xml:space="preserve">(2) EBITDA is a non-GAAP financial measure. The most directly comparable GAAP financial measure is net (loss) income. EBITDA represents earnings before interest expense, income taxes, depreciation and amortization. </w:t>
            </w:r>
          </w:p>
        </w:tc>
      </w:tr>
      <w:tr>
        <w:trPr/>
        <w:tc>
          <w:tcPr>
            <w:tcW w:w="10205" w:type="dxa"/>
            <w:tcBorders/>
            <w:shd w:fill="FFFFFF" w:val="clear"/>
            <w:vAlign w:val="center"/>
          </w:tcPr>
          <w:p>
            <w:pPr>
              <w:pStyle w:val="TableContents"/>
              <w:bidi w:val="0"/>
              <w:spacing w:before="0" w:after="0"/>
              <w:jc w:val="both"/>
              <w:rPr>
                <w:sz w:val="20"/>
              </w:rPr>
            </w:pPr>
            <w:r>
              <w:rPr>
                <w:sz w:val="20"/>
              </w:rPr>
              <w:t>(3) Adjusted EBITDA is a non-GAAP financial measure. The most directly comparable GAAP financial measure is net (loss) income. Adjusted EBITDA represents earnings before interest expense, income taxes, depreciation, amortization, inventory impairments and land option write-offs and gain on extinguishment of debt, net.</w:t>
            </w:r>
          </w:p>
        </w:tc>
      </w:tr>
    </w:tbl>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3500"/>
        <w:gridCol w:w="60"/>
        <w:gridCol w:w="60"/>
        <w:gridCol w:w="60"/>
        <w:gridCol w:w="60"/>
        <w:gridCol w:w="60"/>
        <w:gridCol w:w="60"/>
        <w:gridCol w:w="60"/>
        <w:gridCol w:w="60"/>
        <w:gridCol w:w="60"/>
        <w:gridCol w:w="60"/>
        <w:gridCol w:w="75"/>
      </w:tblGrid>
      <w:tr>
        <w:trPr/>
        <w:tc>
          <w:tcPr>
            <w:tcW w:w="3500" w:type="dxa"/>
            <w:tcBorders/>
            <w:shd w:fill="FFFFFF" w:val="clear"/>
            <w:vAlign w:val="center"/>
          </w:tcPr>
          <w:p>
            <w:pPr>
              <w:pStyle w:val="TableContents"/>
              <w:bidi w:val="0"/>
              <w:spacing w:before="0" w:after="0"/>
              <w:jc w:val="left"/>
              <w:rPr>
                <w:b/>
                <w:sz w:val="20"/>
              </w:rPr>
            </w:pPr>
            <w:r>
              <w:rPr>
                <w:b/>
                <w:sz w:val="20"/>
              </w:rPr>
              <w:t>Hovnanian Enterprises, Inc.</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75" w:type="dxa"/>
            <w:tcBorders/>
            <w:shd w:fill="FFFFFF" w:val="clear"/>
            <w:vAlign w:val="center"/>
          </w:tcPr>
          <w:p>
            <w:pPr>
              <w:pStyle w:val="TableContents"/>
              <w:bidi w:val="0"/>
              <w:spacing w:before="0" w:after="0"/>
              <w:jc w:val="right"/>
              <w:rPr/>
            </w:pPr>
            <w:r>
              <w:rPr/>
              <w:t> </w:t>
            </w:r>
          </w:p>
        </w:tc>
      </w:tr>
      <w:tr>
        <w:trPr/>
        <w:tc>
          <w:tcPr>
            <w:tcW w:w="3500" w:type="dxa"/>
            <w:tcBorders/>
            <w:shd w:fill="FFFFFF" w:val="clear"/>
            <w:vAlign w:val="center"/>
          </w:tcPr>
          <w:p>
            <w:pPr>
              <w:pStyle w:val="TableContents"/>
              <w:bidi w:val="0"/>
              <w:spacing w:before="0" w:after="0"/>
              <w:jc w:val="left"/>
              <w:rPr>
                <w:b/>
                <w:sz w:val="20"/>
              </w:rPr>
            </w:pPr>
            <w:r>
              <w:rPr>
                <w:b/>
                <w:sz w:val="20"/>
              </w:rPr>
              <w:t xml:space="preserve">July 31, 2026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center"/>
              <w:rPr/>
            </w:pPr>
            <w:r>
              <w:rPr/>
              <w:t> </w:t>
            </w:r>
          </w:p>
        </w:tc>
        <w:tc>
          <w:tcPr>
            <w:tcW w:w="75" w:type="dxa"/>
            <w:tcBorders/>
            <w:shd w:fill="FFFFFF" w:val="clear"/>
            <w:vAlign w:val="center"/>
          </w:tcPr>
          <w:p>
            <w:pPr>
              <w:pStyle w:val="TableContents"/>
              <w:bidi w:val="0"/>
              <w:spacing w:before="0" w:after="0"/>
              <w:jc w:val="left"/>
              <w:rPr/>
            </w:pPr>
            <w:r>
              <w:rPr/>
              <w:t> </w:t>
            </w:r>
          </w:p>
        </w:tc>
      </w:tr>
      <w:tr>
        <w:trPr/>
        <w:tc>
          <w:tcPr>
            <w:tcW w:w="3500" w:type="dxa"/>
            <w:tcBorders/>
            <w:shd w:fill="FFFFFF" w:val="clear"/>
            <w:vAlign w:val="center"/>
          </w:tcPr>
          <w:p>
            <w:pPr>
              <w:pStyle w:val="TableContents"/>
              <w:bidi w:val="0"/>
              <w:spacing w:before="0" w:after="0"/>
              <w:jc w:val="left"/>
              <w:rPr>
                <w:sz w:val="20"/>
              </w:rPr>
            </w:pPr>
            <w:r>
              <w:rPr>
                <w:sz w:val="20"/>
              </w:rPr>
              <w:t>Interest incurred, expensed and capitalized</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75" w:type="dxa"/>
            <w:tcBorders/>
            <w:shd w:fill="FFFFFF" w:val="clear"/>
            <w:vAlign w:val="center"/>
          </w:tcPr>
          <w:p>
            <w:pPr>
              <w:pStyle w:val="TableContents"/>
              <w:bidi w:val="0"/>
              <w:spacing w:before="0" w:after="0"/>
              <w:jc w:val="right"/>
              <w:rPr/>
            </w:pPr>
            <w:r>
              <w:rPr/>
              <w:t> </w:t>
            </w:r>
          </w:p>
        </w:tc>
      </w:tr>
      <w:tr>
        <w:trPr/>
        <w:tc>
          <w:tcPr>
            <w:tcW w:w="3500" w:type="dxa"/>
            <w:tcBorders/>
            <w:shd w:fill="FFFFFF" w:val="clear"/>
            <w:vAlign w:val="center"/>
          </w:tcPr>
          <w:p>
            <w:pPr>
              <w:pStyle w:val="TableContents"/>
              <w:bidi w:val="0"/>
              <w:spacing w:before="0" w:after="0"/>
              <w:jc w:val="left"/>
              <w:rPr>
                <w:sz w:val="20"/>
              </w:rPr>
            </w:pPr>
            <w:r>
              <w:rPr>
                <w:sz w:val="20"/>
              </w:rPr>
              <w:t>(In thousands)</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center"/>
              <w:rPr/>
            </w:pPr>
            <w:r>
              <w:rPr/>
              <w:t> </w:t>
            </w:r>
          </w:p>
        </w:tc>
        <w:tc>
          <w:tcPr>
            <w:tcW w:w="75" w:type="dxa"/>
            <w:tcBorders/>
            <w:shd w:fill="FFFFFF" w:val="clear"/>
            <w:vAlign w:val="center"/>
          </w:tcPr>
          <w:p>
            <w:pPr>
              <w:pStyle w:val="TableContents"/>
              <w:bidi w:val="0"/>
              <w:spacing w:before="0" w:after="0"/>
              <w:jc w:val="right"/>
              <w:rPr/>
            </w:pPr>
            <w:r>
              <w:rPr/>
              <w:t> </w:t>
            </w:r>
          </w:p>
        </w:tc>
      </w:tr>
    </w:tbl>
    <w:p>
      <w:pPr>
        <w:pStyle w:val="TextBody"/>
        <w:bidi w:val="0"/>
        <w:spacing w:before="0" w:after="0"/>
        <w:jc w:val="left"/>
        <w:rPr/>
      </w:pPr>
      <w:r>
        <w:rPr/>
        <w:t> </w:t>
      </w:r>
    </w:p>
    <w:tbl>
      <w:tblPr>
        <w:tblW w:w="8730" w:type="dxa"/>
        <w:jc w:val="left"/>
        <w:tblInd w:w="0" w:type="dxa"/>
        <w:tblLayout w:type="fixed"/>
        <w:tblCellMar>
          <w:top w:w="0" w:type="dxa"/>
          <w:left w:w="0" w:type="dxa"/>
          <w:bottom w:w="0" w:type="dxa"/>
          <w:right w:w="0" w:type="dxa"/>
        </w:tblCellMar>
      </w:tblPr>
      <w:tblGrid>
        <w:gridCol w:w="5045"/>
        <w:gridCol w:w="125"/>
        <w:gridCol w:w="710"/>
        <w:gridCol w:w="60"/>
        <w:gridCol w:w="125"/>
        <w:gridCol w:w="710"/>
        <w:gridCol w:w="60"/>
        <w:gridCol w:w="125"/>
        <w:gridCol w:w="800"/>
        <w:gridCol w:w="60"/>
        <w:gridCol w:w="125"/>
        <w:gridCol w:w="785"/>
      </w:tblGrid>
      <w:tr>
        <w:trPr/>
        <w:tc>
          <w:tcPr>
            <w:tcW w:w="5045" w:type="dxa"/>
            <w:tcBorders/>
            <w:shd w:fill="FFFFFF" w:val="clear"/>
            <w:vAlign w:val="center"/>
          </w:tcPr>
          <w:p>
            <w:pPr>
              <w:pStyle w:val="TableContents"/>
              <w:bidi w:val="0"/>
              <w:spacing w:before="0" w:after="0"/>
              <w:jc w:val="right"/>
              <w:rPr/>
            </w:pPr>
            <w:r>
              <w:rPr/>
              <w:t> </w:t>
            </w:r>
          </w:p>
        </w:tc>
        <w:tc>
          <w:tcPr>
            <w:tcW w:w="1730" w:type="dxa"/>
            <w:gridSpan w:val="5"/>
            <w:tcBorders/>
            <w:shd w:fill="FFFFFF" w:val="clear"/>
            <w:vAlign w:val="center"/>
          </w:tcPr>
          <w:p>
            <w:pPr>
              <w:pStyle w:val="TableContents"/>
              <w:bidi w:val="0"/>
              <w:spacing w:before="0" w:after="0"/>
              <w:jc w:val="center"/>
              <w:rPr>
                <w:sz w:val="20"/>
              </w:rPr>
            </w:pPr>
            <w:r>
              <w:rPr>
                <w:sz w:val="20"/>
              </w:rPr>
              <w:t>Three Months Ended</w:t>
            </w:r>
          </w:p>
        </w:tc>
        <w:tc>
          <w:tcPr>
            <w:tcW w:w="60" w:type="dxa"/>
            <w:tcBorders/>
            <w:shd w:fill="FFFFFF" w:val="clear"/>
            <w:vAlign w:val="center"/>
          </w:tcPr>
          <w:p>
            <w:pPr>
              <w:pStyle w:val="TableContents"/>
              <w:bidi w:val="0"/>
              <w:spacing w:before="0" w:after="0"/>
              <w:jc w:val="center"/>
              <w:rPr/>
            </w:pPr>
            <w:r>
              <w:rPr/>
              <w:t> </w:t>
            </w:r>
          </w:p>
        </w:tc>
        <w:tc>
          <w:tcPr>
            <w:tcW w:w="1895" w:type="dxa"/>
            <w:gridSpan w:val="5"/>
            <w:tcBorders/>
            <w:shd w:fill="FFFFFF" w:val="clear"/>
            <w:vAlign w:val="center"/>
          </w:tcPr>
          <w:p>
            <w:pPr>
              <w:pStyle w:val="TableContents"/>
              <w:bidi w:val="0"/>
              <w:spacing w:before="0" w:after="0"/>
              <w:jc w:val="center"/>
              <w:rPr>
                <w:sz w:val="20"/>
              </w:rPr>
            </w:pPr>
            <w:r>
              <w:rPr>
                <w:sz w:val="20"/>
              </w:rPr>
              <w:t>Nine Months Ended</w:t>
            </w:r>
          </w:p>
        </w:tc>
      </w:tr>
      <w:tr>
        <w:trPr/>
        <w:tc>
          <w:tcPr>
            <w:tcW w:w="5045" w:type="dxa"/>
            <w:tcBorders/>
            <w:shd w:fill="FFFFFF" w:val="clear"/>
            <w:vAlign w:val="center"/>
          </w:tcPr>
          <w:p>
            <w:pPr>
              <w:pStyle w:val="TableContents"/>
              <w:bidi w:val="0"/>
              <w:spacing w:before="0" w:after="0"/>
              <w:jc w:val="right"/>
              <w:rPr/>
            </w:pPr>
            <w:r>
              <w:rPr/>
              <w:t> </w:t>
            </w:r>
          </w:p>
        </w:tc>
        <w:tc>
          <w:tcPr>
            <w:tcW w:w="1730" w:type="dxa"/>
            <w:gridSpan w:val="5"/>
            <w:tcBorders>
              <w:bottom w:val="single" w:sz="6" w:space="0" w:color="000000"/>
            </w:tcBorders>
            <w:shd w:fill="FFFFFF" w:val="clear"/>
            <w:tcMar>
              <w:bottom w:w="28" w:type="dxa"/>
            </w:tcMar>
            <w:vAlign w:val="center"/>
          </w:tcPr>
          <w:p>
            <w:pPr>
              <w:pStyle w:val="TableContents"/>
              <w:bidi w:val="0"/>
              <w:spacing w:before="0" w:after="0"/>
              <w:jc w:val="center"/>
              <w:rPr>
                <w:sz w:val="20"/>
              </w:rPr>
            </w:pPr>
            <w:r>
              <w:rPr>
                <w:sz w:val="20"/>
              </w:rPr>
              <w:t>July 31,</w:t>
            </w:r>
          </w:p>
        </w:tc>
        <w:tc>
          <w:tcPr>
            <w:tcW w:w="60" w:type="dxa"/>
            <w:tcBorders/>
            <w:shd w:fill="FFFFFF" w:val="clear"/>
            <w:vAlign w:val="center"/>
          </w:tcPr>
          <w:p>
            <w:pPr>
              <w:pStyle w:val="TableContents"/>
              <w:bidi w:val="0"/>
              <w:spacing w:before="0" w:after="0"/>
              <w:jc w:val="center"/>
              <w:rPr/>
            </w:pPr>
            <w:r>
              <w:rPr/>
              <w:t> </w:t>
            </w:r>
          </w:p>
        </w:tc>
        <w:tc>
          <w:tcPr>
            <w:tcW w:w="1895" w:type="dxa"/>
            <w:gridSpan w:val="5"/>
            <w:tcBorders>
              <w:bottom w:val="single" w:sz="6" w:space="0" w:color="000000"/>
            </w:tcBorders>
            <w:shd w:fill="FFFFFF" w:val="clear"/>
            <w:tcMar>
              <w:bottom w:w="28" w:type="dxa"/>
            </w:tcMar>
            <w:vAlign w:val="center"/>
          </w:tcPr>
          <w:p>
            <w:pPr>
              <w:pStyle w:val="TableContents"/>
              <w:bidi w:val="0"/>
              <w:spacing w:before="0" w:after="0"/>
              <w:jc w:val="center"/>
              <w:rPr>
                <w:sz w:val="20"/>
              </w:rPr>
            </w:pPr>
            <w:r>
              <w:rPr>
                <w:sz w:val="20"/>
              </w:rPr>
              <w:t>July 31,</w:t>
            </w:r>
          </w:p>
        </w:tc>
      </w:tr>
      <w:tr>
        <w:trPr/>
        <w:tc>
          <w:tcPr>
            <w:tcW w:w="5045" w:type="dxa"/>
            <w:tcBorders/>
            <w:shd w:fill="FFFFFF" w:val="clear"/>
            <w:vAlign w:val="center"/>
          </w:tcPr>
          <w:p>
            <w:pPr>
              <w:pStyle w:val="TableContents"/>
              <w:bidi w:val="0"/>
              <w:spacing w:before="0" w:after="0"/>
              <w:jc w:val="right"/>
              <w:rPr/>
            </w:pPr>
            <w:r>
              <w:rPr/>
              <w:t> </w:t>
            </w:r>
          </w:p>
        </w:tc>
        <w:tc>
          <w:tcPr>
            <w:tcW w:w="835"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2026</w:t>
            </w:r>
          </w:p>
        </w:tc>
        <w:tc>
          <w:tcPr>
            <w:tcW w:w="60" w:type="dxa"/>
            <w:tcBorders/>
            <w:shd w:fill="FFFFFF" w:val="clear"/>
            <w:vAlign w:val="center"/>
          </w:tcPr>
          <w:p>
            <w:pPr>
              <w:pStyle w:val="TableContents"/>
              <w:bidi w:val="0"/>
              <w:spacing w:before="0" w:after="0"/>
              <w:jc w:val="center"/>
              <w:rPr/>
            </w:pPr>
            <w:r>
              <w:rPr/>
              <w:t> </w:t>
            </w:r>
          </w:p>
        </w:tc>
        <w:tc>
          <w:tcPr>
            <w:tcW w:w="835"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2025</w:t>
            </w:r>
          </w:p>
        </w:tc>
        <w:tc>
          <w:tcPr>
            <w:tcW w:w="60" w:type="dxa"/>
            <w:tcBorders/>
            <w:shd w:fill="FFFFFF" w:val="clear"/>
            <w:vAlign w:val="center"/>
          </w:tcPr>
          <w:p>
            <w:pPr>
              <w:pStyle w:val="TableContents"/>
              <w:bidi w:val="0"/>
              <w:spacing w:before="0" w:after="0"/>
              <w:jc w:val="center"/>
              <w:rPr/>
            </w:pPr>
            <w:r>
              <w:rPr/>
              <w:t> </w:t>
            </w:r>
          </w:p>
        </w:tc>
        <w:tc>
          <w:tcPr>
            <w:tcW w:w="925"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2026</w:t>
            </w:r>
          </w:p>
        </w:tc>
        <w:tc>
          <w:tcPr>
            <w:tcW w:w="60" w:type="dxa"/>
            <w:tcBorders/>
            <w:shd w:fill="FFFFFF" w:val="clear"/>
            <w:vAlign w:val="center"/>
          </w:tcPr>
          <w:p>
            <w:pPr>
              <w:pStyle w:val="TableContents"/>
              <w:bidi w:val="0"/>
              <w:spacing w:before="0" w:after="0"/>
              <w:jc w:val="center"/>
              <w:rPr/>
            </w:pPr>
            <w:r>
              <w:rPr/>
              <w:t> </w:t>
            </w:r>
          </w:p>
        </w:tc>
        <w:tc>
          <w:tcPr>
            <w:tcW w:w="910" w:type="dxa"/>
            <w:gridSpan w:val="2"/>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center"/>
              <w:rPr>
                <w:sz w:val="20"/>
              </w:rPr>
            </w:pPr>
            <w:r>
              <w:rPr>
                <w:sz w:val="20"/>
              </w:rPr>
              <w:t>2025</w:t>
            </w:r>
          </w:p>
        </w:tc>
      </w:tr>
      <w:tr>
        <w:trPr/>
        <w:tc>
          <w:tcPr>
            <w:tcW w:w="5045" w:type="dxa"/>
            <w:tcBorders/>
            <w:shd w:fill="FFFFFF" w:val="clear"/>
            <w:vAlign w:val="center"/>
          </w:tcPr>
          <w:p>
            <w:pPr>
              <w:pStyle w:val="TableContents"/>
              <w:bidi w:val="0"/>
              <w:spacing w:before="0" w:after="0"/>
              <w:jc w:val="right"/>
              <w:rPr/>
            </w:pPr>
            <w:r>
              <w:rPr/>
              <w:t> </w:t>
            </w:r>
          </w:p>
        </w:tc>
        <w:tc>
          <w:tcPr>
            <w:tcW w:w="1730" w:type="dxa"/>
            <w:gridSpan w:val="5"/>
            <w:tcBorders/>
            <w:shd w:fill="FFFFFF" w:val="clear"/>
            <w:vAlign w:val="center"/>
          </w:tcPr>
          <w:p>
            <w:pPr>
              <w:pStyle w:val="TableContents"/>
              <w:bidi w:val="0"/>
              <w:spacing w:before="0" w:after="0"/>
              <w:jc w:val="center"/>
              <w:rPr>
                <w:sz w:val="20"/>
              </w:rPr>
            </w:pPr>
            <w:r>
              <w:rPr>
                <w:sz w:val="20"/>
              </w:rPr>
              <w:t>(Unaudited)</w:t>
            </w:r>
          </w:p>
        </w:tc>
        <w:tc>
          <w:tcPr>
            <w:tcW w:w="60" w:type="dxa"/>
            <w:tcBorders/>
            <w:shd w:fill="FFFFFF" w:val="clear"/>
            <w:vAlign w:val="center"/>
          </w:tcPr>
          <w:p>
            <w:pPr>
              <w:pStyle w:val="TableContents"/>
              <w:bidi w:val="0"/>
              <w:spacing w:before="0" w:after="0"/>
              <w:jc w:val="right"/>
              <w:rPr/>
            </w:pPr>
            <w:r>
              <w:rPr/>
              <w:t> </w:t>
            </w:r>
          </w:p>
        </w:tc>
        <w:tc>
          <w:tcPr>
            <w:tcW w:w="1895" w:type="dxa"/>
            <w:gridSpan w:val="5"/>
            <w:tcBorders/>
            <w:shd w:fill="FFFFFF" w:val="clear"/>
            <w:vAlign w:val="center"/>
          </w:tcPr>
          <w:p>
            <w:pPr>
              <w:pStyle w:val="TableContents"/>
              <w:bidi w:val="0"/>
              <w:spacing w:before="0" w:after="0"/>
              <w:jc w:val="center"/>
              <w:rPr>
                <w:sz w:val="20"/>
              </w:rPr>
            </w:pPr>
            <w:r>
              <w:rPr>
                <w:sz w:val="20"/>
              </w:rPr>
              <w:t>(Unaudited)</w:t>
            </w:r>
          </w:p>
        </w:tc>
      </w:tr>
      <w:tr>
        <w:trPr/>
        <w:tc>
          <w:tcPr>
            <w:tcW w:w="5045" w:type="dxa"/>
            <w:tcBorders/>
            <w:shd w:fill="CCEEFF" w:val="clear"/>
            <w:vAlign w:val="center"/>
          </w:tcPr>
          <w:p>
            <w:pPr>
              <w:pStyle w:val="TableContents"/>
              <w:bidi w:val="0"/>
              <w:spacing w:before="0" w:after="0"/>
              <w:jc w:val="left"/>
              <w:rPr>
                <w:sz w:val="20"/>
              </w:rPr>
            </w:pPr>
            <w:r>
              <w:rPr>
                <w:sz w:val="20"/>
              </w:rPr>
              <w:t>Interest capitalized at beginning of period</w:t>
            </w:r>
          </w:p>
        </w:tc>
        <w:tc>
          <w:tcPr>
            <w:tcW w:w="125" w:type="dxa"/>
            <w:tcBorders/>
            <w:shd w:fill="CCEEFF" w:val="clear"/>
            <w:vAlign w:val="center"/>
          </w:tcPr>
          <w:p>
            <w:pPr>
              <w:pStyle w:val="TableContents"/>
              <w:bidi w:val="0"/>
              <w:spacing w:before="0" w:after="0"/>
              <w:jc w:val="left"/>
              <w:rPr>
                <w:sz w:val="20"/>
              </w:rPr>
            </w:pPr>
            <w:r>
              <w:rPr>
                <w:sz w:val="20"/>
              </w:rPr>
              <w:t>$</w:t>
            </w:r>
          </w:p>
        </w:tc>
        <w:tc>
          <w:tcPr>
            <w:tcW w:w="710" w:type="dxa"/>
            <w:tcBorders/>
            <w:shd w:fill="CCEEFF" w:val="clear"/>
            <w:vAlign w:val="center"/>
          </w:tcPr>
          <w:p>
            <w:pPr>
              <w:pStyle w:val="TableContents"/>
              <w:bidi w:val="0"/>
              <w:spacing w:before="0" w:after="0"/>
              <w:jc w:val="right"/>
              <w:rPr>
                <w:sz w:val="20"/>
              </w:rPr>
            </w:pPr>
            <w:r>
              <w:rPr>
                <w:sz w:val="20"/>
              </w:rPr>
              <w:t xml:space="preserve">46,736 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710" w:type="dxa"/>
            <w:tcBorders/>
            <w:shd w:fill="CCEEFF" w:val="clear"/>
            <w:vAlign w:val="center"/>
          </w:tcPr>
          <w:p>
            <w:pPr>
              <w:pStyle w:val="TableContents"/>
              <w:bidi w:val="0"/>
              <w:spacing w:before="0" w:after="0"/>
              <w:jc w:val="right"/>
              <w:rPr>
                <w:sz w:val="20"/>
              </w:rPr>
            </w:pPr>
            <w:r>
              <w:rPr>
                <w:sz w:val="20"/>
              </w:rPr>
              <w:t xml:space="preserve">53,633 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00" w:type="dxa"/>
            <w:tcBorders/>
            <w:shd w:fill="CCEEFF" w:val="clear"/>
            <w:vAlign w:val="center"/>
          </w:tcPr>
          <w:p>
            <w:pPr>
              <w:pStyle w:val="TableContents"/>
              <w:bidi w:val="0"/>
              <w:spacing w:before="0" w:after="0"/>
              <w:jc w:val="right"/>
              <w:rPr/>
            </w:pPr>
            <w:r>
              <w:rPr/>
              <w:t xml:space="preserve">  </w:t>
            </w:r>
            <w:r>
              <w:rPr>
                <w:sz w:val="20"/>
              </w:rPr>
              <w:t xml:space="preserve">43,263 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785" w:type="dxa"/>
            <w:tcBorders/>
            <w:shd w:fill="CCEEFF" w:val="clear"/>
            <w:vAlign w:val="center"/>
          </w:tcPr>
          <w:p>
            <w:pPr>
              <w:pStyle w:val="TableContents"/>
              <w:bidi w:val="0"/>
              <w:spacing w:before="0" w:after="0"/>
              <w:jc w:val="right"/>
              <w:rPr>
                <w:sz w:val="20"/>
              </w:rPr>
            </w:pPr>
            <w:r>
              <w:rPr>
                <w:sz w:val="20"/>
              </w:rPr>
              <w:t xml:space="preserve">57,671  </w:t>
            </w:r>
          </w:p>
        </w:tc>
      </w:tr>
      <w:tr>
        <w:trPr/>
        <w:tc>
          <w:tcPr>
            <w:tcW w:w="5045" w:type="dxa"/>
            <w:tcBorders/>
            <w:shd w:fill="FFFFFF" w:val="clear"/>
            <w:vAlign w:val="center"/>
          </w:tcPr>
          <w:p>
            <w:pPr>
              <w:pStyle w:val="TableContents"/>
              <w:bidi w:val="0"/>
              <w:spacing w:before="0" w:after="0"/>
              <w:jc w:val="left"/>
              <w:rPr>
                <w:sz w:val="20"/>
              </w:rPr>
            </w:pPr>
            <w:r>
              <w:rPr>
                <w:sz w:val="20"/>
              </w:rPr>
              <w:t>Plus: interest incurred</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sz w:val="20"/>
              </w:rPr>
            </w:pPr>
            <w:r>
              <w:rPr>
                <w:sz w:val="20"/>
              </w:rPr>
              <w:t xml:space="preserve">30,222 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sz w:val="20"/>
              </w:rPr>
            </w:pPr>
            <w:r>
              <w:rPr>
                <w:sz w:val="20"/>
              </w:rPr>
              <w:t xml:space="preserve">28,523 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xml:space="preserve">  </w:t>
            </w:r>
            <w:r>
              <w:rPr>
                <w:sz w:val="20"/>
              </w:rPr>
              <w:t xml:space="preserve">91,584 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sz w:val="20"/>
              </w:rPr>
            </w:pPr>
            <w:r>
              <w:rPr>
                <w:sz w:val="20"/>
              </w:rPr>
              <w:t xml:space="preserve">88,210  </w:t>
            </w:r>
          </w:p>
        </w:tc>
      </w:tr>
      <w:tr>
        <w:trPr/>
        <w:tc>
          <w:tcPr>
            <w:tcW w:w="5045" w:type="dxa"/>
            <w:tcBorders/>
            <w:shd w:fill="CCEEFF" w:val="clear"/>
            <w:vAlign w:val="center"/>
          </w:tcPr>
          <w:p>
            <w:pPr>
              <w:pStyle w:val="TableContents"/>
              <w:bidi w:val="0"/>
              <w:spacing w:before="0" w:after="0"/>
              <w:jc w:val="left"/>
              <w:rPr>
                <w:sz w:val="20"/>
              </w:rPr>
            </w:pPr>
            <w:r>
              <w:rPr>
                <w:sz w:val="20"/>
              </w:rPr>
              <w:t>Less: interest expensed</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sz w:val="20"/>
              </w:rPr>
            </w:pPr>
            <w:r>
              <w:rPr>
                <w:sz w:val="20"/>
              </w:rPr>
              <w:t>(30,475)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sz w:val="20"/>
              </w:rPr>
            </w:pPr>
            <w:r>
              <w:rPr>
                <w:sz w:val="20"/>
              </w:rPr>
              <w:t>(34,017)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sz w:val="20"/>
              </w:rPr>
            </w:pPr>
            <w:r>
              <w:rPr>
                <w:sz w:val="20"/>
              </w:rPr>
              <w:t>(87,680)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r>
              <w:rPr>
                <w:sz w:val="20"/>
              </w:rPr>
              <w:t>(91,973)</w:t>
            </w:r>
          </w:p>
        </w:tc>
      </w:tr>
      <w:tr>
        <w:trPr/>
        <w:tc>
          <w:tcPr>
            <w:tcW w:w="5045" w:type="dxa"/>
            <w:tcBorders/>
            <w:shd w:fill="FFFFFF" w:val="clear"/>
            <w:vAlign w:val="center"/>
          </w:tcPr>
          <w:p>
            <w:pPr>
              <w:pStyle w:val="TableContents"/>
              <w:bidi w:val="0"/>
              <w:spacing w:before="0" w:after="0"/>
              <w:jc w:val="left"/>
              <w:rPr>
                <w:sz w:val="20"/>
              </w:rPr>
            </w:pPr>
            <w:r>
              <w:rPr>
                <w:sz w:val="20"/>
              </w:rPr>
              <w:t>Less: interest contributed to unconsolidated joint ventures (1)</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 xml:space="preserve">  </w:t>
            </w:r>
            <w:r>
              <w:rPr>
                <w:sz w:val="20"/>
              </w:rPr>
              <w:t>(1,109)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85" w:type="dxa"/>
            <w:tcBorders/>
            <w:shd w:fill="FFFFFF" w:val="clear"/>
            <w:vAlign w:val="center"/>
          </w:tcPr>
          <w:p>
            <w:pPr>
              <w:pStyle w:val="TableContents"/>
              <w:bidi w:val="0"/>
              <w:spacing w:before="0" w:after="0"/>
              <w:jc w:val="right"/>
              <w:rPr>
                <w:sz w:val="20"/>
              </w:rPr>
            </w:pPr>
            <w:r>
              <w:rPr>
                <w:sz w:val="20"/>
              </w:rPr>
              <w:t>(5,769)</w:t>
            </w:r>
          </w:p>
        </w:tc>
      </w:tr>
      <w:tr>
        <w:trPr/>
        <w:tc>
          <w:tcPr>
            <w:tcW w:w="5045" w:type="dxa"/>
            <w:tcBorders/>
            <w:shd w:fill="CCEEFF" w:val="clear"/>
            <w:vAlign w:val="center"/>
          </w:tcPr>
          <w:p>
            <w:pPr>
              <w:pStyle w:val="TableContents"/>
              <w:bidi w:val="0"/>
              <w:spacing w:before="0" w:after="0"/>
              <w:jc w:val="left"/>
              <w:rPr>
                <w:sz w:val="20"/>
              </w:rPr>
            </w:pPr>
            <w:r>
              <w:rPr>
                <w:sz w:val="20"/>
              </w:rPr>
              <w:t>Plus: interest acquired from unconsolidated joint ventures (2)</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 </w:t>
            </w:r>
            <w:r>
              <w:rPr>
                <w:sz w:val="20"/>
              </w:rPr>
              <w:t xml:space="preserve">425 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right"/>
              <w:rPr/>
            </w:pPr>
            <w:r>
              <w:rPr/>
              <w:t> </w:t>
            </w:r>
            <w:r>
              <w:rPr>
                <w:sz w:val="20"/>
              </w:rPr>
              <w:t xml:space="preserve">-  </w:t>
            </w:r>
          </w:p>
        </w:tc>
      </w:tr>
      <w:tr>
        <w:trPr/>
        <w:tc>
          <w:tcPr>
            <w:tcW w:w="5045" w:type="dxa"/>
            <w:tcBorders/>
            <w:shd w:fill="FFFFFF" w:val="clear"/>
            <w:vAlign w:val="center"/>
          </w:tcPr>
          <w:p>
            <w:pPr>
              <w:pStyle w:val="TableContents"/>
              <w:bidi w:val="0"/>
              <w:spacing w:before="0" w:after="0"/>
              <w:jc w:val="left"/>
              <w:rPr>
                <w:sz w:val="20"/>
              </w:rPr>
            </w:pPr>
            <w:r>
              <w:rPr>
                <w:sz w:val="20"/>
              </w:rPr>
              <w:t>Interest capitalized at end of period (3)</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71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46,483 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71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48,139 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80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pPr>
            <w:r>
              <w:rPr/>
              <w:t xml:space="preserve">  </w:t>
            </w:r>
            <w:r>
              <w:rPr>
                <w:sz w:val="20"/>
              </w:rPr>
              <w:t xml:space="preserve">46,483 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78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48,139 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0"/>
              <w:jc w:val="both"/>
              <w:rPr>
                <w:sz w:val="20"/>
              </w:rPr>
            </w:pPr>
            <w:r>
              <w:rPr>
                <w:sz w:val="20"/>
              </w:rPr>
              <w:t>(1) Represents capitalized interest which was included as part of the assets contributed to joint ventures the Company entered into during the nine months ended July 31, 2026 and 2025. There was no impact to the Condensed Consolidated Statement of Operations as a result of these transactions.</w:t>
            </w:r>
          </w:p>
        </w:tc>
      </w:tr>
      <w:tr>
        <w:trPr/>
        <w:tc>
          <w:tcPr>
            <w:tcW w:w="10205" w:type="dxa"/>
            <w:tcBorders/>
            <w:shd w:fill="FFFFFF" w:val="clear"/>
            <w:vAlign w:val="center"/>
          </w:tcPr>
          <w:p>
            <w:pPr>
              <w:pStyle w:val="TableContents"/>
              <w:bidi w:val="0"/>
              <w:spacing w:before="0" w:after="0"/>
              <w:jc w:val="both"/>
              <w:rPr>
                <w:sz w:val="20"/>
              </w:rPr>
            </w:pPr>
            <w:r>
              <w:rPr>
                <w:sz w:val="20"/>
              </w:rPr>
              <w:t>(2) Represents capitalized interest which was included as part of the assets acquired from a joint venture closed out during the nine months ended July 31, 2026. There was no impact to the Condensed Consolidated Statement of Operations as a result of this transaction.</w:t>
            </w:r>
          </w:p>
        </w:tc>
      </w:tr>
      <w:tr>
        <w:trPr/>
        <w:tc>
          <w:tcPr>
            <w:tcW w:w="10205" w:type="dxa"/>
            <w:tcBorders/>
            <w:shd w:fill="FFFFFF" w:val="clear"/>
            <w:vAlign w:val="center"/>
          </w:tcPr>
          <w:p>
            <w:pPr>
              <w:pStyle w:val="TableContents"/>
              <w:bidi w:val="0"/>
              <w:spacing w:before="0" w:after="0"/>
              <w:jc w:val="left"/>
              <w:rPr>
                <w:sz w:val="20"/>
              </w:rPr>
            </w:pPr>
            <w:r>
              <w:rPr>
                <w:sz w:val="20"/>
              </w:rPr>
              <w:t>(3) Capitalized interest amounts are shown gross before allocating any portion of impairments to capitalized interest.</w:t>
            </w:r>
          </w:p>
        </w:tc>
      </w:tr>
    </w:tbl>
    <w:p>
      <w:pPr>
        <w:pStyle w:val="TextBody"/>
        <w:bidi w:val="0"/>
        <w:spacing w:before="0" w:after="0"/>
        <w:jc w:val="left"/>
        <w:rPr/>
      </w:pPr>
      <w:r>
        <w:rPr/>
        <w:t> </w:t>
      </w:r>
    </w:p>
    <w:p>
      <w:pPr>
        <w:pStyle w:val="TextBody"/>
        <w:bidi w:val="0"/>
        <w:spacing w:before="0" w:after="0"/>
        <w:jc w:val="center"/>
        <w:rPr>
          <w:sz w:val="20"/>
        </w:rPr>
      </w:pPr>
      <w:r>
        <w:rPr>
          <w:sz w:val="20"/>
        </w:rPr>
        <w:t>8</w:t>
      </w:r>
    </w:p>
    <w:p>
      <w:pPr>
        <w:pStyle w:val="HorizontalLine"/>
        <w:pBdr>
          <w:bottom w:val="double" w:sz="2" w:space="0" w:color="808080"/>
        </w:pBdr>
        <w:bidi w:val="0"/>
        <w:jc w:val="center"/>
        <w:rPr/>
      </w:pPr>
      <w:r>
        <w:rPr/>
      </w:r>
    </w:p>
    <w:tbl>
      <w:tblPr>
        <w:tblW w:w="5313" w:type="dxa"/>
        <w:jc w:val="left"/>
        <w:tblInd w:w="0" w:type="dxa"/>
        <w:tblLayout w:type="fixed"/>
        <w:tblCellMar>
          <w:top w:w="0" w:type="dxa"/>
          <w:left w:w="0" w:type="dxa"/>
          <w:bottom w:w="0" w:type="dxa"/>
          <w:right w:w="0" w:type="dxa"/>
        </w:tblCellMar>
      </w:tblPr>
      <w:tblGrid>
        <w:gridCol w:w="3292"/>
        <w:gridCol w:w="165"/>
        <w:gridCol w:w="165"/>
        <w:gridCol w:w="165"/>
        <w:gridCol w:w="165"/>
        <w:gridCol w:w="165"/>
        <w:gridCol w:w="165"/>
        <w:gridCol w:w="165"/>
        <w:gridCol w:w="165"/>
        <w:gridCol w:w="165"/>
        <w:gridCol w:w="165"/>
        <w:gridCol w:w="165"/>
        <w:gridCol w:w="206"/>
      </w:tblGrid>
      <w:tr>
        <w:trPr/>
        <w:tc>
          <w:tcPr>
            <w:tcW w:w="5313" w:type="dxa"/>
            <w:gridSpan w:val="13"/>
            <w:tcBorders/>
            <w:vAlign w:val="center"/>
          </w:tcPr>
          <w:p>
            <w:pPr>
              <w:pStyle w:val="TableContents"/>
              <w:bidi w:val="0"/>
              <w:spacing w:before="0" w:after="0"/>
              <w:jc w:val="left"/>
              <w:rPr>
                <w:b/>
                <w:sz w:val="20"/>
              </w:rPr>
            </w:pPr>
            <w:r>
              <w:rPr>
                <w:b/>
                <w:sz w:val="20"/>
              </w:rPr>
              <w:t>Hovnanian Enterprises, Inc.</w:t>
            </w:r>
          </w:p>
        </w:tc>
      </w:tr>
      <w:tr>
        <w:trPr/>
        <w:tc>
          <w:tcPr>
            <w:tcW w:w="5313" w:type="dxa"/>
            <w:gridSpan w:val="13"/>
            <w:tcBorders/>
            <w:vAlign w:val="center"/>
          </w:tcPr>
          <w:p>
            <w:pPr>
              <w:pStyle w:val="TableContents"/>
              <w:bidi w:val="0"/>
              <w:spacing w:before="0" w:after="0"/>
              <w:jc w:val="left"/>
              <w:rPr>
                <w:b/>
                <w:sz w:val="20"/>
              </w:rPr>
            </w:pPr>
            <w:r>
              <w:rPr>
                <w:b/>
                <w:sz w:val="20"/>
              </w:rPr>
              <w:t>July 31, 2026</w:t>
            </w:r>
          </w:p>
        </w:tc>
      </w:tr>
      <w:tr>
        <w:trPr/>
        <w:tc>
          <w:tcPr>
            <w:tcW w:w="5313" w:type="dxa"/>
            <w:gridSpan w:val="13"/>
            <w:tcBorders/>
            <w:vAlign w:val="center"/>
          </w:tcPr>
          <w:p>
            <w:pPr>
              <w:pStyle w:val="TableContents"/>
              <w:bidi w:val="0"/>
              <w:spacing w:before="0" w:after="0"/>
              <w:jc w:val="left"/>
              <w:rPr>
                <w:sz w:val="20"/>
              </w:rPr>
            </w:pPr>
            <w:r>
              <w:rPr>
                <w:sz w:val="20"/>
              </w:rPr>
              <w:t>Reconciliation of Adjusted EBIT Return on Adjusted Investment</w:t>
            </w:r>
          </w:p>
        </w:tc>
      </w:tr>
      <w:tr>
        <w:trPr/>
        <w:tc>
          <w:tcPr>
            <w:tcW w:w="3292" w:type="dxa"/>
            <w:tcBorders/>
            <w:vAlign w:val="center"/>
          </w:tcPr>
          <w:p>
            <w:pPr>
              <w:pStyle w:val="TableContents"/>
              <w:bidi w:val="0"/>
              <w:spacing w:before="0" w:after="0"/>
              <w:jc w:val="left"/>
              <w:rPr>
                <w:sz w:val="20"/>
              </w:rPr>
            </w:pPr>
            <w:r>
              <w:rPr>
                <w:sz w:val="20"/>
              </w:rPr>
              <w:t>(in thousands)</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center"/>
              <w:rPr/>
            </w:pPr>
            <w:r>
              <w:rPr/>
              <w:t>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445"/>
        <w:gridCol w:w="60"/>
        <w:gridCol w:w="60"/>
        <w:gridCol w:w="60"/>
        <w:gridCol w:w="191"/>
        <w:gridCol w:w="788"/>
        <w:gridCol w:w="60"/>
        <w:gridCol w:w="143"/>
        <w:gridCol w:w="731"/>
        <w:gridCol w:w="60"/>
        <w:gridCol w:w="170"/>
        <w:gridCol w:w="704"/>
        <w:gridCol w:w="60"/>
        <w:gridCol w:w="138"/>
        <w:gridCol w:w="736"/>
        <w:gridCol w:w="60"/>
        <w:gridCol w:w="133"/>
        <w:gridCol w:w="756"/>
      </w:tblGrid>
      <w:tr>
        <w:trPr/>
        <w:tc>
          <w:tcPr>
            <w:tcW w:w="14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191" w:type="dxa"/>
            <w:tcBorders/>
            <w:vAlign w:val="center"/>
          </w:tcPr>
          <w:p>
            <w:pPr>
              <w:pStyle w:val="TableContents"/>
              <w:bidi w:val="0"/>
              <w:spacing w:before="0" w:after="0"/>
              <w:jc w:val="center"/>
              <w:rPr/>
            </w:pPr>
            <w:r>
              <w:rPr/>
              <w:t> </w:t>
            </w:r>
          </w:p>
        </w:tc>
        <w:tc>
          <w:tcPr>
            <w:tcW w:w="848" w:type="dxa"/>
            <w:gridSpan w:val="2"/>
            <w:tcBorders/>
            <w:vAlign w:val="center"/>
          </w:tcPr>
          <w:p>
            <w:pPr>
              <w:pStyle w:val="TableContents"/>
              <w:bidi w:val="0"/>
              <w:spacing w:before="0" w:after="0"/>
              <w:jc w:val="center"/>
              <w:rPr/>
            </w:pPr>
            <w:r>
              <w:rPr/>
              <w:t> </w:t>
            </w:r>
          </w:p>
        </w:tc>
        <w:tc>
          <w:tcPr>
            <w:tcW w:w="143" w:type="dxa"/>
            <w:tcBorders/>
            <w:vAlign w:val="center"/>
          </w:tcPr>
          <w:p>
            <w:pPr>
              <w:pStyle w:val="TableContents"/>
              <w:bidi w:val="0"/>
              <w:spacing w:before="0" w:after="0"/>
              <w:jc w:val="center"/>
              <w:rPr/>
            </w:pPr>
            <w:r>
              <w:rPr/>
              <w:t> </w:t>
            </w:r>
          </w:p>
        </w:tc>
        <w:tc>
          <w:tcPr>
            <w:tcW w:w="2599" w:type="dxa"/>
            <w:gridSpan w:val="7"/>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889" w:type="dxa"/>
            <w:gridSpan w:val="2"/>
            <w:tcBorders/>
            <w:vAlign w:val="center"/>
          </w:tcPr>
          <w:p>
            <w:pPr>
              <w:pStyle w:val="TableContents"/>
              <w:bidi w:val="0"/>
              <w:spacing w:before="0" w:after="0"/>
              <w:jc w:val="center"/>
              <w:rPr>
                <w:b/>
                <w:sz w:val="20"/>
              </w:rPr>
            </w:pPr>
            <w:r>
              <w:rPr>
                <w:b/>
                <w:sz w:val="20"/>
              </w:rPr>
              <w:t>TTM</w:t>
            </w:r>
          </w:p>
        </w:tc>
      </w:tr>
      <w:tr>
        <w:trPr/>
        <w:tc>
          <w:tcPr>
            <w:tcW w:w="144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3841" w:type="dxa"/>
            <w:gridSpan w:val="12"/>
            <w:tcBorders>
              <w:bottom w:val="single" w:sz="8" w:space="0" w:color="000000"/>
            </w:tcBorders>
            <w:tcMar>
              <w:bottom w:w="28" w:type="dxa"/>
            </w:tcMar>
            <w:vAlign w:val="center"/>
          </w:tcPr>
          <w:p>
            <w:pPr>
              <w:pStyle w:val="TableContents"/>
              <w:bidi w:val="0"/>
              <w:spacing w:before="0" w:after="0"/>
              <w:jc w:val="center"/>
              <w:rPr>
                <w:sz w:val="20"/>
              </w:rPr>
            </w:pPr>
            <w:r>
              <w:rPr>
                <w:sz w:val="20"/>
              </w:rPr>
              <w:t>For the quarter ended</w:t>
            </w:r>
          </w:p>
        </w:tc>
        <w:tc>
          <w:tcPr>
            <w:tcW w:w="60" w:type="dxa"/>
            <w:tcBorders/>
            <w:vAlign w:val="center"/>
          </w:tcPr>
          <w:p>
            <w:pPr>
              <w:pStyle w:val="TableContents"/>
              <w:bidi w:val="0"/>
              <w:spacing w:before="0" w:after="0"/>
              <w:jc w:val="center"/>
              <w:rPr/>
            </w:pPr>
            <w:r>
              <w:rPr/>
              <w:t> </w:t>
            </w:r>
          </w:p>
        </w:tc>
        <w:tc>
          <w:tcPr>
            <w:tcW w:w="889" w:type="dxa"/>
            <w:gridSpan w:val="2"/>
            <w:tcBorders/>
            <w:vAlign w:val="center"/>
          </w:tcPr>
          <w:p>
            <w:pPr>
              <w:pStyle w:val="TableContents"/>
              <w:bidi w:val="0"/>
              <w:spacing w:before="0" w:after="0"/>
              <w:jc w:val="center"/>
              <w:rPr>
                <w:b/>
                <w:sz w:val="20"/>
              </w:rPr>
            </w:pPr>
            <w:r>
              <w:rPr>
                <w:b/>
                <w:sz w:val="20"/>
              </w:rPr>
              <w:t>ended</w:t>
            </w:r>
          </w:p>
        </w:tc>
      </w:tr>
      <w:tr>
        <w:trPr/>
        <w:tc>
          <w:tcPr>
            <w:tcW w:w="14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right"/>
              <w:rPr/>
            </w:pPr>
            <w:r>
              <w:rPr/>
              <w:t> </w:t>
            </w:r>
          </w:p>
        </w:tc>
        <w:tc>
          <w:tcPr>
            <w:tcW w:w="60" w:type="dxa"/>
            <w:tcBorders>
              <w:top w:val="single" w:sz="8" w:space="0" w:color="000000"/>
            </w:tcBorders>
            <w:tcMar>
              <w:top w:w="28" w:type="dxa"/>
            </w:tcMar>
            <w:vAlign w:val="center"/>
          </w:tcPr>
          <w:p>
            <w:pPr>
              <w:pStyle w:val="TableContents"/>
              <w:bidi w:val="0"/>
              <w:spacing w:before="0" w:after="0"/>
              <w:jc w:val="right"/>
              <w:rPr/>
            </w:pPr>
            <w:r>
              <w:rPr/>
              <w:t> </w:t>
            </w:r>
          </w:p>
        </w:tc>
        <w:tc>
          <w:tcPr>
            <w:tcW w:w="979" w:type="dxa"/>
            <w:gridSpan w:val="2"/>
            <w:tcBorders>
              <w:top w:val="single" w:sz="8"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10/31/2025</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874" w:type="dxa"/>
            <w:gridSpan w:val="2"/>
            <w:tcBorders>
              <w:top w:val="single" w:sz="8"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1/31/2026</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874" w:type="dxa"/>
            <w:gridSpan w:val="2"/>
            <w:tcBorders>
              <w:top w:val="single" w:sz="8" w:space="0" w:color="000000"/>
              <w:bottom w:val="single" w:sz="6" w:space="0" w:color="000000"/>
            </w:tcBorders>
            <w:tcMar>
              <w:top w:w="28" w:type="dxa"/>
              <w:bottom w:w="28" w:type="dxa"/>
            </w:tcMar>
            <w:vAlign w:val="center"/>
          </w:tcPr>
          <w:p>
            <w:pPr>
              <w:pStyle w:val="TableContents"/>
              <w:bidi w:val="0"/>
              <w:spacing w:before="0" w:after="0"/>
              <w:jc w:val="center"/>
              <w:rPr>
                <w:sz w:val="20"/>
              </w:rPr>
            </w:pPr>
            <w:r>
              <w:rPr>
                <w:sz w:val="20"/>
              </w:rPr>
              <w:t>4/30/2026</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87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sz w:val="20"/>
              </w:rPr>
            </w:pPr>
            <w:r>
              <w:rPr>
                <w:sz w:val="20"/>
              </w:rPr>
              <w:t>7/31/2026</w:t>
            </w:r>
          </w:p>
        </w:tc>
        <w:tc>
          <w:tcPr>
            <w:tcW w:w="60" w:type="dxa"/>
            <w:tcBorders/>
            <w:vAlign w:val="center"/>
          </w:tcPr>
          <w:p>
            <w:pPr>
              <w:pStyle w:val="TableContents"/>
              <w:bidi w:val="0"/>
              <w:spacing w:before="0" w:after="0"/>
              <w:jc w:val="center"/>
              <w:rPr/>
            </w:pPr>
            <w:r>
              <w:rPr/>
              <w:t> </w:t>
            </w:r>
          </w:p>
        </w:tc>
        <w:tc>
          <w:tcPr>
            <w:tcW w:w="889" w:type="dxa"/>
            <w:gridSpan w:val="2"/>
            <w:tcBorders>
              <w:bottom w:val="single" w:sz="6" w:space="0" w:color="000000"/>
            </w:tcBorders>
            <w:tcMar>
              <w:bottom w:w="28" w:type="dxa"/>
            </w:tcMar>
            <w:vAlign w:val="center"/>
          </w:tcPr>
          <w:p>
            <w:pPr>
              <w:pStyle w:val="TableContents"/>
              <w:bidi w:val="0"/>
              <w:spacing w:before="0" w:after="0"/>
              <w:jc w:val="center"/>
              <w:rPr>
                <w:b/>
                <w:sz w:val="20"/>
              </w:rPr>
            </w:pPr>
            <w:r>
              <w:rPr>
                <w:b/>
                <w:sz w:val="20"/>
              </w:rPr>
              <w:t>7/31/2026</w:t>
            </w:r>
          </w:p>
        </w:tc>
      </w:tr>
      <w:tr>
        <w:trPr/>
        <w:tc>
          <w:tcPr>
            <w:tcW w:w="1445" w:type="dxa"/>
            <w:tcBorders/>
            <w:shd w:fill="CCEEFF" w:val="clear"/>
            <w:vAlign w:val="center"/>
          </w:tcPr>
          <w:p>
            <w:pPr>
              <w:pStyle w:val="TableContents"/>
              <w:bidi w:val="0"/>
              <w:spacing w:before="0" w:after="0"/>
              <w:jc w:val="left"/>
              <w:rPr>
                <w:sz w:val="20"/>
              </w:rPr>
            </w:pPr>
            <w:r>
              <w:rPr>
                <w:sz w:val="20"/>
              </w:rPr>
              <w:t>Net (loss) income</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91"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88" w:type="dxa"/>
            <w:tcBorders>
              <w:top w:val="single" w:sz="8" w:space="0" w:color="000000"/>
            </w:tcBorders>
            <w:shd w:fill="CCEEFF" w:val="clear"/>
            <w:tcMar>
              <w:top w:w="28" w:type="dxa"/>
            </w:tcMar>
            <w:vAlign w:val="center"/>
          </w:tcPr>
          <w:p>
            <w:pPr>
              <w:pStyle w:val="TableContents"/>
              <w:bidi w:val="0"/>
              <w:spacing w:before="0" w:after="0"/>
              <w:jc w:val="right"/>
              <w:rPr/>
            </w:pPr>
            <w:r>
              <w:rPr/>
              <w:t> </w:t>
            </w:r>
            <w:r>
              <w:rPr>
                <w:sz w:val="20"/>
              </w:rPr>
              <w:t>(667)</w:t>
            </w:r>
          </w:p>
        </w:tc>
        <w:tc>
          <w:tcPr>
            <w:tcW w:w="60" w:type="dxa"/>
            <w:tcBorders/>
            <w:shd w:fill="CCEEFF" w:val="clear"/>
            <w:vAlign w:val="center"/>
          </w:tcPr>
          <w:p>
            <w:pPr>
              <w:pStyle w:val="TableContents"/>
              <w:bidi w:val="0"/>
              <w:spacing w:before="0" w:after="0"/>
              <w:jc w:val="right"/>
              <w:rPr/>
            </w:pPr>
            <w:r>
              <w:rPr/>
              <w:t> </w:t>
            </w:r>
          </w:p>
        </w:tc>
        <w:tc>
          <w:tcPr>
            <w:tcW w:w="143"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31"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20,859 </w:t>
            </w:r>
          </w:p>
        </w:tc>
        <w:tc>
          <w:tcPr>
            <w:tcW w:w="60" w:type="dxa"/>
            <w:tcBorders/>
            <w:shd w:fill="CCEEFF" w:val="clear"/>
            <w:vAlign w:val="center"/>
          </w:tcPr>
          <w:p>
            <w:pPr>
              <w:pStyle w:val="TableContents"/>
              <w:bidi w:val="0"/>
              <w:spacing w:before="0" w:after="0"/>
              <w:jc w:val="righ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04" w:type="dxa"/>
            <w:tcBorders>
              <w:top w:val="single" w:sz="8" w:space="0" w:color="000000"/>
            </w:tcBorders>
            <w:shd w:fill="CCEEFF" w:val="clear"/>
            <w:tcMar>
              <w:top w:w="28" w:type="dxa"/>
            </w:tcMar>
            <w:vAlign w:val="center"/>
          </w:tcPr>
          <w:p>
            <w:pPr>
              <w:pStyle w:val="TableContents"/>
              <w:bidi w:val="0"/>
              <w:spacing w:before="0" w:after="0"/>
              <w:jc w:val="right"/>
              <w:rPr/>
            </w:pPr>
            <w:r>
              <w:rPr/>
              <w:t> </w:t>
            </w:r>
            <w:r>
              <w:rPr>
                <w:sz w:val="20"/>
              </w:rPr>
              <w:t>(595)</w:t>
            </w:r>
          </w:p>
        </w:tc>
        <w:tc>
          <w:tcPr>
            <w:tcW w:w="60" w:type="dxa"/>
            <w:tcBorders/>
            <w:shd w:fill="CCEEFF" w:val="clear"/>
            <w:vAlign w:val="center"/>
          </w:tcPr>
          <w:p>
            <w:pPr>
              <w:pStyle w:val="TableContents"/>
              <w:bidi w:val="0"/>
              <w:spacing w:before="0" w:after="0"/>
              <w:jc w:val="right"/>
              <w:rPr/>
            </w:pPr>
            <w:r>
              <w:rPr/>
              <w:t> </w:t>
            </w:r>
          </w:p>
        </w:tc>
        <w:tc>
          <w:tcPr>
            <w:tcW w:w="138"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36" w:type="dxa"/>
            <w:tcBorders>
              <w:top w:val="single" w:sz="8" w:space="0" w:color="000000"/>
            </w:tcBorders>
            <w:shd w:fill="CCEEFF" w:val="clear"/>
            <w:tcMar>
              <w:top w:w="28" w:type="dxa"/>
            </w:tcMar>
            <w:vAlign w:val="center"/>
          </w:tcPr>
          <w:p>
            <w:pPr>
              <w:pStyle w:val="TableContents"/>
              <w:bidi w:val="0"/>
              <w:spacing w:before="0" w:after="0"/>
              <w:jc w:val="right"/>
              <w:rPr/>
            </w:pPr>
            <w:r>
              <w:rPr/>
              <w:t> </w:t>
            </w:r>
            <w:r>
              <w:rPr>
                <w:sz w:val="20"/>
              </w:rPr>
              <w:t>(2,215)</w:t>
            </w:r>
          </w:p>
        </w:tc>
        <w:tc>
          <w:tcPr>
            <w:tcW w:w="60" w:type="dxa"/>
            <w:tcBorders/>
            <w:shd w:fill="CCEEFF" w:val="clear"/>
            <w:vAlign w:val="center"/>
          </w:tcPr>
          <w:p>
            <w:pPr>
              <w:pStyle w:val="TableContents"/>
              <w:bidi w:val="0"/>
              <w:spacing w:before="0" w:after="0"/>
              <w:jc w:val="right"/>
              <w:rPr/>
            </w:pPr>
            <w:r>
              <w:rPr/>
              <w:t> </w:t>
            </w:r>
          </w:p>
        </w:tc>
        <w:tc>
          <w:tcPr>
            <w:tcW w:w="133" w:type="dxa"/>
            <w:tcBorders/>
            <w:shd w:fill="CCEEFF" w:val="clear"/>
            <w:vAlign w:val="center"/>
          </w:tcPr>
          <w:p>
            <w:pPr>
              <w:pStyle w:val="TableContents"/>
              <w:bidi w:val="0"/>
              <w:spacing w:before="0" w:after="0"/>
              <w:jc w:val="center"/>
              <w:rPr>
                <w:sz w:val="20"/>
              </w:rPr>
            </w:pPr>
            <w:r>
              <w:rPr>
                <w:sz w:val="20"/>
              </w:rPr>
              <w:t>$</w:t>
            </w:r>
          </w:p>
        </w:tc>
        <w:tc>
          <w:tcPr>
            <w:tcW w:w="756" w:type="dxa"/>
            <w:tcBorders/>
            <w:shd w:fill="CCEEFF" w:val="clear"/>
            <w:vAlign w:val="center"/>
          </w:tcPr>
          <w:p>
            <w:pPr>
              <w:pStyle w:val="TableContents"/>
              <w:bidi w:val="0"/>
              <w:spacing w:before="0" w:after="0"/>
              <w:jc w:val="right"/>
              <w:rPr/>
            </w:pPr>
            <w:r>
              <w:rPr/>
              <w:t> </w:t>
            </w:r>
            <w:r>
              <w:rPr>
                <w:sz w:val="20"/>
              </w:rPr>
              <w:t xml:space="preserve">17,382 </w:t>
            </w:r>
          </w:p>
        </w:tc>
      </w:tr>
    </w:tbl>
    <w:p>
      <w:pPr>
        <w:pStyle w:val="TextBody"/>
        <w:bidi w:val="0"/>
        <w:spacing w:before="0" w:after="0"/>
        <w:jc w:val="left"/>
        <w:rPr/>
      </w:pPr>
      <w:r>
        <w:rPr/>
        <w:t> </w:t>
      </w:r>
    </w:p>
    <w:tbl>
      <w:tblPr>
        <w:tblW w:w="8264" w:type="dxa"/>
        <w:jc w:val="left"/>
        <w:tblInd w:w="0" w:type="dxa"/>
        <w:tblLayout w:type="fixed"/>
        <w:tblCellMar>
          <w:top w:w="0" w:type="dxa"/>
          <w:left w:w="0" w:type="dxa"/>
          <w:bottom w:w="0" w:type="dxa"/>
          <w:right w:w="0" w:type="dxa"/>
        </w:tblCellMar>
      </w:tblPr>
      <w:tblGrid>
        <w:gridCol w:w="1685"/>
        <w:gridCol w:w="60"/>
        <w:gridCol w:w="125"/>
        <w:gridCol w:w="890"/>
        <w:gridCol w:w="60"/>
        <w:gridCol w:w="125"/>
        <w:gridCol w:w="890"/>
        <w:gridCol w:w="60"/>
        <w:gridCol w:w="125"/>
        <w:gridCol w:w="890"/>
        <w:gridCol w:w="60"/>
        <w:gridCol w:w="125"/>
        <w:gridCol w:w="890"/>
        <w:gridCol w:w="60"/>
        <w:gridCol w:w="125"/>
        <w:gridCol w:w="890"/>
        <w:gridCol w:w="60"/>
        <w:gridCol w:w="145"/>
        <w:gridCol w:w="999"/>
      </w:tblGrid>
      <w:tr>
        <w:trPr/>
        <w:tc>
          <w:tcPr>
            <w:tcW w:w="1685"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5315" w:type="dxa"/>
            <w:gridSpan w:val="14"/>
            <w:tcBorders>
              <w:bottom w:val="single" w:sz="6" w:space="0" w:color="000000"/>
            </w:tcBorders>
            <w:tcMar>
              <w:bottom w:w="28" w:type="dxa"/>
            </w:tcMar>
            <w:vAlign w:val="center"/>
          </w:tcPr>
          <w:p>
            <w:pPr>
              <w:pStyle w:val="TableContents"/>
              <w:bidi w:val="0"/>
              <w:spacing w:before="0" w:after="0"/>
              <w:jc w:val="center"/>
              <w:rPr>
                <w:sz w:val="20"/>
              </w:rPr>
            </w:pPr>
            <w:r>
              <w:rPr>
                <w:sz w:val="20"/>
              </w:rPr>
              <w:t>As of</w:t>
            </w:r>
          </w:p>
        </w:tc>
        <w:tc>
          <w:tcPr>
            <w:tcW w:w="60" w:type="dxa"/>
            <w:tcBorders/>
            <w:vAlign w:val="center"/>
          </w:tcPr>
          <w:p>
            <w:pPr>
              <w:pStyle w:val="TableContents"/>
              <w:bidi w:val="0"/>
              <w:spacing w:before="0" w:after="0"/>
              <w:jc w:val="right"/>
              <w:rPr/>
            </w:pPr>
            <w:r>
              <w:rPr/>
              <w:t> </w:t>
            </w:r>
          </w:p>
        </w:tc>
        <w:tc>
          <w:tcPr>
            <w:tcW w:w="1144" w:type="dxa"/>
            <w:gridSpan w:val="2"/>
            <w:tcBorders/>
            <w:vAlign w:val="center"/>
          </w:tcPr>
          <w:p>
            <w:pPr>
              <w:pStyle w:val="TableContents"/>
              <w:bidi w:val="0"/>
              <w:spacing w:before="0" w:after="0"/>
              <w:jc w:val="center"/>
              <w:rPr>
                <w:b/>
                <w:sz w:val="20"/>
              </w:rPr>
            </w:pPr>
            <w:r>
              <w:rPr>
                <w:b/>
                <w:sz w:val="20"/>
              </w:rPr>
              <w:t>Five Quarter</w:t>
            </w:r>
          </w:p>
        </w:tc>
      </w:tr>
      <w:tr>
        <w:trPr/>
        <w:tc>
          <w:tcPr>
            <w:tcW w:w="16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7/31/2025</w:t>
            </w:r>
          </w:p>
        </w:tc>
        <w:tc>
          <w:tcPr>
            <w:tcW w:w="60" w:type="dxa"/>
            <w:tcBorders/>
            <w:vAlign w:val="center"/>
          </w:tcPr>
          <w:p>
            <w:pPr>
              <w:pStyle w:val="TableContents"/>
              <w:bidi w:val="0"/>
              <w:spacing w:before="0" w:after="0"/>
              <w:jc w:val="center"/>
              <w:rPr/>
            </w:pPr>
            <w:r>
              <w:rPr/>
              <w:t> </w:t>
            </w:r>
          </w:p>
        </w:tc>
        <w:tc>
          <w:tcPr>
            <w:tcW w:w="1015" w:type="dxa"/>
            <w:gridSpan w:val="2"/>
            <w:tcBorders/>
            <w:vAlign w:val="center"/>
          </w:tcPr>
          <w:p>
            <w:pPr>
              <w:pStyle w:val="TableContents"/>
              <w:bidi w:val="0"/>
              <w:spacing w:before="0" w:after="0"/>
              <w:jc w:val="center"/>
              <w:rPr>
                <w:sz w:val="20"/>
              </w:rPr>
            </w:pPr>
            <w:r>
              <w:rPr>
                <w:sz w:val="20"/>
              </w:rPr>
              <w:t>10/31/2025</w:t>
            </w:r>
          </w:p>
        </w:tc>
        <w:tc>
          <w:tcPr>
            <w:tcW w:w="60" w:type="dxa"/>
            <w:tcBorders/>
            <w:vAlign w:val="center"/>
          </w:tcPr>
          <w:p>
            <w:pPr>
              <w:pStyle w:val="TableContents"/>
              <w:bidi w:val="0"/>
              <w:spacing w:before="0" w:after="0"/>
              <w:jc w:val="center"/>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1/31/2026</w:t>
            </w:r>
          </w:p>
        </w:tc>
        <w:tc>
          <w:tcPr>
            <w:tcW w:w="60" w:type="dxa"/>
            <w:tcBorders/>
            <w:vAlign w:val="center"/>
          </w:tcPr>
          <w:p>
            <w:pPr>
              <w:pStyle w:val="TableContents"/>
              <w:bidi w:val="0"/>
              <w:spacing w:before="0" w:after="0"/>
              <w:jc w:val="center"/>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4/30/2026</w:t>
            </w:r>
          </w:p>
        </w:tc>
        <w:tc>
          <w:tcPr>
            <w:tcW w:w="60" w:type="dxa"/>
            <w:tcBorders/>
            <w:vAlign w:val="center"/>
          </w:tcPr>
          <w:p>
            <w:pPr>
              <w:pStyle w:val="TableContents"/>
              <w:bidi w:val="0"/>
              <w:spacing w:before="0" w:after="0"/>
              <w:jc w:val="center"/>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7/31/2026</w:t>
            </w:r>
          </w:p>
        </w:tc>
        <w:tc>
          <w:tcPr>
            <w:tcW w:w="60" w:type="dxa"/>
            <w:tcBorders/>
            <w:vAlign w:val="center"/>
          </w:tcPr>
          <w:p>
            <w:pPr>
              <w:pStyle w:val="TableContents"/>
              <w:bidi w:val="0"/>
              <w:spacing w:before="0" w:after="0"/>
              <w:jc w:val="righ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0"/>
              <w:jc w:val="center"/>
              <w:rPr>
                <w:b/>
                <w:sz w:val="20"/>
              </w:rPr>
            </w:pPr>
            <w:r>
              <w:rPr>
                <w:b/>
                <w:sz w:val="20"/>
              </w:rPr>
              <w:t>Average</w:t>
            </w:r>
          </w:p>
        </w:tc>
      </w:tr>
      <w:tr>
        <w:trPr/>
        <w:tc>
          <w:tcPr>
            <w:tcW w:w="1685" w:type="dxa"/>
            <w:tcBorders/>
            <w:shd w:fill="CCEEFF" w:val="clear"/>
            <w:vAlign w:val="center"/>
          </w:tcPr>
          <w:p>
            <w:pPr>
              <w:pStyle w:val="TableContents"/>
              <w:bidi w:val="0"/>
              <w:spacing w:before="0" w:after="0"/>
              <w:jc w:val="left"/>
              <w:rPr>
                <w:sz w:val="20"/>
              </w:rPr>
            </w:pPr>
            <w:r>
              <w:rPr>
                <w:sz w:val="20"/>
              </w:rPr>
              <w:t>Total inventories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90" w:type="dxa"/>
            <w:tcBorders/>
            <w:shd w:fill="CCEEFF" w:val="clear"/>
            <w:vAlign w:val="center"/>
          </w:tcPr>
          <w:p>
            <w:pPr>
              <w:pStyle w:val="TableContents"/>
              <w:bidi w:val="0"/>
              <w:spacing w:before="0" w:after="0"/>
              <w:jc w:val="right"/>
              <w:rPr>
                <w:sz w:val="20"/>
              </w:rPr>
            </w:pPr>
            <w:r>
              <w:rPr>
                <w:sz w:val="20"/>
              </w:rPr>
              <w:t xml:space="preserve">1,692,932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89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1,637,470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89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1,647,970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89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1,723,587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89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1,794,444 </w:t>
            </w:r>
          </w:p>
        </w:tc>
        <w:tc>
          <w:tcPr>
            <w:tcW w:w="60" w:type="dxa"/>
            <w:tcBorders/>
            <w:shd w:fill="CCEEFF" w:val="clear"/>
            <w:vAlign w:val="center"/>
          </w:tcPr>
          <w:p>
            <w:pPr>
              <w:pStyle w:val="TableContents"/>
              <w:bidi w:val="0"/>
              <w:spacing w:before="0" w:after="0"/>
              <w:jc w:val="right"/>
              <w:rPr/>
            </w:pPr>
            <w:r>
              <w:rPr/>
              <w:t> </w:t>
            </w:r>
          </w:p>
        </w:tc>
        <w:tc>
          <w:tcPr>
            <w:tcW w:w="145" w:type="dxa"/>
            <w:tcBorders>
              <w:top w:val="single" w:sz="8"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999"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1,699,281</w:t>
            </w:r>
          </w:p>
        </w:tc>
      </w:tr>
      <w:tr>
        <w:trPr/>
        <w:tc>
          <w:tcPr>
            <w:tcW w:w="1685" w:type="dxa"/>
            <w:tcBorders/>
            <w:shd w:fill="FFFFFF" w:val="clear"/>
            <w:vAlign w:val="center"/>
          </w:tcPr>
          <w:p>
            <w:pPr>
              <w:pStyle w:val="TableContents"/>
              <w:bidi w:val="0"/>
              <w:spacing w:before="0" w:after="0"/>
              <w:jc w:val="left"/>
              <w:rPr>
                <w:sz w:val="20"/>
              </w:rPr>
            </w:pPr>
            <w:r>
              <w:rPr>
                <w:sz w:val="20"/>
              </w:rPr>
              <w:t>Return on Inventory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145" w:type="dxa"/>
            <w:tcBorders/>
            <w:shd w:fill="FFFFFF" w:val="clear"/>
            <w:vAlign w:val="center"/>
          </w:tcPr>
          <w:p>
            <w:pPr>
              <w:pStyle w:val="TableContents"/>
              <w:bidi w:val="0"/>
              <w:spacing w:before="0" w:after="0"/>
              <w:jc w:val="center"/>
              <w:rPr/>
            </w:pPr>
            <w:r>
              <w:rPr/>
              <w:t> </w:t>
            </w:r>
          </w:p>
        </w:tc>
        <w:tc>
          <w:tcPr>
            <w:tcW w:w="999" w:type="dxa"/>
            <w:tcBorders/>
            <w:shd w:fill="FFFFFF" w:val="clear"/>
            <w:vAlign w:val="center"/>
          </w:tcPr>
          <w:p>
            <w:pPr>
              <w:pStyle w:val="TableContents"/>
              <w:bidi w:val="0"/>
              <w:spacing w:before="0" w:after="0"/>
              <w:jc w:val="center"/>
              <w:rPr>
                <w:b/>
                <w:sz w:val="20"/>
              </w:rPr>
            </w:pPr>
            <w:r>
              <w:rPr>
                <w:b/>
                <w:sz w:val="20"/>
              </w:rPr>
              <w:t>1.0%</w:t>
            </w:r>
          </w:p>
        </w:tc>
      </w:tr>
    </w:tbl>
    <w:p>
      <w:pPr>
        <w:pStyle w:val="TextBody"/>
        <w:bidi w:val="0"/>
        <w:spacing w:before="0" w:after="0"/>
        <w:jc w:val="left"/>
        <w:rPr/>
      </w:pPr>
      <w:r>
        <w:rPr/>
        <w:t> </w:t>
      </w:r>
    </w:p>
    <w:tbl>
      <w:tblPr>
        <w:tblW w:w="8986" w:type="dxa"/>
        <w:jc w:val="left"/>
        <w:tblInd w:w="0" w:type="dxa"/>
        <w:tblLayout w:type="fixed"/>
        <w:tblCellMar>
          <w:top w:w="0" w:type="dxa"/>
          <w:left w:w="0" w:type="dxa"/>
          <w:bottom w:w="0" w:type="dxa"/>
          <w:right w:w="0" w:type="dxa"/>
        </w:tblCellMar>
      </w:tblPr>
      <w:tblGrid>
        <w:gridCol w:w="4025"/>
        <w:gridCol w:w="60"/>
        <w:gridCol w:w="60"/>
        <w:gridCol w:w="60"/>
        <w:gridCol w:w="149"/>
        <w:gridCol w:w="830"/>
        <w:gridCol w:w="60"/>
        <w:gridCol w:w="133"/>
        <w:gridCol w:w="741"/>
        <w:gridCol w:w="60"/>
        <w:gridCol w:w="133"/>
        <w:gridCol w:w="741"/>
        <w:gridCol w:w="60"/>
        <w:gridCol w:w="133"/>
        <w:gridCol w:w="741"/>
        <w:gridCol w:w="60"/>
        <w:gridCol w:w="125"/>
        <w:gridCol w:w="815"/>
      </w:tblGrid>
      <w:tr>
        <w:trPr/>
        <w:tc>
          <w:tcPr>
            <w:tcW w:w="40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781" w:type="dxa"/>
            <w:gridSpan w:val="11"/>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right"/>
              <w:rPr/>
            </w:pPr>
            <w:r>
              <w:rPr/>
              <w:t> </w:t>
            </w:r>
          </w:p>
        </w:tc>
        <w:tc>
          <w:tcPr>
            <w:tcW w:w="940" w:type="dxa"/>
            <w:gridSpan w:val="2"/>
            <w:tcBorders/>
            <w:vAlign w:val="center"/>
          </w:tcPr>
          <w:p>
            <w:pPr>
              <w:pStyle w:val="TableContents"/>
              <w:bidi w:val="0"/>
              <w:spacing w:before="0" w:after="0"/>
              <w:jc w:val="center"/>
              <w:rPr>
                <w:b/>
                <w:sz w:val="20"/>
              </w:rPr>
            </w:pPr>
            <w:r>
              <w:rPr>
                <w:b/>
                <w:sz w:val="20"/>
              </w:rPr>
              <w:t>TTM</w:t>
            </w:r>
          </w:p>
        </w:tc>
      </w:tr>
      <w:tr>
        <w:trPr/>
        <w:tc>
          <w:tcPr>
            <w:tcW w:w="40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center"/>
              <w:rPr/>
            </w:pPr>
            <w:r>
              <w:rPr/>
              <w:t> </w:t>
            </w:r>
          </w:p>
        </w:tc>
        <w:tc>
          <w:tcPr>
            <w:tcW w:w="3781" w:type="dxa"/>
            <w:gridSpan w:val="11"/>
            <w:tcBorders>
              <w:bottom w:val="single" w:sz="6" w:space="0" w:color="000000"/>
            </w:tcBorders>
            <w:tcMar>
              <w:bottom w:w="28" w:type="dxa"/>
            </w:tcMar>
            <w:vAlign w:val="center"/>
          </w:tcPr>
          <w:p>
            <w:pPr>
              <w:pStyle w:val="TableContents"/>
              <w:bidi w:val="0"/>
              <w:spacing w:before="0" w:after="0"/>
              <w:jc w:val="center"/>
              <w:rPr>
                <w:sz w:val="20"/>
              </w:rPr>
            </w:pPr>
            <w:r>
              <w:rPr>
                <w:sz w:val="20"/>
              </w:rPr>
              <w:t>For the quarter ended</w:t>
            </w:r>
          </w:p>
        </w:tc>
        <w:tc>
          <w:tcPr>
            <w:tcW w:w="60" w:type="dxa"/>
            <w:tcBorders/>
            <w:vAlign w:val="center"/>
          </w:tcPr>
          <w:p>
            <w:pPr>
              <w:pStyle w:val="TableContents"/>
              <w:bidi w:val="0"/>
              <w:spacing w:before="0" w:after="0"/>
              <w:jc w:val="right"/>
              <w:rPr/>
            </w:pPr>
            <w:r>
              <w:rPr/>
              <w:t> </w:t>
            </w:r>
          </w:p>
        </w:tc>
        <w:tc>
          <w:tcPr>
            <w:tcW w:w="940" w:type="dxa"/>
            <w:gridSpan w:val="2"/>
            <w:tcBorders/>
            <w:vAlign w:val="center"/>
          </w:tcPr>
          <w:p>
            <w:pPr>
              <w:pStyle w:val="TableContents"/>
              <w:bidi w:val="0"/>
              <w:spacing w:before="0" w:after="0"/>
              <w:jc w:val="center"/>
              <w:rPr>
                <w:b/>
                <w:sz w:val="20"/>
              </w:rPr>
            </w:pPr>
            <w:r>
              <w:rPr>
                <w:b/>
                <w:sz w:val="20"/>
              </w:rPr>
              <w:t>ended</w:t>
            </w:r>
          </w:p>
        </w:tc>
      </w:tr>
      <w:tr>
        <w:trPr/>
        <w:tc>
          <w:tcPr>
            <w:tcW w:w="40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979"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sz w:val="20"/>
              </w:rPr>
            </w:pPr>
            <w:r>
              <w:rPr>
                <w:sz w:val="20"/>
              </w:rPr>
              <w:t>10/31/2025</w:t>
            </w:r>
          </w:p>
        </w:tc>
        <w:tc>
          <w:tcPr>
            <w:tcW w:w="60" w:type="dxa"/>
            <w:tcBorders>
              <w:top w:val="single" w:sz="6" w:space="0" w:color="000000"/>
            </w:tcBorders>
            <w:tcMar>
              <w:top w:w="28" w:type="dxa"/>
            </w:tcMar>
            <w:vAlign w:val="center"/>
          </w:tcPr>
          <w:p>
            <w:pPr>
              <w:pStyle w:val="TableContents"/>
              <w:bidi w:val="0"/>
              <w:spacing w:before="0" w:after="0"/>
              <w:jc w:val="right"/>
              <w:rPr/>
            </w:pPr>
            <w:r>
              <w:rPr/>
              <w:t> </w:t>
            </w:r>
          </w:p>
        </w:tc>
        <w:tc>
          <w:tcPr>
            <w:tcW w:w="874"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sz w:val="20"/>
              </w:rPr>
            </w:pPr>
            <w:r>
              <w:rPr>
                <w:sz w:val="20"/>
              </w:rPr>
              <w:t>1/31/2026</w:t>
            </w:r>
          </w:p>
        </w:tc>
        <w:tc>
          <w:tcPr>
            <w:tcW w:w="60" w:type="dxa"/>
            <w:tcBorders>
              <w:top w:val="single" w:sz="6" w:space="0" w:color="000000"/>
            </w:tcBorders>
            <w:tcMar>
              <w:top w:w="28" w:type="dxa"/>
            </w:tcMar>
            <w:vAlign w:val="center"/>
          </w:tcPr>
          <w:p>
            <w:pPr>
              <w:pStyle w:val="TableContents"/>
              <w:bidi w:val="0"/>
              <w:spacing w:before="0" w:after="0"/>
              <w:jc w:val="right"/>
              <w:rPr/>
            </w:pPr>
            <w:r>
              <w:rPr/>
              <w:t> </w:t>
            </w:r>
          </w:p>
        </w:tc>
        <w:tc>
          <w:tcPr>
            <w:tcW w:w="874"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sz w:val="20"/>
              </w:rPr>
            </w:pPr>
            <w:r>
              <w:rPr>
                <w:sz w:val="20"/>
              </w:rPr>
              <w:t>4/30/2026</w:t>
            </w:r>
          </w:p>
        </w:tc>
        <w:tc>
          <w:tcPr>
            <w:tcW w:w="60" w:type="dxa"/>
            <w:tcBorders>
              <w:top w:val="single" w:sz="6" w:space="0" w:color="000000"/>
            </w:tcBorders>
            <w:tcMar>
              <w:top w:w="28" w:type="dxa"/>
            </w:tcMar>
            <w:vAlign w:val="center"/>
          </w:tcPr>
          <w:p>
            <w:pPr>
              <w:pStyle w:val="TableContents"/>
              <w:bidi w:val="0"/>
              <w:spacing w:before="0" w:after="0"/>
              <w:jc w:val="right"/>
              <w:rPr/>
            </w:pPr>
            <w:r>
              <w:rPr/>
              <w:t> </w:t>
            </w:r>
          </w:p>
        </w:tc>
        <w:tc>
          <w:tcPr>
            <w:tcW w:w="874" w:type="dxa"/>
            <w:gridSpan w:val="2"/>
            <w:tcBorders>
              <w:bottom w:val="single" w:sz="6" w:space="0" w:color="000000"/>
            </w:tcBorders>
            <w:tcMar>
              <w:bottom w:w="28" w:type="dxa"/>
            </w:tcMar>
            <w:vAlign w:val="center"/>
          </w:tcPr>
          <w:p>
            <w:pPr>
              <w:pStyle w:val="TableContents"/>
              <w:bidi w:val="0"/>
              <w:spacing w:before="0" w:after="0"/>
              <w:jc w:val="right"/>
              <w:rPr>
                <w:sz w:val="20"/>
              </w:rPr>
            </w:pPr>
            <w:r>
              <w:rPr>
                <w:sz w:val="20"/>
              </w:rPr>
              <w:t>7/31/2026</w:t>
            </w:r>
          </w:p>
        </w:tc>
        <w:tc>
          <w:tcPr>
            <w:tcW w:w="60" w:type="dxa"/>
            <w:tcBorders/>
            <w:vAlign w:val="center"/>
          </w:tcPr>
          <w:p>
            <w:pPr>
              <w:pStyle w:val="TableContents"/>
              <w:bidi w:val="0"/>
              <w:spacing w:before="0" w:after="0"/>
              <w:jc w:val="righ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center"/>
              <w:rPr>
                <w:b/>
                <w:sz w:val="20"/>
              </w:rPr>
            </w:pPr>
            <w:r>
              <w:rPr>
                <w:b/>
                <w:sz w:val="20"/>
              </w:rPr>
              <w:t>7/31/2026</w:t>
            </w:r>
          </w:p>
        </w:tc>
      </w:tr>
      <w:tr>
        <w:trPr/>
        <w:tc>
          <w:tcPr>
            <w:tcW w:w="4025" w:type="dxa"/>
            <w:tcBorders/>
            <w:shd w:fill="CCEEFF" w:val="clear"/>
            <w:vAlign w:val="center"/>
          </w:tcPr>
          <w:p>
            <w:pPr>
              <w:pStyle w:val="TableContents"/>
              <w:bidi w:val="0"/>
              <w:spacing w:before="0" w:after="0"/>
              <w:jc w:val="left"/>
              <w:rPr>
                <w:sz w:val="20"/>
              </w:rPr>
            </w:pPr>
            <w:r>
              <w:rPr>
                <w:sz w:val="20"/>
              </w:rPr>
              <w:t>Net (loss) income</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49" w:type="dxa"/>
            <w:tcBorders>
              <w:top w:val="single" w:sz="6"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830"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(667)</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sz w:val="20"/>
              </w:rPr>
              <w:t xml:space="preserve">20,859 </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(595)</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tcBorders>
            <w:shd w:fill="CCEEFF" w:val="clear"/>
            <w:tcMar>
              <w:top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tcBorders>
            <w:shd w:fill="CCEEFF" w:val="clear"/>
            <w:tcMar>
              <w:top w:w="28" w:type="dxa"/>
            </w:tcMar>
            <w:vAlign w:val="center"/>
          </w:tcPr>
          <w:p>
            <w:pPr>
              <w:pStyle w:val="TableContents"/>
              <w:bidi w:val="0"/>
              <w:spacing w:before="0" w:after="0"/>
              <w:jc w:val="right"/>
              <w:rPr/>
            </w:pPr>
            <w:r>
              <w:rPr/>
              <w:t> </w:t>
            </w:r>
            <w:r>
              <w:rPr>
                <w:sz w:val="20"/>
              </w:rPr>
              <w:t>(2,215)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15" w:type="dxa"/>
            <w:tcBorders/>
            <w:shd w:fill="CCEEFF" w:val="clear"/>
            <w:vAlign w:val="center"/>
          </w:tcPr>
          <w:p>
            <w:pPr>
              <w:pStyle w:val="TableContents"/>
              <w:bidi w:val="0"/>
              <w:spacing w:before="0" w:after="0"/>
              <w:jc w:val="right"/>
              <w:rPr>
                <w:sz w:val="20"/>
              </w:rPr>
            </w:pPr>
            <w:r>
              <w:rPr>
                <w:sz w:val="20"/>
              </w:rPr>
              <w:t xml:space="preserve">17,382 </w:t>
            </w:r>
          </w:p>
        </w:tc>
      </w:tr>
      <w:tr>
        <w:trPr/>
        <w:tc>
          <w:tcPr>
            <w:tcW w:w="4025" w:type="dxa"/>
            <w:tcBorders/>
            <w:shd w:fill="FFFFFF" w:val="clear"/>
            <w:vAlign w:val="center"/>
          </w:tcPr>
          <w:p>
            <w:pPr>
              <w:pStyle w:val="TableContents"/>
              <w:bidi w:val="0"/>
              <w:spacing w:before="0" w:after="0"/>
              <w:jc w:val="left"/>
              <w:rPr>
                <w:sz w:val="20"/>
              </w:rPr>
            </w:pPr>
            <w:r>
              <w:rPr>
                <w:sz w:val="20"/>
              </w:rPr>
              <w:t>(Benefit) provision for income taxes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49"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 </w:t>
            </w:r>
            <w:r>
              <w:rPr>
                <w:sz w:val="20"/>
              </w:rPr>
              <w:t>(3,441)</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pPr>
            <w:r>
              <w:rPr/>
              <w:t> </w:t>
            </w:r>
            <w:r>
              <w:rPr>
                <w:sz w:val="20"/>
              </w:rPr>
              <w:t xml:space="preserve">7,843 </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pPr>
            <w:r>
              <w:rPr/>
              <w:t> </w:t>
            </w:r>
            <w:r>
              <w:rPr>
                <w:sz w:val="20"/>
              </w:rPr>
              <w:t xml:space="preserve">934 </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sz w:val="20"/>
              </w:rPr>
            </w:pPr>
            <w:r>
              <w:rPr>
                <w:sz w:val="20"/>
              </w:rPr>
              <w:t>(560)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15" w:type="dxa"/>
            <w:tcBorders/>
            <w:shd w:fill="FFFFFF" w:val="clear"/>
            <w:vAlign w:val="center"/>
          </w:tcPr>
          <w:p>
            <w:pPr>
              <w:pStyle w:val="TableContents"/>
              <w:bidi w:val="0"/>
              <w:spacing w:before="0" w:after="0"/>
              <w:jc w:val="right"/>
              <w:rPr/>
            </w:pPr>
            <w:r>
              <w:rPr/>
              <w:t> </w:t>
            </w:r>
            <w:r>
              <w:rPr>
                <w:sz w:val="20"/>
              </w:rPr>
              <w:t xml:space="preserve">4,776 </w:t>
            </w:r>
          </w:p>
        </w:tc>
      </w:tr>
      <w:tr>
        <w:trPr/>
        <w:tc>
          <w:tcPr>
            <w:tcW w:w="4025" w:type="dxa"/>
            <w:tcBorders/>
            <w:shd w:fill="CCEEFF" w:val="clear"/>
            <w:vAlign w:val="center"/>
          </w:tcPr>
          <w:p>
            <w:pPr>
              <w:pStyle w:val="TableContents"/>
              <w:bidi w:val="0"/>
              <w:spacing w:before="0" w:after="0"/>
              <w:jc w:val="left"/>
              <w:rPr>
                <w:sz w:val="20"/>
              </w:rPr>
            </w:pPr>
            <w:r>
              <w:rPr>
                <w:sz w:val="20"/>
              </w:rPr>
              <w:t>Interest expense</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49"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34,443 </w:t>
            </w:r>
          </w:p>
        </w:tc>
        <w:tc>
          <w:tcPr>
            <w:tcW w:w="60" w:type="dxa"/>
            <w:tcBorders/>
            <w:shd w:fill="CCEEFF" w:val="clear"/>
            <w:vAlign w:val="center"/>
          </w:tcPr>
          <w:p>
            <w:pPr>
              <w:pStyle w:val="TableContents"/>
              <w:bidi w:val="0"/>
              <w:spacing w:before="0" w:after="0"/>
              <w:jc w:val="right"/>
              <w:rPr/>
            </w:pPr>
            <w:r>
              <w:rPr/>
              <w:t> </w:t>
            </w:r>
          </w:p>
        </w:tc>
        <w:tc>
          <w:tcPr>
            <w:tcW w:w="133"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28,749 </w:t>
            </w:r>
          </w:p>
        </w:tc>
        <w:tc>
          <w:tcPr>
            <w:tcW w:w="60" w:type="dxa"/>
            <w:tcBorders/>
            <w:shd w:fill="CCEEFF" w:val="clear"/>
            <w:vAlign w:val="center"/>
          </w:tcPr>
          <w:p>
            <w:pPr>
              <w:pStyle w:val="TableContents"/>
              <w:bidi w:val="0"/>
              <w:spacing w:before="0" w:after="0"/>
              <w:jc w:val="right"/>
              <w:rPr/>
            </w:pPr>
            <w:r>
              <w:rPr/>
              <w:t> </w:t>
            </w:r>
          </w:p>
        </w:tc>
        <w:tc>
          <w:tcPr>
            <w:tcW w:w="133"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28,456 </w:t>
            </w:r>
          </w:p>
        </w:tc>
        <w:tc>
          <w:tcPr>
            <w:tcW w:w="60" w:type="dxa"/>
            <w:tcBorders/>
            <w:shd w:fill="CCEEFF" w:val="clear"/>
            <w:vAlign w:val="center"/>
          </w:tcPr>
          <w:p>
            <w:pPr>
              <w:pStyle w:val="TableContents"/>
              <w:bidi w:val="0"/>
              <w:spacing w:before="0" w:after="0"/>
              <w:jc w:val="right"/>
              <w:rPr/>
            </w:pPr>
            <w:r>
              <w:rPr/>
              <w:t> </w:t>
            </w:r>
          </w:p>
        </w:tc>
        <w:tc>
          <w:tcPr>
            <w:tcW w:w="133"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30,475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15"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122,123 </w:t>
            </w:r>
          </w:p>
        </w:tc>
      </w:tr>
      <w:tr>
        <w:trPr/>
        <w:tc>
          <w:tcPr>
            <w:tcW w:w="4025" w:type="dxa"/>
            <w:tcBorders/>
            <w:shd w:fill="FFFFFF" w:val="clear"/>
            <w:vAlign w:val="center"/>
          </w:tcPr>
          <w:p>
            <w:pPr>
              <w:pStyle w:val="TableContents"/>
              <w:bidi w:val="0"/>
              <w:spacing w:before="0" w:after="0"/>
              <w:jc w:val="left"/>
              <w:rPr>
                <w:sz w:val="20"/>
              </w:rPr>
            </w:pPr>
            <w:r>
              <w:rPr>
                <w:sz w:val="20"/>
              </w:rPr>
              <w:t>EBIT (1)</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49"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 </w:t>
            </w:r>
            <w:r>
              <w:rPr>
                <w:sz w:val="20"/>
              </w:rPr>
              <w:t xml:space="preserve">30,335 </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pPr>
            <w:r>
              <w:rPr/>
              <w:t> </w:t>
            </w:r>
            <w:r>
              <w:rPr>
                <w:sz w:val="20"/>
              </w:rPr>
              <w:t xml:space="preserve">57,451 </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pPr>
            <w:r>
              <w:rPr/>
              <w:t> </w:t>
            </w:r>
            <w:r>
              <w:rPr>
                <w:sz w:val="20"/>
              </w:rPr>
              <w:t xml:space="preserve">28,795 </w:t>
            </w:r>
          </w:p>
        </w:tc>
        <w:tc>
          <w:tcPr>
            <w:tcW w:w="60" w:type="dxa"/>
            <w:tcBorders/>
            <w:shd w:fill="FFFFFF" w:val="clear"/>
            <w:vAlign w:val="center"/>
          </w:tcPr>
          <w:p>
            <w:pPr>
              <w:pStyle w:val="TableContents"/>
              <w:bidi w:val="0"/>
              <w:spacing w:before="0" w:after="0"/>
              <w:jc w:val="right"/>
              <w:rPr/>
            </w:pPr>
            <w:r>
              <w:rPr/>
              <w:t> </w:t>
            </w:r>
          </w:p>
        </w:tc>
        <w:tc>
          <w:tcPr>
            <w:tcW w:w="133" w:type="dxa"/>
            <w:tcBorders/>
            <w:shd w:fill="FFFFFF" w:val="clear"/>
            <w:vAlign w:val="center"/>
          </w:tcPr>
          <w:p>
            <w:pPr>
              <w:pStyle w:val="TableContents"/>
              <w:bidi w:val="0"/>
              <w:spacing w:before="0" w:after="0"/>
              <w:jc w:val="left"/>
              <w:rPr/>
            </w:pPr>
            <w:r>
              <w:rPr/>
              <w:t> </w:t>
            </w:r>
          </w:p>
        </w:tc>
        <w:tc>
          <w:tcPr>
            <w:tcW w:w="741" w:type="dxa"/>
            <w:tcBorders/>
            <w:shd w:fill="FFFFFF" w:val="clear"/>
            <w:vAlign w:val="center"/>
          </w:tcPr>
          <w:p>
            <w:pPr>
              <w:pStyle w:val="TableContents"/>
              <w:bidi w:val="0"/>
              <w:spacing w:before="0" w:after="0"/>
              <w:jc w:val="right"/>
              <w:rPr/>
            </w:pPr>
            <w:r>
              <w:rPr/>
              <w:t> </w:t>
            </w:r>
            <w:r>
              <w:rPr>
                <w:sz w:val="20"/>
              </w:rPr>
              <w:t xml:space="preserve">27,700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15" w:type="dxa"/>
            <w:tcBorders/>
            <w:shd w:fill="FFFFFF" w:val="clear"/>
            <w:vAlign w:val="center"/>
          </w:tcPr>
          <w:p>
            <w:pPr>
              <w:pStyle w:val="TableContents"/>
              <w:bidi w:val="0"/>
              <w:spacing w:before="0" w:after="0"/>
              <w:jc w:val="right"/>
              <w:rPr/>
            </w:pPr>
            <w:r>
              <w:rPr/>
              <w:t> </w:t>
            </w:r>
            <w:r>
              <w:rPr>
                <w:sz w:val="20"/>
              </w:rPr>
              <w:t xml:space="preserve">144,281 </w:t>
            </w:r>
          </w:p>
        </w:tc>
      </w:tr>
      <w:tr>
        <w:trPr/>
        <w:tc>
          <w:tcPr>
            <w:tcW w:w="4025" w:type="dxa"/>
            <w:tcBorders/>
            <w:shd w:fill="CCEEFF" w:val="clear"/>
            <w:vAlign w:val="center"/>
          </w:tcPr>
          <w:p>
            <w:pPr>
              <w:pStyle w:val="TableContents"/>
              <w:bidi w:val="0"/>
              <w:spacing w:before="0" w:after="0"/>
              <w:jc w:val="left"/>
              <w:rPr>
                <w:sz w:val="20"/>
              </w:rPr>
            </w:pPr>
            <w:r>
              <w:rPr>
                <w:sz w:val="20"/>
              </w:rPr>
              <w:t>Inventory impairments and land option write-offs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49"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 </w:t>
            </w:r>
            <w:r>
              <w:rPr>
                <w:sz w:val="20"/>
              </w:rPr>
              <w:t xml:space="preserve">19,430 </w:t>
            </w:r>
          </w:p>
        </w:tc>
        <w:tc>
          <w:tcPr>
            <w:tcW w:w="60" w:type="dxa"/>
            <w:tcBorders/>
            <w:shd w:fill="CCEEFF" w:val="clear"/>
            <w:vAlign w:val="center"/>
          </w:tcPr>
          <w:p>
            <w:pPr>
              <w:pStyle w:val="TableContents"/>
              <w:bidi w:val="0"/>
              <w:spacing w:before="0" w:after="0"/>
              <w:jc w:val="right"/>
              <w:rPr/>
            </w:pPr>
            <w:r>
              <w:rPr/>
              <w:t> </w:t>
            </w:r>
          </w:p>
        </w:tc>
        <w:tc>
          <w:tcPr>
            <w:tcW w:w="133" w:type="dxa"/>
            <w:tcBorders/>
            <w:shd w:fill="CCEEFF" w:val="clear"/>
            <w:vAlign w:val="center"/>
          </w:tcPr>
          <w:p>
            <w:pPr>
              <w:pStyle w:val="TableContents"/>
              <w:bidi w:val="0"/>
              <w:spacing w:before="0" w:after="0"/>
              <w:jc w:val="left"/>
              <w:rPr/>
            </w:pPr>
            <w:r>
              <w:rPr/>
              <w:t> </w:t>
            </w:r>
          </w:p>
        </w:tc>
        <w:tc>
          <w:tcPr>
            <w:tcW w:w="741" w:type="dxa"/>
            <w:tcBorders/>
            <w:shd w:fill="CCEEFF" w:val="clear"/>
            <w:vAlign w:val="center"/>
          </w:tcPr>
          <w:p>
            <w:pPr>
              <w:pStyle w:val="TableContents"/>
              <w:bidi w:val="0"/>
              <w:spacing w:before="0" w:after="0"/>
              <w:jc w:val="right"/>
              <w:rPr/>
            </w:pPr>
            <w:r>
              <w:rPr/>
              <w:t> </w:t>
            </w:r>
            <w:r>
              <w:rPr>
                <w:sz w:val="20"/>
              </w:rPr>
              <w:t xml:space="preserve">2,359 </w:t>
            </w:r>
          </w:p>
        </w:tc>
        <w:tc>
          <w:tcPr>
            <w:tcW w:w="60" w:type="dxa"/>
            <w:tcBorders/>
            <w:shd w:fill="CCEEFF" w:val="clear"/>
            <w:vAlign w:val="center"/>
          </w:tcPr>
          <w:p>
            <w:pPr>
              <w:pStyle w:val="TableContents"/>
              <w:bidi w:val="0"/>
              <w:spacing w:before="0" w:after="0"/>
              <w:jc w:val="right"/>
              <w:rPr/>
            </w:pPr>
            <w:r>
              <w:rPr/>
              <w:t> </w:t>
            </w:r>
          </w:p>
        </w:tc>
        <w:tc>
          <w:tcPr>
            <w:tcW w:w="133" w:type="dxa"/>
            <w:tcBorders/>
            <w:shd w:fill="CCEEFF" w:val="clear"/>
            <w:vAlign w:val="center"/>
          </w:tcPr>
          <w:p>
            <w:pPr>
              <w:pStyle w:val="TableContents"/>
              <w:bidi w:val="0"/>
              <w:spacing w:before="0" w:after="0"/>
              <w:jc w:val="left"/>
              <w:rPr/>
            </w:pPr>
            <w:r>
              <w:rPr/>
              <w:t> </w:t>
            </w:r>
          </w:p>
        </w:tc>
        <w:tc>
          <w:tcPr>
            <w:tcW w:w="741" w:type="dxa"/>
            <w:tcBorders/>
            <w:shd w:fill="CCEEFF" w:val="clear"/>
            <w:vAlign w:val="center"/>
          </w:tcPr>
          <w:p>
            <w:pPr>
              <w:pStyle w:val="TableContents"/>
              <w:bidi w:val="0"/>
              <w:spacing w:before="0" w:after="0"/>
              <w:jc w:val="right"/>
              <w:rPr/>
            </w:pPr>
            <w:r>
              <w:rPr/>
              <w:t> </w:t>
            </w:r>
            <w:r>
              <w:rPr>
                <w:sz w:val="20"/>
              </w:rPr>
              <w:t xml:space="preserve">8,750 </w:t>
            </w:r>
          </w:p>
        </w:tc>
        <w:tc>
          <w:tcPr>
            <w:tcW w:w="60" w:type="dxa"/>
            <w:tcBorders/>
            <w:shd w:fill="CCEEFF" w:val="clear"/>
            <w:vAlign w:val="center"/>
          </w:tcPr>
          <w:p>
            <w:pPr>
              <w:pStyle w:val="TableContents"/>
              <w:bidi w:val="0"/>
              <w:spacing w:before="0" w:after="0"/>
              <w:jc w:val="right"/>
              <w:rPr/>
            </w:pPr>
            <w:r>
              <w:rPr/>
              <w:t> </w:t>
            </w:r>
          </w:p>
        </w:tc>
        <w:tc>
          <w:tcPr>
            <w:tcW w:w="133" w:type="dxa"/>
            <w:tcBorders/>
            <w:shd w:fill="CCEEFF" w:val="clear"/>
            <w:vAlign w:val="center"/>
          </w:tcPr>
          <w:p>
            <w:pPr>
              <w:pStyle w:val="TableContents"/>
              <w:bidi w:val="0"/>
              <w:spacing w:before="0" w:after="0"/>
              <w:jc w:val="left"/>
              <w:rPr/>
            </w:pPr>
            <w:r>
              <w:rPr/>
              <w:t> </w:t>
            </w:r>
          </w:p>
        </w:tc>
        <w:tc>
          <w:tcPr>
            <w:tcW w:w="741" w:type="dxa"/>
            <w:tcBorders/>
            <w:shd w:fill="CCEEFF" w:val="clear"/>
            <w:vAlign w:val="center"/>
          </w:tcPr>
          <w:p>
            <w:pPr>
              <w:pStyle w:val="TableContents"/>
              <w:bidi w:val="0"/>
              <w:spacing w:before="0" w:after="0"/>
              <w:jc w:val="right"/>
              <w:rPr/>
            </w:pPr>
            <w:r>
              <w:rPr/>
              <w:t> </w:t>
            </w:r>
            <w:r>
              <w:rPr>
                <w:sz w:val="20"/>
              </w:rPr>
              <w:t xml:space="preserve">493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right"/>
              <w:rPr/>
            </w:pPr>
            <w:r>
              <w:rPr/>
              <w:t> </w:t>
            </w:r>
            <w:r>
              <w:rPr>
                <w:sz w:val="20"/>
              </w:rPr>
              <w:t xml:space="preserve">31,032 </w:t>
            </w:r>
          </w:p>
        </w:tc>
      </w:tr>
      <w:tr>
        <w:trPr/>
        <w:tc>
          <w:tcPr>
            <w:tcW w:w="4025" w:type="dxa"/>
            <w:tcBorders/>
            <w:shd w:fill="FFFFFF" w:val="clear"/>
            <w:vAlign w:val="center"/>
          </w:tcPr>
          <w:p>
            <w:pPr>
              <w:pStyle w:val="TableContents"/>
              <w:bidi w:val="0"/>
              <w:spacing w:before="0" w:after="0"/>
              <w:jc w:val="left"/>
              <w:rPr>
                <w:sz w:val="20"/>
              </w:rPr>
            </w:pPr>
            <w:r>
              <w:rPr>
                <w:sz w:val="20"/>
              </w:rPr>
              <w:t>Loss on extinguishment of debt, net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49"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830"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33,512 </w:t>
            </w:r>
          </w:p>
        </w:tc>
        <w:tc>
          <w:tcPr>
            <w:tcW w:w="60" w:type="dxa"/>
            <w:tcBorders/>
            <w:shd w:fill="FFFFFF" w:val="clear"/>
            <w:vAlign w:val="center"/>
          </w:tcPr>
          <w:p>
            <w:pPr>
              <w:pStyle w:val="TableContents"/>
              <w:bidi w:val="0"/>
              <w:spacing w:before="0" w:after="0"/>
              <w:jc w:val="right"/>
              <w:rPr/>
            </w:pPr>
            <w:r>
              <w:rPr/>
              <w:t> </w:t>
            </w:r>
          </w:p>
        </w:tc>
        <w:tc>
          <w:tcPr>
            <w:tcW w:w="133"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33"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33"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741"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81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r>
              <w:rPr>
                <w:sz w:val="20"/>
              </w:rPr>
              <w:t xml:space="preserve">33,512 </w:t>
            </w:r>
          </w:p>
        </w:tc>
      </w:tr>
      <w:tr>
        <w:trPr/>
        <w:tc>
          <w:tcPr>
            <w:tcW w:w="4025" w:type="dxa"/>
            <w:tcBorders/>
            <w:shd w:fill="CCEEFF" w:val="clear"/>
            <w:vAlign w:val="center"/>
          </w:tcPr>
          <w:p>
            <w:pPr>
              <w:pStyle w:val="TableContents"/>
              <w:bidi w:val="0"/>
              <w:spacing w:before="0" w:after="0"/>
              <w:jc w:val="left"/>
              <w:rPr>
                <w:sz w:val="20"/>
              </w:rPr>
            </w:pPr>
            <w:r>
              <w:rPr>
                <w:sz w:val="20"/>
              </w:rPr>
              <w:t>Adjusted EBIT (2)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49"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30"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83,277 </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59,810 </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37,545 </w:t>
            </w:r>
          </w:p>
        </w:tc>
        <w:tc>
          <w:tcPr>
            <w:tcW w:w="60" w:type="dxa"/>
            <w:tcBorders/>
            <w:shd w:fill="CCEEFF" w:val="clear"/>
            <w:vAlign w:val="center"/>
          </w:tcPr>
          <w:p>
            <w:pPr>
              <w:pStyle w:val="TableContents"/>
              <w:bidi w:val="0"/>
              <w:spacing w:before="0" w:after="0"/>
              <w:jc w:val="right"/>
              <w:rPr/>
            </w:pPr>
            <w:r>
              <w:rPr/>
              <w:t> </w:t>
            </w:r>
          </w:p>
        </w:tc>
        <w:tc>
          <w:tcPr>
            <w:tcW w:w="133"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741"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28,193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81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208,825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4"/>
        <w:gridCol w:w="60"/>
        <w:gridCol w:w="125"/>
        <w:gridCol w:w="872"/>
        <w:gridCol w:w="60"/>
        <w:gridCol w:w="125"/>
        <w:gridCol w:w="872"/>
        <w:gridCol w:w="60"/>
        <w:gridCol w:w="125"/>
        <w:gridCol w:w="872"/>
        <w:gridCol w:w="60"/>
        <w:gridCol w:w="125"/>
        <w:gridCol w:w="872"/>
        <w:gridCol w:w="60"/>
        <w:gridCol w:w="125"/>
        <w:gridCol w:w="872"/>
        <w:gridCol w:w="60"/>
        <w:gridCol w:w="125"/>
        <w:gridCol w:w="861"/>
      </w:tblGrid>
      <w:tr>
        <w:trPr/>
        <w:tc>
          <w:tcPr>
            <w:tcW w:w="3874"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center"/>
              <w:rPr/>
            </w:pPr>
            <w:r>
              <w:rPr/>
              <w:t> </w:t>
            </w:r>
          </w:p>
        </w:tc>
        <w:tc>
          <w:tcPr>
            <w:tcW w:w="5225" w:type="dxa"/>
            <w:gridSpan w:val="14"/>
            <w:tcBorders>
              <w:bottom w:val="single" w:sz="6" w:space="0" w:color="000000"/>
            </w:tcBorders>
            <w:tcMar>
              <w:bottom w:w="28" w:type="dxa"/>
            </w:tcMar>
            <w:vAlign w:val="center"/>
          </w:tcPr>
          <w:p>
            <w:pPr>
              <w:pStyle w:val="TableContents"/>
              <w:bidi w:val="0"/>
              <w:spacing w:before="0" w:after="0"/>
              <w:jc w:val="center"/>
              <w:rPr>
                <w:sz w:val="20"/>
              </w:rPr>
            </w:pPr>
            <w:r>
              <w:rPr>
                <w:sz w:val="20"/>
              </w:rPr>
              <w:t>As of</w:t>
            </w:r>
          </w:p>
        </w:tc>
        <w:tc>
          <w:tcPr>
            <w:tcW w:w="6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0"/>
              <w:jc w:val="right"/>
              <w:rPr/>
            </w:pPr>
            <w:r>
              <w:rPr/>
              <w:t> </w:t>
            </w:r>
          </w:p>
        </w:tc>
        <w:tc>
          <w:tcPr>
            <w:tcW w:w="861" w:type="dxa"/>
            <w:tcBorders/>
            <w:vAlign w:val="center"/>
          </w:tcPr>
          <w:p>
            <w:pPr>
              <w:pStyle w:val="TableContents"/>
              <w:bidi w:val="0"/>
              <w:spacing w:before="0" w:after="0"/>
              <w:jc w:val="right"/>
              <w:rPr/>
            </w:pPr>
            <w:r>
              <w:rPr/>
              <w:t> </w:t>
            </w:r>
          </w:p>
        </w:tc>
      </w:tr>
      <w:tr>
        <w:trPr/>
        <w:tc>
          <w:tcPr>
            <w:tcW w:w="38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7"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7/31/2025</w:t>
            </w:r>
          </w:p>
        </w:tc>
        <w:tc>
          <w:tcPr>
            <w:tcW w:w="60" w:type="dxa"/>
            <w:tcBorders/>
            <w:vAlign w:val="center"/>
          </w:tcPr>
          <w:p>
            <w:pPr>
              <w:pStyle w:val="TableContents"/>
              <w:bidi w:val="0"/>
              <w:spacing w:before="0" w:after="0"/>
              <w:jc w:val="center"/>
              <w:rPr/>
            </w:pPr>
            <w:r>
              <w:rPr/>
              <w:t> </w:t>
            </w:r>
          </w:p>
        </w:tc>
        <w:tc>
          <w:tcPr>
            <w:tcW w:w="997"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10/31/2025</w:t>
            </w:r>
          </w:p>
        </w:tc>
        <w:tc>
          <w:tcPr>
            <w:tcW w:w="60" w:type="dxa"/>
            <w:tcBorders/>
            <w:vAlign w:val="center"/>
          </w:tcPr>
          <w:p>
            <w:pPr>
              <w:pStyle w:val="TableContents"/>
              <w:bidi w:val="0"/>
              <w:spacing w:before="0" w:after="0"/>
              <w:jc w:val="center"/>
              <w:rPr/>
            </w:pPr>
            <w:r>
              <w:rPr/>
              <w:t> </w:t>
            </w:r>
          </w:p>
        </w:tc>
        <w:tc>
          <w:tcPr>
            <w:tcW w:w="997"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1/31/2026</w:t>
            </w:r>
          </w:p>
        </w:tc>
        <w:tc>
          <w:tcPr>
            <w:tcW w:w="60" w:type="dxa"/>
            <w:tcBorders/>
            <w:vAlign w:val="center"/>
          </w:tcPr>
          <w:p>
            <w:pPr>
              <w:pStyle w:val="TableContents"/>
              <w:bidi w:val="0"/>
              <w:spacing w:before="0" w:after="0"/>
              <w:jc w:val="center"/>
              <w:rPr/>
            </w:pPr>
            <w:r>
              <w:rPr/>
              <w:t> </w:t>
            </w:r>
          </w:p>
        </w:tc>
        <w:tc>
          <w:tcPr>
            <w:tcW w:w="997" w:type="dxa"/>
            <w:gridSpan w:val="2"/>
            <w:tcBorders>
              <w:bottom w:val="single" w:sz="6" w:space="0" w:color="000000"/>
            </w:tcBorders>
            <w:tcMar>
              <w:bottom w:w="28" w:type="dxa"/>
            </w:tcMar>
            <w:vAlign w:val="center"/>
          </w:tcPr>
          <w:p>
            <w:pPr>
              <w:pStyle w:val="TableContents"/>
              <w:bidi w:val="0"/>
              <w:spacing w:before="0" w:after="0"/>
              <w:jc w:val="center"/>
              <w:rPr>
                <w:sz w:val="20"/>
              </w:rPr>
            </w:pPr>
            <w:r>
              <w:rPr>
                <w:sz w:val="20"/>
              </w:rPr>
              <w:t>4/30/2026</w:t>
            </w:r>
          </w:p>
        </w:tc>
        <w:tc>
          <w:tcPr>
            <w:tcW w:w="60" w:type="dxa"/>
            <w:tcBorders/>
            <w:vAlign w:val="center"/>
          </w:tcPr>
          <w:p>
            <w:pPr>
              <w:pStyle w:val="TableContents"/>
              <w:bidi w:val="0"/>
              <w:spacing w:before="0" w:after="0"/>
              <w:jc w:val="center"/>
              <w:rPr/>
            </w:pPr>
            <w:r>
              <w:rPr/>
              <w:t> </w:t>
            </w:r>
          </w:p>
        </w:tc>
        <w:tc>
          <w:tcPr>
            <w:tcW w:w="125" w:type="dxa"/>
            <w:tcBorders>
              <w:bottom w:val="single" w:sz="6" w:space="0" w:color="000000"/>
            </w:tcBorders>
            <w:tcMar>
              <w:bottom w:w="28" w:type="dxa"/>
            </w:tcMar>
            <w:vAlign w:val="center"/>
          </w:tcPr>
          <w:p>
            <w:pPr>
              <w:pStyle w:val="TableContents"/>
              <w:bidi w:val="0"/>
              <w:spacing w:before="0" w:after="0"/>
              <w:jc w:val="center"/>
              <w:rPr/>
            </w:pPr>
            <w:r>
              <w:rPr/>
              <w:t> </w:t>
            </w:r>
          </w:p>
        </w:tc>
        <w:tc>
          <w:tcPr>
            <w:tcW w:w="872" w:type="dxa"/>
            <w:tcBorders>
              <w:bottom w:val="single" w:sz="6" w:space="0" w:color="000000"/>
            </w:tcBorders>
            <w:tcMar>
              <w:bottom w:w="28" w:type="dxa"/>
            </w:tcMar>
            <w:vAlign w:val="center"/>
          </w:tcPr>
          <w:p>
            <w:pPr>
              <w:pStyle w:val="TableContents"/>
              <w:bidi w:val="0"/>
              <w:spacing w:before="0" w:after="0"/>
              <w:jc w:val="center"/>
              <w:rPr>
                <w:sz w:val="20"/>
              </w:rPr>
            </w:pPr>
            <w:r>
              <w:rPr>
                <w:sz w:val="20"/>
              </w:rPr>
              <w:t>7/31/2026</w:t>
            </w:r>
          </w:p>
        </w:tc>
        <w:tc>
          <w:tcPr>
            <w:tcW w:w="6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0"/>
              <w:jc w:val="right"/>
              <w:rPr/>
            </w:pPr>
            <w:r>
              <w:rPr/>
              <w:t> </w:t>
            </w:r>
          </w:p>
        </w:tc>
        <w:tc>
          <w:tcPr>
            <w:tcW w:w="861" w:type="dxa"/>
            <w:tcBorders/>
            <w:vAlign w:val="center"/>
          </w:tcPr>
          <w:p>
            <w:pPr>
              <w:pStyle w:val="TableContents"/>
              <w:bidi w:val="0"/>
              <w:spacing w:before="0" w:after="0"/>
              <w:jc w:val="right"/>
              <w:rPr/>
            </w:pPr>
            <w:r>
              <w:rPr/>
              <w:t> </w:t>
            </w:r>
          </w:p>
        </w:tc>
      </w:tr>
      <w:tr>
        <w:trPr/>
        <w:tc>
          <w:tcPr>
            <w:tcW w:w="3874" w:type="dxa"/>
            <w:tcBorders/>
            <w:shd w:fill="CCEEFF" w:val="clear"/>
            <w:vAlign w:val="center"/>
          </w:tcPr>
          <w:p>
            <w:pPr>
              <w:pStyle w:val="TableContents"/>
              <w:bidi w:val="0"/>
              <w:spacing w:before="0" w:after="0"/>
              <w:jc w:val="left"/>
              <w:rPr>
                <w:sz w:val="20"/>
              </w:rPr>
            </w:pPr>
            <w:r>
              <w:rPr>
                <w:sz w:val="20"/>
              </w:rPr>
              <w:t>Total inventories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72" w:type="dxa"/>
            <w:tcBorders/>
            <w:shd w:fill="CCEEFF" w:val="clear"/>
            <w:vAlign w:val="center"/>
          </w:tcPr>
          <w:p>
            <w:pPr>
              <w:pStyle w:val="TableContents"/>
              <w:bidi w:val="0"/>
              <w:spacing w:before="0" w:after="0"/>
              <w:jc w:val="right"/>
              <w:rPr>
                <w:sz w:val="20"/>
              </w:rPr>
            </w:pPr>
            <w:r>
              <w:rPr>
                <w:sz w:val="20"/>
              </w:rPr>
              <w:t xml:space="preserve">1,692,932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72" w:type="dxa"/>
            <w:tcBorders/>
            <w:shd w:fill="CCEEFF" w:val="clear"/>
            <w:vAlign w:val="center"/>
          </w:tcPr>
          <w:p>
            <w:pPr>
              <w:pStyle w:val="TableContents"/>
              <w:bidi w:val="0"/>
              <w:spacing w:before="0" w:after="0"/>
              <w:jc w:val="right"/>
              <w:rPr>
                <w:sz w:val="20"/>
              </w:rPr>
            </w:pPr>
            <w:r>
              <w:rPr>
                <w:sz w:val="20"/>
              </w:rPr>
              <w:t xml:space="preserve">1,637,470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72" w:type="dxa"/>
            <w:tcBorders/>
            <w:shd w:fill="CCEEFF" w:val="clear"/>
            <w:vAlign w:val="center"/>
          </w:tcPr>
          <w:p>
            <w:pPr>
              <w:pStyle w:val="TableContents"/>
              <w:bidi w:val="0"/>
              <w:spacing w:before="0" w:after="0"/>
              <w:jc w:val="right"/>
              <w:rPr>
                <w:sz w:val="20"/>
              </w:rPr>
            </w:pPr>
            <w:r>
              <w:rPr>
                <w:sz w:val="20"/>
              </w:rPr>
              <w:t xml:space="preserve">1,647,970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72" w:type="dxa"/>
            <w:tcBorders/>
            <w:shd w:fill="CCEEFF" w:val="clear"/>
            <w:vAlign w:val="center"/>
          </w:tcPr>
          <w:p>
            <w:pPr>
              <w:pStyle w:val="TableContents"/>
              <w:bidi w:val="0"/>
              <w:spacing w:before="0" w:after="0"/>
              <w:jc w:val="right"/>
              <w:rPr>
                <w:sz w:val="20"/>
              </w:rPr>
            </w:pPr>
            <w:r>
              <w:rPr>
                <w:sz w:val="20"/>
              </w:rPr>
              <w:t xml:space="preserve">1,723,587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872" w:type="dxa"/>
            <w:tcBorders/>
            <w:shd w:fill="CCEEFF" w:val="clear"/>
            <w:vAlign w:val="center"/>
          </w:tcPr>
          <w:p>
            <w:pPr>
              <w:pStyle w:val="TableContents"/>
              <w:bidi w:val="0"/>
              <w:spacing w:before="0" w:after="0"/>
              <w:jc w:val="right"/>
              <w:rPr>
                <w:sz w:val="20"/>
              </w:rPr>
            </w:pPr>
            <w:r>
              <w:rPr>
                <w:sz w:val="20"/>
              </w:rPr>
              <w:t xml:space="preserve">1,794,444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861" w:type="dxa"/>
            <w:tcBorders/>
            <w:shd w:fill="CCEEFF" w:val="clear"/>
            <w:vAlign w:val="center"/>
          </w:tcPr>
          <w:p>
            <w:pPr>
              <w:pStyle w:val="TableContents"/>
              <w:bidi w:val="0"/>
              <w:spacing w:before="0" w:after="0"/>
              <w:jc w:val="right"/>
              <w:rPr/>
            </w:pPr>
            <w:r>
              <w:rPr/>
              <w:t> </w:t>
            </w:r>
          </w:p>
        </w:tc>
      </w:tr>
      <w:tr>
        <w:trPr/>
        <w:tc>
          <w:tcPr>
            <w:tcW w:w="3874" w:type="dxa"/>
            <w:tcBorders/>
            <w:shd w:fill="FFFFFF" w:val="clear"/>
            <w:vAlign w:val="center"/>
          </w:tcPr>
          <w:p>
            <w:pPr>
              <w:pStyle w:val="TableContents"/>
              <w:bidi w:val="0"/>
              <w:spacing w:before="0" w:after="0"/>
              <w:jc w:val="left"/>
              <w:rPr>
                <w:sz w:val="20"/>
              </w:rPr>
            </w:pPr>
            <w:r>
              <w:rPr>
                <w:sz w:val="20"/>
              </w:rPr>
              <w:t>Less Liabilities from inventory not owned, net of debt issuance costs</w:t>
            </w:r>
          </w:p>
        </w:tc>
        <w:tc>
          <w:tcPr>
            <w:tcW w:w="60" w:type="dxa"/>
            <w:tcBorders/>
            <w:shd w:fill="FFFFFF" w:val="clear"/>
            <w:vAlign w:val="center"/>
          </w:tcPr>
          <w:p>
            <w:pPr>
              <w:pStyle w:val="TableContents"/>
              <w:bidi w:val="0"/>
              <w:spacing w:before="0" w:after="0"/>
              <w:ind w:left="157" w:right="0" w:hanging="157"/>
              <w:jc w:val="lef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sz w:val="20"/>
              </w:rPr>
            </w:pPr>
            <w:r>
              <w:rPr>
                <w:sz w:val="20"/>
              </w:rPr>
              <w:t>(236,644)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sz w:val="20"/>
              </w:rPr>
            </w:pPr>
            <w:r>
              <w:rPr>
                <w:sz w:val="20"/>
              </w:rPr>
              <w:t>(244,723)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sz w:val="20"/>
              </w:rPr>
            </w:pPr>
            <w:r>
              <w:rPr>
                <w:sz w:val="20"/>
              </w:rPr>
              <w:t>(235,945)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sz w:val="20"/>
              </w:rPr>
            </w:pPr>
            <w:r>
              <w:rPr>
                <w:sz w:val="20"/>
              </w:rPr>
              <w:t>(253,441)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sz w:val="20"/>
              </w:rPr>
            </w:pPr>
            <w:r>
              <w:rPr>
                <w:sz w:val="20"/>
              </w:rPr>
              <w:t>(228,622)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861" w:type="dxa"/>
            <w:tcBorders/>
            <w:shd w:fill="FFFFFF" w:val="clear"/>
            <w:vAlign w:val="center"/>
          </w:tcPr>
          <w:p>
            <w:pPr>
              <w:pStyle w:val="TableContents"/>
              <w:bidi w:val="0"/>
              <w:spacing w:before="0" w:after="0"/>
              <w:jc w:val="right"/>
              <w:rPr/>
            </w:pPr>
            <w:r>
              <w:rPr/>
              <w:t> </w:t>
            </w:r>
          </w:p>
        </w:tc>
      </w:tr>
      <w:tr>
        <w:trPr/>
        <w:tc>
          <w:tcPr>
            <w:tcW w:w="3874" w:type="dxa"/>
            <w:tcBorders/>
            <w:shd w:fill="CCEEFF" w:val="clear"/>
            <w:vAlign w:val="center"/>
          </w:tcPr>
          <w:p>
            <w:pPr>
              <w:pStyle w:val="TableContents"/>
              <w:bidi w:val="0"/>
              <w:spacing w:before="0" w:after="0"/>
              <w:jc w:val="left"/>
              <w:rPr>
                <w:sz w:val="20"/>
              </w:rPr>
            </w:pPr>
            <w:r>
              <w:rPr>
                <w:sz w:val="20"/>
              </w:rPr>
              <w:t>Less Interest capitalized at end of period</w:t>
            </w:r>
          </w:p>
        </w:tc>
        <w:tc>
          <w:tcPr>
            <w:tcW w:w="60" w:type="dxa"/>
            <w:tcBorders/>
            <w:shd w:fill="CCEEFF" w:val="clear"/>
            <w:vAlign w:val="center"/>
          </w:tcPr>
          <w:p>
            <w:pPr>
              <w:pStyle w:val="TableContents"/>
              <w:bidi w:val="0"/>
              <w:spacing w:before="0" w:after="0"/>
              <w:ind w:left="157" w:right="0" w:hanging="157"/>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right"/>
              <w:rPr/>
            </w:pPr>
            <w:r>
              <w:rPr/>
              <w:t> </w:t>
            </w:r>
            <w:r>
              <w:rPr>
                <w:sz w:val="20"/>
              </w:rPr>
              <w:t>(48,139)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right"/>
              <w:rPr/>
            </w:pPr>
            <w:r>
              <w:rPr/>
              <w:t> </w:t>
            </w:r>
            <w:r>
              <w:rPr>
                <w:sz w:val="20"/>
              </w:rPr>
              <w:t>(43,263)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right"/>
              <w:rPr/>
            </w:pPr>
            <w:r>
              <w:rPr/>
              <w:t> </w:t>
            </w:r>
            <w:r>
              <w:rPr>
                <w:sz w:val="20"/>
              </w:rPr>
              <w:t>(43,397)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right"/>
              <w:rPr/>
            </w:pPr>
            <w:r>
              <w:rPr/>
              <w:t> </w:t>
            </w:r>
            <w:r>
              <w:rPr>
                <w:sz w:val="20"/>
              </w:rPr>
              <w:t>(46,736)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right"/>
              <w:rPr/>
            </w:pPr>
            <w:r>
              <w:rPr/>
              <w:t> </w:t>
            </w:r>
            <w:r>
              <w:rPr>
                <w:sz w:val="20"/>
              </w:rPr>
              <w:t>(46,483)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center"/>
              <w:rPr/>
            </w:pPr>
            <w:r>
              <w:rPr/>
              <w:t> </w:t>
            </w:r>
          </w:p>
        </w:tc>
        <w:tc>
          <w:tcPr>
            <w:tcW w:w="861" w:type="dxa"/>
            <w:tcBorders/>
            <w:shd w:fill="CCEEFF" w:val="clear"/>
            <w:vAlign w:val="center"/>
          </w:tcPr>
          <w:p>
            <w:pPr>
              <w:pStyle w:val="TableContents"/>
              <w:bidi w:val="0"/>
              <w:spacing w:before="0" w:after="0"/>
              <w:jc w:val="center"/>
              <w:rPr/>
            </w:pPr>
            <w:r>
              <w:rPr/>
              <w:t> </w:t>
            </w:r>
          </w:p>
        </w:tc>
      </w:tr>
      <w:tr>
        <w:trPr/>
        <w:tc>
          <w:tcPr>
            <w:tcW w:w="3874" w:type="dxa"/>
            <w:tcBorders/>
            <w:shd w:fill="FFFFFF" w:val="clear"/>
            <w:vAlign w:val="center"/>
          </w:tcPr>
          <w:p>
            <w:pPr>
              <w:pStyle w:val="TableContents"/>
              <w:bidi w:val="0"/>
              <w:spacing w:before="0" w:after="0"/>
              <w:jc w:val="left"/>
              <w:rPr>
                <w:sz w:val="20"/>
              </w:rPr>
            </w:pPr>
            <w:r>
              <w:rPr>
                <w:sz w:val="20"/>
              </w:rPr>
              <w:t>Plus Investments in and advances to unconsolidated joint ventures</w:t>
            </w:r>
          </w:p>
        </w:tc>
        <w:tc>
          <w:tcPr>
            <w:tcW w:w="60" w:type="dxa"/>
            <w:tcBorders/>
            <w:shd w:fill="FFFFFF" w:val="clear"/>
            <w:vAlign w:val="center"/>
          </w:tcPr>
          <w:p>
            <w:pPr>
              <w:pStyle w:val="TableContents"/>
              <w:bidi w:val="0"/>
              <w:spacing w:before="0" w:after="0"/>
              <w:ind w:left="157" w:right="0" w:hanging="157"/>
              <w:jc w:val="lef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pPr>
            <w:r>
              <w:rPr/>
              <w:t> </w:t>
            </w:r>
            <w:r>
              <w:rPr>
                <w:sz w:val="20"/>
              </w:rPr>
              <w:t xml:space="preserve">218,356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pPr>
            <w:r>
              <w:rPr/>
              <w:t> </w:t>
            </w:r>
            <w:r>
              <w:rPr>
                <w:sz w:val="20"/>
              </w:rPr>
              <w:t xml:space="preserve">163,469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pPr>
            <w:r>
              <w:rPr/>
              <w:t> </w:t>
            </w:r>
            <w:r>
              <w:rPr>
                <w:sz w:val="20"/>
              </w:rPr>
              <w:t xml:space="preserve">146,631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pPr>
            <w:r>
              <w:rPr/>
              <w:t> </w:t>
            </w:r>
            <w:r>
              <w:rPr>
                <w:sz w:val="20"/>
              </w:rPr>
              <w:t xml:space="preserve">148,480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872" w:type="dxa"/>
            <w:tcBorders/>
            <w:shd w:fill="FFFFFF" w:val="clear"/>
            <w:vAlign w:val="center"/>
          </w:tcPr>
          <w:p>
            <w:pPr>
              <w:pStyle w:val="TableContents"/>
              <w:bidi w:val="0"/>
              <w:spacing w:before="0" w:after="0"/>
              <w:jc w:val="right"/>
              <w:rPr/>
            </w:pPr>
            <w:r>
              <w:rPr/>
              <w:t> </w:t>
            </w:r>
            <w:r>
              <w:rPr>
                <w:sz w:val="20"/>
              </w:rPr>
              <w:t xml:space="preserve">155,086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center"/>
              <w:rPr/>
            </w:pPr>
            <w:r>
              <w:rPr/>
              <w:t> </w:t>
            </w:r>
          </w:p>
        </w:tc>
        <w:tc>
          <w:tcPr>
            <w:tcW w:w="861" w:type="dxa"/>
            <w:tcBorders/>
            <w:shd w:fill="FFFFFF" w:val="clear"/>
            <w:vAlign w:val="center"/>
          </w:tcPr>
          <w:p>
            <w:pPr>
              <w:pStyle w:val="TableContents"/>
              <w:bidi w:val="0"/>
              <w:spacing w:before="0" w:after="0"/>
              <w:jc w:val="center"/>
              <w:rPr>
                <w:b/>
                <w:sz w:val="20"/>
              </w:rPr>
            </w:pPr>
            <w:r>
              <w:rPr>
                <w:b/>
                <w:sz w:val="20"/>
              </w:rPr>
              <w:t>Five</w:t>
            </w:r>
          </w:p>
          <w:p>
            <w:pPr>
              <w:pStyle w:val="TableContents"/>
              <w:bidi w:val="0"/>
              <w:spacing w:before="0" w:after="0"/>
              <w:jc w:val="center"/>
              <w:rPr>
                <w:b/>
                <w:sz w:val="20"/>
              </w:rPr>
            </w:pPr>
            <w:r>
              <w:rPr>
                <w:b/>
                <w:sz w:val="20"/>
              </w:rPr>
              <w:t>Quarter</w:t>
            </w:r>
          </w:p>
        </w:tc>
      </w:tr>
      <w:tr>
        <w:trPr/>
        <w:tc>
          <w:tcPr>
            <w:tcW w:w="3874" w:type="dxa"/>
            <w:tcBorders/>
            <w:shd w:fill="CCEEFF" w:val="clear"/>
            <w:vAlign w:val="center"/>
          </w:tcPr>
          <w:p>
            <w:pPr>
              <w:pStyle w:val="TableContents"/>
              <w:bidi w:val="0"/>
              <w:spacing w:before="0" w:after="0"/>
              <w:jc w:val="left"/>
              <w:rPr>
                <w:sz w:val="20"/>
              </w:rPr>
            </w:pPr>
            <w:r>
              <w:rPr>
                <w:sz w:val="20"/>
              </w:rPr>
              <w:t>Plus Goodwill</w:t>
            </w:r>
          </w:p>
        </w:tc>
        <w:tc>
          <w:tcPr>
            <w:tcW w:w="60" w:type="dxa"/>
            <w:tcBorders/>
            <w:shd w:fill="CCEEFF" w:val="clear"/>
            <w:vAlign w:val="center"/>
          </w:tcPr>
          <w:p>
            <w:pPr>
              <w:pStyle w:val="TableContents"/>
              <w:bidi w:val="0"/>
              <w:spacing w:before="0" w:after="0"/>
              <w:ind w:left="157" w:right="0" w:hanging="157"/>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72"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72"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72"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31,705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72"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31,705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872" w:type="dxa"/>
            <w:tcBorders>
              <w:bottom w:val="single" w:sz="6" w:space="0" w:color="000000"/>
            </w:tcBorders>
            <w:shd w:fill="CCEEFF" w:val="clear"/>
            <w:tcMar>
              <w:bottom w:w="28" w:type="dxa"/>
            </w:tcMar>
            <w:vAlign w:val="center"/>
          </w:tcPr>
          <w:p>
            <w:pPr>
              <w:pStyle w:val="TableContents"/>
              <w:bidi w:val="0"/>
              <w:spacing w:before="0" w:after="0"/>
              <w:jc w:val="right"/>
              <w:rPr/>
            </w:pPr>
            <w:r>
              <w:rPr/>
              <w:t> </w:t>
            </w:r>
            <w:r>
              <w:rPr>
                <w:sz w:val="20"/>
              </w:rPr>
              <w:t xml:space="preserve">31,705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center"/>
              <w:rPr/>
            </w:pPr>
            <w:r>
              <w:rPr/>
              <w:t> </w:t>
            </w:r>
          </w:p>
        </w:tc>
        <w:tc>
          <w:tcPr>
            <w:tcW w:w="861" w:type="dxa"/>
            <w:tcBorders>
              <w:bottom w:val="single" w:sz="6" w:space="0" w:color="000000"/>
            </w:tcBorders>
            <w:shd w:fill="CCEEFF" w:val="clear"/>
            <w:tcMar>
              <w:bottom w:w="28" w:type="dxa"/>
            </w:tcMar>
            <w:vAlign w:val="center"/>
          </w:tcPr>
          <w:p>
            <w:pPr>
              <w:pStyle w:val="TableContents"/>
              <w:bidi w:val="0"/>
              <w:spacing w:before="0" w:after="0"/>
              <w:jc w:val="center"/>
              <w:rPr>
                <w:b/>
                <w:sz w:val="20"/>
              </w:rPr>
            </w:pPr>
            <w:r>
              <w:rPr>
                <w:b/>
                <w:sz w:val="20"/>
              </w:rPr>
              <w:t>Average</w:t>
            </w:r>
          </w:p>
        </w:tc>
      </w:tr>
      <w:tr>
        <w:trPr/>
        <w:tc>
          <w:tcPr>
            <w:tcW w:w="3874" w:type="dxa"/>
            <w:tcBorders/>
            <w:shd w:fill="FFFFFF" w:val="clear"/>
            <w:vAlign w:val="center"/>
          </w:tcPr>
          <w:p>
            <w:pPr>
              <w:pStyle w:val="TableContents"/>
              <w:bidi w:val="0"/>
              <w:spacing w:before="0" w:after="0"/>
              <w:jc w:val="left"/>
              <w:rPr>
                <w:sz w:val="20"/>
              </w:rPr>
            </w:pPr>
            <w:r>
              <w:rPr>
                <w:sz w:val="20"/>
              </w:rPr>
              <w:t>Adjusted Investment (3)</w:t>
            </w:r>
          </w:p>
        </w:tc>
        <w:tc>
          <w:tcPr>
            <w:tcW w:w="60" w:type="dxa"/>
            <w:tcBorders/>
            <w:shd w:fill="FFFFFF" w:val="clear"/>
            <w:vAlign w:val="center"/>
          </w:tcPr>
          <w:p>
            <w:pPr>
              <w:pStyle w:val="TableContents"/>
              <w:bidi w:val="0"/>
              <w:spacing w:before="0" w:after="0"/>
              <w:ind w:left="157" w:right="0" w:hanging="157"/>
              <w:jc w:val="lef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sz w:val="20"/>
              </w:rPr>
            </w:pPr>
            <w:r>
              <w:rPr>
                <w:sz w:val="20"/>
              </w:rPr>
              <w:t>$</w:t>
            </w:r>
          </w:p>
        </w:tc>
        <w:tc>
          <w:tcPr>
            <w:tcW w:w="872" w:type="dxa"/>
            <w:tcBorders>
              <w:top w:val="single" w:sz="6" w:space="0" w:color="000000"/>
            </w:tcBorders>
            <w:shd w:fill="FFFFFF" w:val="clear"/>
            <w:tcMar>
              <w:top w:w="28" w:type="dxa"/>
            </w:tcMar>
            <w:vAlign w:val="center"/>
          </w:tcPr>
          <w:p>
            <w:pPr>
              <w:pStyle w:val="TableContents"/>
              <w:bidi w:val="0"/>
              <w:spacing w:before="0" w:after="0"/>
              <w:jc w:val="right"/>
              <w:rPr>
                <w:sz w:val="20"/>
              </w:rPr>
            </w:pPr>
            <w:r>
              <w:rPr>
                <w:sz w:val="20"/>
              </w:rPr>
              <w:t xml:space="preserve">1,626,505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sz w:val="20"/>
              </w:rPr>
            </w:pPr>
            <w:r>
              <w:rPr>
                <w:sz w:val="20"/>
              </w:rPr>
              <w:t>$</w:t>
            </w:r>
          </w:p>
        </w:tc>
        <w:tc>
          <w:tcPr>
            <w:tcW w:w="872" w:type="dxa"/>
            <w:tcBorders>
              <w:top w:val="single" w:sz="6" w:space="0" w:color="000000"/>
            </w:tcBorders>
            <w:shd w:fill="FFFFFF" w:val="clear"/>
            <w:tcMar>
              <w:top w:w="28" w:type="dxa"/>
            </w:tcMar>
            <w:vAlign w:val="center"/>
          </w:tcPr>
          <w:p>
            <w:pPr>
              <w:pStyle w:val="TableContents"/>
              <w:bidi w:val="0"/>
              <w:spacing w:before="0" w:after="0"/>
              <w:jc w:val="right"/>
              <w:rPr>
                <w:sz w:val="20"/>
              </w:rPr>
            </w:pPr>
            <w:r>
              <w:rPr>
                <w:sz w:val="20"/>
              </w:rPr>
              <w:t xml:space="preserve">1,512,953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sz w:val="20"/>
              </w:rPr>
            </w:pPr>
            <w:r>
              <w:rPr>
                <w:sz w:val="20"/>
              </w:rPr>
              <w:t>$</w:t>
            </w:r>
          </w:p>
        </w:tc>
        <w:tc>
          <w:tcPr>
            <w:tcW w:w="872" w:type="dxa"/>
            <w:tcBorders>
              <w:top w:val="single" w:sz="6" w:space="0" w:color="000000"/>
            </w:tcBorders>
            <w:shd w:fill="FFFFFF" w:val="clear"/>
            <w:tcMar>
              <w:top w:w="28" w:type="dxa"/>
            </w:tcMar>
            <w:vAlign w:val="center"/>
          </w:tcPr>
          <w:p>
            <w:pPr>
              <w:pStyle w:val="TableContents"/>
              <w:bidi w:val="0"/>
              <w:spacing w:before="0" w:after="0"/>
              <w:jc w:val="right"/>
              <w:rPr>
                <w:sz w:val="20"/>
              </w:rPr>
            </w:pPr>
            <w:r>
              <w:rPr>
                <w:sz w:val="20"/>
              </w:rPr>
              <w:t xml:space="preserve">1,546,964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sz w:val="20"/>
              </w:rPr>
            </w:pPr>
            <w:r>
              <w:rPr>
                <w:sz w:val="20"/>
              </w:rPr>
              <w:t>$</w:t>
            </w:r>
          </w:p>
        </w:tc>
        <w:tc>
          <w:tcPr>
            <w:tcW w:w="872" w:type="dxa"/>
            <w:tcBorders>
              <w:top w:val="single" w:sz="6" w:space="0" w:color="000000"/>
            </w:tcBorders>
            <w:shd w:fill="FFFFFF" w:val="clear"/>
            <w:tcMar>
              <w:top w:w="28" w:type="dxa"/>
            </w:tcMar>
            <w:vAlign w:val="center"/>
          </w:tcPr>
          <w:p>
            <w:pPr>
              <w:pStyle w:val="TableContents"/>
              <w:bidi w:val="0"/>
              <w:spacing w:before="0" w:after="0"/>
              <w:jc w:val="right"/>
              <w:rPr>
                <w:sz w:val="20"/>
              </w:rPr>
            </w:pPr>
            <w:r>
              <w:rPr>
                <w:sz w:val="20"/>
              </w:rPr>
              <w:t xml:space="preserve">1,603,595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sz w:val="20"/>
              </w:rPr>
            </w:pPr>
            <w:r>
              <w:rPr>
                <w:sz w:val="20"/>
              </w:rPr>
              <w:t>$</w:t>
            </w:r>
          </w:p>
        </w:tc>
        <w:tc>
          <w:tcPr>
            <w:tcW w:w="872" w:type="dxa"/>
            <w:tcBorders>
              <w:top w:val="single" w:sz="6" w:space="0" w:color="000000"/>
            </w:tcBorders>
            <w:shd w:fill="FFFFFF" w:val="clear"/>
            <w:tcMar>
              <w:top w:w="28" w:type="dxa"/>
            </w:tcMar>
            <w:vAlign w:val="center"/>
          </w:tcPr>
          <w:p>
            <w:pPr>
              <w:pStyle w:val="TableContents"/>
              <w:bidi w:val="0"/>
              <w:spacing w:before="0" w:after="0"/>
              <w:jc w:val="right"/>
              <w:rPr>
                <w:sz w:val="20"/>
              </w:rPr>
            </w:pPr>
            <w:r>
              <w:rPr>
                <w:sz w:val="20"/>
              </w:rPr>
              <w:t xml:space="preserve">1,706,130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sz w:val="20"/>
              </w:rPr>
            </w:pPr>
            <w:r>
              <w:rPr>
                <w:sz w:val="20"/>
              </w:rPr>
              <w:t>$</w:t>
            </w:r>
          </w:p>
        </w:tc>
        <w:tc>
          <w:tcPr>
            <w:tcW w:w="861" w:type="dxa"/>
            <w:tcBorders/>
            <w:shd w:fill="FFFFFF" w:val="clear"/>
            <w:vAlign w:val="center"/>
          </w:tcPr>
          <w:p>
            <w:pPr>
              <w:pStyle w:val="TableContents"/>
              <w:bidi w:val="0"/>
              <w:spacing w:before="0" w:after="0"/>
              <w:jc w:val="right"/>
              <w:rPr>
                <w:sz w:val="20"/>
              </w:rPr>
            </w:pPr>
            <w:r>
              <w:rPr>
                <w:sz w:val="20"/>
              </w:rPr>
              <w:t>1,599,229</w:t>
            </w:r>
          </w:p>
        </w:tc>
      </w:tr>
      <w:tr>
        <w:trPr/>
        <w:tc>
          <w:tcPr>
            <w:tcW w:w="3874" w:type="dxa"/>
            <w:tcBorders/>
            <w:shd w:fill="CCEEFF" w:val="clear"/>
            <w:vAlign w:val="center"/>
          </w:tcPr>
          <w:p>
            <w:pPr>
              <w:pStyle w:val="TableContents"/>
              <w:bidi w:val="0"/>
              <w:spacing w:before="0" w:after="0"/>
              <w:jc w:val="left"/>
              <w:rPr>
                <w:sz w:val="20"/>
              </w:rPr>
            </w:pPr>
            <w:r>
              <w:rPr>
                <w:sz w:val="20"/>
              </w:rPr>
              <w:t>Adjusted EBIT Return on Adjusted Investment (4)</w:t>
            </w:r>
          </w:p>
        </w:tc>
        <w:tc>
          <w:tcPr>
            <w:tcW w:w="60" w:type="dxa"/>
            <w:tcBorders/>
            <w:shd w:fill="CCEEFF" w:val="clear"/>
            <w:vAlign w:val="center"/>
          </w:tcPr>
          <w:p>
            <w:pPr>
              <w:pStyle w:val="TableContents"/>
              <w:bidi w:val="0"/>
              <w:spacing w:before="0" w:after="0"/>
              <w:ind w:left="157" w:right="0" w:hanging="157"/>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center"/>
              <w:rPr/>
            </w:pPr>
            <w:r>
              <w:rPr/>
              <w:t> </w:t>
            </w:r>
          </w:p>
        </w:tc>
        <w:tc>
          <w:tcPr>
            <w:tcW w:w="861" w:type="dxa"/>
            <w:tcBorders/>
            <w:shd w:fill="CCEEFF" w:val="clear"/>
            <w:vAlign w:val="center"/>
          </w:tcPr>
          <w:p>
            <w:pPr>
              <w:pStyle w:val="TableContents"/>
              <w:bidi w:val="0"/>
              <w:spacing w:before="0" w:after="0"/>
              <w:jc w:val="center"/>
              <w:rPr>
                <w:b/>
                <w:sz w:val="20"/>
              </w:rPr>
            </w:pPr>
            <w:r>
              <w:rPr>
                <w:b/>
                <w:sz w:val="20"/>
              </w:rPr>
              <w:t>13.1%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both"/>
              <w:rPr>
                <w:sz w:val="20"/>
              </w:rPr>
            </w:pPr>
            <w:r>
              <w:rPr>
                <w:sz w:val="20"/>
              </w:rPr>
              <w:t>(1) EBIT is a non-GAAP financial measure. The most directly comparable GAAP financial measure is net (loss) income. EBIT represents earnings before interest expense and income taxes.</w:t>
            </w:r>
          </w:p>
        </w:tc>
      </w:tr>
      <w:tr>
        <w:trPr/>
        <w:tc>
          <w:tcPr>
            <w:tcW w:w="10205" w:type="dxa"/>
            <w:tcBorders/>
            <w:vAlign w:val="center"/>
          </w:tcPr>
          <w:p>
            <w:pPr>
              <w:pStyle w:val="TableContents"/>
              <w:bidi w:val="0"/>
              <w:spacing w:before="0" w:after="0"/>
              <w:jc w:val="both"/>
              <w:rPr>
                <w:sz w:val="20"/>
              </w:rPr>
            </w:pPr>
            <w:r>
              <w:rPr>
                <w:sz w:val="20"/>
              </w:rPr>
              <w:t>(2) Adjusted EBIT is a non-GAAP financial measure. The most directly comparable GAAP financial measure is net (loss) income. Adjusted EBIT represents earnings before interest expense, income taxes, inventory impairments and land option write-offs and loss on extinguishment of debt, net.</w:t>
            </w:r>
          </w:p>
        </w:tc>
      </w:tr>
      <w:tr>
        <w:trPr/>
        <w:tc>
          <w:tcPr>
            <w:tcW w:w="10205" w:type="dxa"/>
            <w:tcBorders/>
            <w:vAlign w:val="center"/>
          </w:tcPr>
          <w:p>
            <w:pPr>
              <w:pStyle w:val="TableContents"/>
              <w:bidi w:val="0"/>
              <w:spacing w:before="0" w:after="0"/>
              <w:jc w:val="both"/>
              <w:rPr>
                <w:sz w:val="20"/>
              </w:rPr>
            </w:pPr>
            <w:r>
              <w:rPr>
                <w:sz w:val="20"/>
              </w:rPr>
              <w:t>(3) Adjusted Investment is a non-GAAP financial measure. The most directly comparable GAAP financial measure is total inventories. Adjusted Investment represents total inventories excluding liabilities from inventory not owned, net of debt issuance costs and interest capitalized and including investments in and advances to unconsolidated joint ventures.</w:t>
            </w:r>
          </w:p>
        </w:tc>
      </w:tr>
      <w:tr>
        <w:trPr/>
        <w:tc>
          <w:tcPr>
            <w:tcW w:w="10205" w:type="dxa"/>
            <w:tcBorders/>
            <w:vAlign w:val="center"/>
          </w:tcPr>
          <w:p>
            <w:pPr>
              <w:pStyle w:val="TableContents"/>
              <w:bidi w:val="0"/>
              <w:spacing w:before="0" w:after="0"/>
              <w:jc w:val="both"/>
              <w:rPr>
                <w:sz w:val="20"/>
              </w:rPr>
            </w:pPr>
            <w:r>
              <w:rPr>
                <w:sz w:val="20"/>
              </w:rPr>
              <w:t>(4) The ratio of Adjusted EBIT Return on Adjusted Investment is a non-GAAP financial measure. The most directly comparable GAAP financial measure is the ratio of net (loss) income to total inventories.</w:t>
            </w:r>
          </w:p>
        </w:tc>
      </w:tr>
    </w:tbl>
    <w:p>
      <w:pPr>
        <w:pStyle w:val="TextBody"/>
        <w:bidi w:val="0"/>
        <w:spacing w:before="0" w:after="0"/>
        <w:jc w:val="left"/>
        <w:rPr/>
      </w:pPr>
      <w:r>
        <w:rPr/>
        <w:t> </w:t>
      </w:r>
    </w:p>
    <w:p>
      <w:pPr>
        <w:pStyle w:val="TextBody"/>
        <w:bidi w:val="0"/>
        <w:spacing w:before="0" w:after="0"/>
        <w:jc w:val="center"/>
        <w:rPr>
          <w:sz w:val="20"/>
        </w:rPr>
      </w:pPr>
      <w:r>
        <w:rPr>
          <w:sz w:val="20"/>
        </w:rPr>
        <w:t>9</w:t>
      </w:r>
    </w:p>
    <w:p>
      <w:pPr>
        <w:pStyle w:val="HorizontalLine"/>
        <w:pBdr>
          <w:bottom w:val="double" w:sz="2" w:space="0" w:color="808080"/>
        </w:pBdr>
        <w:bidi w:val="0"/>
        <w:jc w:val="center"/>
        <w:rPr/>
      </w:pPr>
      <w:r>
        <w:rPr/>
      </w:r>
    </w:p>
    <w:p>
      <w:pPr>
        <w:pStyle w:val="TextBody"/>
        <w:bidi w:val="0"/>
        <w:spacing w:before="0" w:after="0"/>
        <w:jc w:val="center"/>
        <w:rPr>
          <w:sz w:val="20"/>
        </w:rPr>
      </w:pPr>
      <w:r>
        <w:rPr>
          <w:sz w:val="20"/>
        </w:rPr>
        <w:t>HOVNANIAN ENTERPRISES, INC. AND SUBSIDIARIES</w:t>
      </w:r>
    </w:p>
    <w:p>
      <w:pPr>
        <w:pStyle w:val="TextBody"/>
        <w:bidi w:val="0"/>
        <w:spacing w:before="0" w:after="0"/>
        <w:jc w:val="center"/>
        <w:rPr/>
      </w:pPr>
      <w:r>
        <w:rPr/>
        <w:t> </w:t>
      </w:r>
      <w:hyperlink w:anchor="TOC">
        <w:r>
          <w:rPr>
            <w:rStyle w:val="InternetLink"/>
            <w:strike w:val="false"/>
            <w:dstrike w:val="false"/>
            <w:color w:val="000000"/>
            <w:sz w:val="20"/>
            <w:u w:val="none"/>
            <w:effect w:val="none"/>
          </w:rPr>
          <w:t>CONDENSED CONSOLIDATED BALANCE SHEETS</w:t>
        </w:r>
      </w:hyperlink>
    </w:p>
    <w:p>
      <w:pPr>
        <w:pStyle w:val="TextBody"/>
        <w:bidi w:val="0"/>
        <w:spacing w:before="0" w:after="0"/>
        <w:jc w:val="center"/>
        <w:rPr>
          <w:sz w:val="20"/>
        </w:rPr>
      </w:pPr>
      <w:r>
        <w:rPr>
          <w:sz w:val="20"/>
        </w:rPr>
        <w:t>(In thousands, except per share data)</w:t>
      </w:r>
    </w:p>
    <w:p>
      <w:pPr>
        <w:pStyle w:val="TextBody"/>
        <w:bidi w:val="0"/>
        <w:spacing w:before="0" w:after="100"/>
        <w:jc w:val="center"/>
        <w:rPr>
          <w:sz w:val="20"/>
        </w:rPr>
      </w:pPr>
      <w:r>
        <w:rPr>
          <w:sz w:val="20"/>
        </w:rPr>
        <w:t xml:space="preserve">(Unaudited) </w:t>
      </w:r>
    </w:p>
    <w:tbl>
      <w:tblPr>
        <w:tblW w:w="10205" w:type="dxa"/>
        <w:jc w:val="left"/>
        <w:tblInd w:w="0" w:type="dxa"/>
        <w:tblLayout w:type="fixed"/>
        <w:tblCellMar>
          <w:top w:w="0" w:type="dxa"/>
          <w:left w:w="0" w:type="dxa"/>
          <w:bottom w:w="0" w:type="dxa"/>
          <w:right w:w="0" w:type="dxa"/>
        </w:tblCellMar>
      </w:tblPr>
      <w:tblGrid>
        <w:gridCol w:w="7743"/>
        <w:gridCol w:w="125"/>
        <w:gridCol w:w="1028"/>
        <w:gridCol w:w="60"/>
        <w:gridCol w:w="125"/>
        <w:gridCol w:w="1124"/>
      </w:tblGrid>
      <w:tr>
        <w:trPr/>
        <w:tc>
          <w:tcPr>
            <w:tcW w:w="7743"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center"/>
              <w:rPr>
                <w:b/>
                <w:sz w:val="20"/>
              </w:rPr>
            </w:pPr>
            <w:r>
              <w:rPr>
                <w:b/>
                <w:sz w:val="20"/>
              </w:rPr>
              <w:t>July 31, 2026</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24" w:type="dxa"/>
            <w:tcBorders/>
            <w:vAlign w:val="center"/>
          </w:tcPr>
          <w:p>
            <w:pPr>
              <w:pStyle w:val="TableContents"/>
              <w:bidi w:val="0"/>
              <w:spacing w:before="0" w:after="0"/>
              <w:jc w:val="center"/>
              <w:rPr>
                <w:b/>
                <w:sz w:val="20"/>
              </w:rPr>
            </w:pPr>
            <w:r>
              <w:rPr>
                <w:b/>
                <w:sz w:val="20"/>
              </w:rPr>
              <w:t>October 31, 2025</w:t>
            </w:r>
          </w:p>
        </w:tc>
      </w:tr>
      <w:tr>
        <w:trPr/>
        <w:tc>
          <w:tcPr>
            <w:tcW w:w="7743"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028" w:type="dxa"/>
            <w:tcBorders>
              <w:top w:val="single" w:sz="8" w:space="0" w:color="000000"/>
            </w:tcBorders>
            <w:tcMar>
              <w:top w:w="28" w:type="dxa"/>
            </w:tcMar>
            <w:vAlign w:val="center"/>
          </w:tcPr>
          <w:p>
            <w:pPr>
              <w:pStyle w:val="TableContents"/>
              <w:bidi w:val="0"/>
              <w:spacing w:before="0" w:after="0"/>
              <w:jc w:val="center"/>
              <w:rPr>
                <w:sz w:val="20"/>
              </w:rPr>
            </w:pPr>
            <w:r>
              <w:rPr>
                <w:sz w:val="20"/>
              </w:rPr>
              <w:t>(Unaudited)</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124" w:type="dxa"/>
            <w:tcBorders>
              <w:top w:val="single" w:sz="8" w:space="0" w:color="000000"/>
            </w:tcBorders>
            <w:tcMar>
              <w:top w:w="28" w:type="dxa"/>
            </w:tcMar>
            <w:vAlign w:val="center"/>
          </w:tcPr>
          <w:p>
            <w:pPr>
              <w:pStyle w:val="TableContents"/>
              <w:bidi w:val="0"/>
              <w:spacing w:before="0" w:after="0"/>
              <w:jc w:val="center"/>
              <w:rPr>
                <w:sz w:val="20"/>
              </w:rPr>
            </w:pPr>
            <w:r>
              <w:rPr>
                <w:sz w:val="20"/>
              </w:rPr>
              <w:t>(1)</w:t>
            </w:r>
          </w:p>
        </w:tc>
      </w:tr>
      <w:tr>
        <w:trPr/>
        <w:tc>
          <w:tcPr>
            <w:tcW w:w="7743" w:type="dxa"/>
            <w:tcBorders/>
            <w:shd w:fill="CCEEFF" w:val="clear"/>
            <w:vAlign w:val="center"/>
          </w:tcPr>
          <w:p>
            <w:pPr>
              <w:pStyle w:val="TableContents"/>
              <w:bidi w:val="0"/>
              <w:spacing w:before="0" w:after="0"/>
              <w:jc w:val="left"/>
              <w:rPr>
                <w:b/>
                <w:sz w:val="20"/>
              </w:rPr>
            </w:pPr>
            <w:r>
              <w:rPr>
                <w:b/>
                <w:sz w:val="20"/>
              </w:rPr>
              <w:t>ASSETS</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lef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Homebuilding:</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pPr>
            <w:r>
              <w:rPr/>
              <w:t>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Cash and cash equivalents</w:t>
            </w:r>
          </w:p>
        </w:tc>
        <w:tc>
          <w:tcPr>
            <w:tcW w:w="125" w:type="dxa"/>
            <w:tcBorders/>
            <w:shd w:fill="CCEEFF" w:val="clear"/>
            <w:vAlign w:val="center"/>
          </w:tcPr>
          <w:p>
            <w:pPr>
              <w:pStyle w:val="TableContents"/>
              <w:bidi w:val="0"/>
              <w:spacing w:before="0" w:after="0"/>
              <w:jc w:val="left"/>
              <w:rPr>
                <w:sz w:val="20"/>
              </w:rPr>
            </w:pPr>
            <w:r>
              <w:rPr>
                <w:sz w:val="20"/>
              </w:rPr>
              <w:t>$</w:t>
            </w:r>
          </w:p>
        </w:tc>
        <w:tc>
          <w:tcPr>
            <w:tcW w:w="1028" w:type="dxa"/>
            <w:tcBorders/>
            <w:shd w:fill="CCEEFF" w:val="clear"/>
            <w:vAlign w:val="center"/>
          </w:tcPr>
          <w:p>
            <w:pPr>
              <w:pStyle w:val="TableContents"/>
              <w:bidi w:val="0"/>
              <w:spacing w:before="0" w:after="0"/>
              <w:jc w:val="right"/>
              <w:rPr>
                <w:sz w:val="20"/>
              </w:rPr>
            </w:pPr>
            <w:r>
              <w:rPr>
                <w:sz w:val="20"/>
              </w:rPr>
              <w:t>249,090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sz w:val="20"/>
              </w:rPr>
            </w:pPr>
            <w:r>
              <w:rPr>
                <w:sz w:val="20"/>
              </w:rPr>
              <w:t>$</w:t>
            </w:r>
          </w:p>
        </w:tc>
        <w:tc>
          <w:tcPr>
            <w:tcW w:w="1124" w:type="dxa"/>
            <w:tcBorders/>
            <w:shd w:fill="CCEEFF" w:val="clear"/>
            <w:vAlign w:val="center"/>
          </w:tcPr>
          <w:p>
            <w:pPr>
              <w:pStyle w:val="TableContents"/>
              <w:bidi w:val="0"/>
              <w:spacing w:before="0" w:after="0"/>
              <w:jc w:val="right"/>
              <w:rPr>
                <w:sz w:val="20"/>
              </w:rPr>
            </w:pPr>
            <w:r>
              <w:rPr>
                <w:sz w:val="20"/>
              </w:rPr>
              <w:t xml:space="preserve">272,772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Restricted cash and cash equivalents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9,208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12,608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Inventories:</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ind w:left="288" w:right="0" w:hanging="0"/>
              <w:jc w:val="left"/>
              <w:rPr>
                <w:sz w:val="20"/>
              </w:rPr>
            </w:pPr>
            <w:r>
              <w:rPr>
                <w:sz w:val="20"/>
              </w:rPr>
              <w:t>Sold and unsold homes and lots under development</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1,267,287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1,132,798 </w:t>
            </w:r>
          </w:p>
        </w:tc>
      </w:tr>
      <w:tr>
        <w:trPr/>
        <w:tc>
          <w:tcPr>
            <w:tcW w:w="7743" w:type="dxa"/>
            <w:tcBorders/>
            <w:shd w:fill="CCEEFF" w:val="clear"/>
            <w:vAlign w:val="center"/>
          </w:tcPr>
          <w:p>
            <w:pPr>
              <w:pStyle w:val="TableContents"/>
              <w:bidi w:val="0"/>
              <w:spacing w:before="0" w:after="0"/>
              <w:ind w:left="288" w:right="0" w:hanging="0"/>
              <w:jc w:val="left"/>
              <w:rPr>
                <w:sz w:val="20"/>
              </w:rPr>
            </w:pPr>
            <w:r>
              <w:rPr>
                <w:sz w:val="20"/>
              </w:rPr>
              <w:t>Land and land options held for future development or sale</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178,913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 xml:space="preserve">171,793 </w:t>
            </w:r>
          </w:p>
        </w:tc>
      </w:tr>
      <w:tr>
        <w:trPr/>
        <w:tc>
          <w:tcPr>
            <w:tcW w:w="7743" w:type="dxa"/>
            <w:tcBorders/>
            <w:shd w:fill="FFFFFF" w:val="clear"/>
            <w:vAlign w:val="center"/>
          </w:tcPr>
          <w:p>
            <w:pPr>
              <w:pStyle w:val="TableContents"/>
              <w:bidi w:val="0"/>
              <w:spacing w:before="0" w:after="0"/>
              <w:ind w:left="288" w:right="0" w:hanging="0"/>
              <w:jc w:val="left"/>
              <w:rPr>
                <w:sz w:val="20"/>
              </w:rPr>
            </w:pPr>
            <w:r>
              <w:rPr>
                <w:sz w:val="20"/>
              </w:rPr>
              <w:t>Consolidated inventory not owned</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348,244</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 xml:space="preserve">332,879 </w:t>
            </w:r>
          </w:p>
        </w:tc>
      </w:tr>
      <w:tr>
        <w:trPr/>
        <w:tc>
          <w:tcPr>
            <w:tcW w:w="7743" w:type="dxa"/>
            <w:tcBorders/>
            <w:shd w:fill="CCEEFF" w:val="clear"/>
            <w:vAlign w:val="center"/>
          </w:tcPr>
          <w:p>
            <w:pPr>
              <w:pStyle w:val="TableContents"/>
              <w:bidi w:val="0"/>
              <w:spacing w:before="0" w:after="0"/>
              <w:ind w:left="720" w:right="0" w:hanging="0"/>
              <w:jc w:val="left"/>
              <w:rPr>
                <w:sz w:val="20"/>
              </w:rPr>
            </w:pPr>
            <w:r>
              <w:rPr>
                <w:sz w:val="20"/>
              </w:rPr>
              <w:t>Total inventories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8"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1,794,444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24"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 xml:space="preserve">1,637,470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Investments in and advances to unconsolidated joint ventures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155,086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163,469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Receivables, deposits and notes, net</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49,603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 xml:space="preserve">26,454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Property and equipment, net</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56,223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50,539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Goodwill</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31,705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Deferred tax assets, net</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224,442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229,617</w:t>
            </w:r>
          </w:p>
        </w:tc>
      </w:tr>
      <w:tr>
        <w:trPr/>
        <w:tc>
          <w:tcPr>
            <w:tcW w:w="7743" w:type="dxa"/>
            <w:tcBorders/>
            <w:shd w:fill="CCEEFF" w:val="clear"/>
            <w:vAlign w:val="center"/>
          </w:tcPr>
          <w:p>
            <w:pPr>
              <w:pStyle w:val="TableContents"/>
              <w:bidi w:val="0"/>
              <w:spacing w:before="0" w:after="0"/>
              <w:ind w:left="180" w:right="0" w:hanging="0"/>
              <w:jc w:val="left"/>
              <w:rPr>
                <w:sz w:val="20"/>
              </w:rPr>
            </w:pPr>
            <w:r>
              <w:rPr>
                <w:sz w:val="20"/>
              </w:rPr>
              <w:t>Prepaid expenses and other assets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128,537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89,773</w:t>
            </w:r>
          </w:p>
        </w:tc>
      </w:tr>
      <w:tr>
        <w:trPr/>
        <w:tc>
          <w:tcPr>
            <w:tcW w:w="7743" w:type="dxa"/>
            <w:tcBorders/>
            <w:shd w:fill="FFFFFF" w:val="clear"/>
            <w:vAlign w:val="center"/>
          </w:tcPr>
          <w:p>
            <w:pPr>
              <w:pStyle w:val="TableContents"/>
              <w:bidi w:val="0"/>
              <w:spacing w:before="0" w:after="0"/>
              <w:ind w:left="720" w:right="0" w:hanging="0"/>
              <w:jc w:val="left"/>
              <w:rPr>
                <w:sz w:val="20"/>
              </w:rPr>
            </w:pPr>
            <w:r>
              <w:rPr>
                <w:sz w:val="20"/>
              </w:rPr>
              <w:t>Total homebuilding</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8"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2,698,338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24"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2,482,702</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Financial services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162,720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151,211</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Total assets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10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2,861,058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sz w:val="20"/>
              </w:rPr>
            </w:pPr>
            <w:r>
              <w:rPr>
                <w:sz w:val="20"/>
              </w:rPr>
              <w:t>$</w:t>
            </w:r>
          </w:p>
        </w:tc>
        <w:tc>
          <w:tcPr>
            <w:tcW w:w="112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2,633,913 </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28"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24"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b/>
                <w:sz w:val="20"/>
              </w:rPr>
            </w:pPr>
            <w:r>
              <w:rPr>
                <w:b/>
                <w:sz w:val="20"/>
              </w:rPr>
              <w:t>LIABILITIES AND EQUITY</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pPr>
            <w:r>
              <w:rPr/>
              <w:t> </w:t>
            </w:r>
          </w:p>
        </w:tc>
      </w:tr>
      <w:tr>
        <w:trPr/>
        <w:tc>
          <w:tcPr>
            <w:tcW w:w="7743" w:type="dxa"/>
            <w:tcBorders/>
            <w:shd w:fill="CCEEFF" w:val="clear"/>
            <w:vAlign w:val="center"/>
          </w:tcPr>
          <w:p>
            <w:pPr>
              <w:pStyle w:val="TableContents"/>
              <w:bidi w:val="0"/>
              <w:spacing w:before="0" w:after="0"/>
              <w:jc w:val="left"/>
              <w:rPr>
                <w:sz w:val="20"/>
              </w:rPr>
            </w:pPr>
            <w:r>
              <w:rPr>
                <w:sz w:val="20"/>
              </w:rPr>
              <w:t>Homebuilding:</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Nonrecourse mortgages secured by inventory, net of debt issuance costs</w:t>
            </w:r>
          </w:p>
        </w:tc>
        <w:tc>
          <w:tcPr>
            <w:tcW w:w="125" w:type="dxa"/>
            <w:tcBorders/>
            <w:shd w:fill="FFFFFF" w:val="clear"/>
            <w:vAlign w:val="center"/>
          </w:tcPr>
          <w:p>
            <w:pPr>
              <w:pStyle w:val="TableContents"/>
              <w:bidi w:val="0"/>
              <w:spacing w:before="0" w:after="0"/>
              <w:jc w:val="left"/>
              <w:rPr>
                <w:sz w:val="20"/>
              </w:rPr>
            </w:pPr>
            <w:r>
              <w:rPr>
                <w:sz w:val="20"/>
              </w:rPr>
              <w:t>$</w:t>
            </w:r>
          </w:p>
        </w:tc>
        <w:tc>
          <w:tcPr>
            <w:tcW w:w="1028" w:type="dxa"/>
            <w:tcBorders/>
            <w:shd w:fill="FFFFFF" w:val="clear"/>
            <w:vAlign w:val="center"/>
          </w:tcPr>
          <w:p>
            <w:pPr>
              <w:pStyle w:val="TableContents"/>
              <w:bidi w:val="0"/>
              <w:spacing w:before="0" w:after="0"/>
              <w:jc w:val="right"/>
              <w:rPr>
                <w:sz w:val="20"/>
              </w:rPr>
            </w:pPr>
            <w:r>
              <w:rPr>
                <w:sz w:val="20"/>
              </w:rPr>
              <w:t>32,411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sz w:val="20"/>
              </w:rPr>
            </w:pPr>
            <w:r>
              <w:rPr>
                <w:sz w:val="20"/>
              </w:rPr>
              <w:t>$</w:t>
            </w:r>
          </w:p>
        </w:tc>
        <w:tc>
          <w:tcPr>
            <w:tcW w:w="1124" w:type="dxa"/>
            <w:tcBorders/>
            <w:shd w:fill="FFFFFF" w:val="clear"/>
            <w:vAlign w:val="center"/>
          </w:tcPr>
          <w:p>
            <w:pPr>
              <w:pStyle w:val="TableContents"/>
              <w:bidi w:val="0"/>
              <w:spacing w:before="0" w:after="0"/>
              <w:jc w:val="right"/>
              <w:rPr/>
            </w:pPr>
            <w:r>
              <w:rPr/>
              <w:t xml:space="preserve">  </w:t>
            </w:r>
            <w:r>
              <w:rPr>
                <w:sz w:val="20"/>
              </w:rPr>
              <w:t xml:space="preserve">29,494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Accounts payable and other liabilities</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466,507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438,920</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Customers’ deposits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235,355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pPr>
            <w:r>
              <w:rPr/>
              <w:t xml:space="preserve">  </w:t>
            </w:r>
            <w:r>
              <w:rPr>
                <w:sz w:val="20"/>
              </w:rPr>
              <w:t xml:space="preserve">46,376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Liabilities from inventory not owned, net of debt issuance costs</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228,622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 xml:space="preserve">244,723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Senior notes and credit facilities (net of discounts, premiums and debt issuance costs)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902,492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900,718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Accrued interest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33,017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0"/>
              <w:jc w:val="right"/>
              <w:rPr/>
            </w:pPr>
            <w:r>
              <w:rPr/>
              <w:t xml:space="preserve">  </w:t>
            </w:r>
            <w:r>
              <w:rPr>
                <w:sz w:val="20"/>
              </w:rPr>
              <w:t xml:space="preserve">11,874 </w:t>
            </w:r>
          </w:p>
        </w:tc>
      </w:tr>
      <w:tr>
        <w:trPr/>
        <w:tc>
          <w:tcPr>
            <w:tcW w:w="7743" w:type="dxa"/>
            <w:tcBorders/>
            <w:shd w:fill="FFFFFF" w:val="clear"/>
            <w:vAlign w:val="center"/>
          </w:tcPr>
          <w:p>
            <w:pPr>
              <w:pStyle w:val="TableContents"/>
              <w:bidi w:val="0"/>
              <w:spacing w:before="0" w:after="0"/>
              <w:ind w:left="720" w:right="0" w:hanging="0"/>
              <w:jc w:val="left"/>
              <w:rPr>
                <w:sz w:val="20"/>
              </w:rPr>
            </w:pPr>
            <w:r>
              <w:rPr>
                <w:sz w:val="20"/>
              </w:rPr>
              <w:t>Total homebuilding</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8"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1,898,404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24"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1,672,105</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Financial services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141,698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130,873 </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Total liabilities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2,040,102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2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1,802,978 </w:t>
            </w:r>
          </w:p>
        </w:tc>
      </w:tr>
      <w:tr>
        <w:trPr/>
        <w:tc>
          <w:tcPr>
            <w:tcW w:w="7743"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28"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24"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jc w:val="left"/>
              <w:rPr>
                <w:sz w:val="20"/>
              </w:rPr>
            </w:pPr>
            <w:r>
              <w:rPr>
                <w:sz w:val="20"/>
              </w:rPr>
              <w:t>Equity:</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pPr>
            <w:r>
              <w:rPr/>
              <w:t> </w:t>
            </w:r>
          </w:p>
        </w:tc>
      </w:tr>
      <w:tr>
        <w:trPr/>
        <w:tc>
          <w:tcPr>
            <w:tcW w:w="7743" w:type="dxa"/>
            <w:tcBorders/>
            <w:shd w:fill="CCEEFF" w:val="clear"/>
            <w:vAlign w:val="center"/>
          </w:tcPr>
          <w:p>
            <w:pPr>
              <w:pStyle w:val="TableContents"/>
              <w:bidi w:val="0"/>
              <w:spacing w:before="0" w:after="0"/>
              <w:jc w:val="left"/>
              <w:rPr>
                <w:sz w:val="20"/>
              </w:rPr>
            </w:pPr>
            <w:r>
              <w:rPr>
                <w:sz w:val="20"/>
              </w:rPr>
              <w:t>Hovnanian Enterprises, Inc. stockholders' equity:</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pPr>
            <w:r>
              <w:rPr/>
              <w:t> </w:t>
            </w:r>
          </w:p>
        </w:tc>
      </w:tr>
      <w:tr>
        <w:trPr/>
        <w:tc>
          <w:tcPr>
            <w:tcW w:w="7743" w:type="dxa"/>
            <w:tcBorders/>
            <w:shd w:fill="FFFFFF" w:val="clear"/>
            <w:vAlign w:val="center"/>
          </w:tcPr>
          <w:p>
            <w:pPr>
              <w:pStyle w:val="TableContents"/>
              <w:bidi w:val="0"/>
              <w:spacing w:before="0" w:after="0"/>
              <w:ind w:left="288" w:right="0" w:hanging="0"/>
              <w:jc w:val="left"/>
              <w:rPr>
                <w:sz w:val="20"/>
              </w:rPr>
            </w:pPr>
            <w:r>
              <w:rPr>
                <w:sz w:val="20"/>
              </w:rPr>
              <w:t>Preferred stock, $0.01 par value - authorized 100,000 shares; issued and outstanding 5,600 shares with a liquidation preference of $140,000 at July 31, 2026 and October 31, 2025</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pPr>
            <w:r>
              <w:rPr/>
              <w:t xml:space="preserve">   </w:t>
            </w:r>
            <w:r>
              <w:rPr>
                <w:sz w:val="20"/>
              </w:rPr>
              <w:t xml:space="preserve">135,299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135,299 </w:t>
            </w:r>
          </w:p>
        </w:tc>
      </w:tr>
      <w:tr>
        <w:trPr/>
        <w:tc>
          <w:tcPr>
            <w:tcW w:w="7743" w:type="dxa"/>
            <w:tcBorders/>
            <w:shd w:fill="CCEEFF" w:val="clear"/>
            <w:vAlign w:val="center"/>
          </w:tcPr>
          <w:p>
            <w:pPr>
              <w:pStyle w:val="TableContents"/>
              <w:bidi w:val="0"/>
              <w:spacing w:before="0" w:after="0"/>
              <w:ind w:left="288" w:right="0" w:hanging="0"/>
              <w:jc w:val="left"/>
              <w:rPr>
                <w:sz w:val="20"/>
              </w:rPr>
            </w:pPr>
            <w:r>
              <w:rPr>
                <w:sz w:val="20"/>
              </w:rPr>
              <w:t>Common stock, Class A, $0.01 par value - authorized 16,000,000 shares; issued 6,645,124 shares at July 31, 2026 and 6,503,722 shares at October 31, 2025</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66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65</w:t>
            </w:r>
          </w:p>
        </w:tc>
      </w:tr>
      <w:tr>
        <w:trPr/>
        <w:tc>
          <w:tcPr>
            <w:tcW w:w="7743" w:type="dxa"/>
            <w:tcBorders/>
            <w:shd w:fill="FFFFFF" w:val="clear"/>
            <w:vAlign w:val="center"/>
          </w:tcPr>
          <w:p>
            <w:pPr>
              <w:pStyle w:val="TableContents"/>
              <w:bidi w:val="0"/>
              <w:spacing w:before="0" w:after="0"/>
              <w:ind w:left="288" w:right="0" w:hanging="0"/>
              <w:jc w:val="left"/>
              <w:rPr>
                <w:sz w:val="20"/>
              </w:rPr>
            </w:pPr>
            <w:r>
              <w:rPr>
                <w:sz w:val="20"/>
              </w:rPr>
              <w:t>Common stock, Class B, $0.01 par value (convertible to Class A at time of sale) - authorized 2,400,000 shares; issued 865,304 shares at July 31, 2026 and 812,410 shares at October 31, 2025</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8</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Paid in capital - common stock</w:t>
            </w:r>
          </w:p>
        </w:tc>
        <w:tc>
          <w:tcPr>
            <w:tcW w:w="125"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right"/>
              <w:rPr>
                <w:sz w:val="20"/>
              </w:rPr>
            </w:pPr>
            <w:r>
              <w:rPr>
                <w:sz w:val="20"/>
              </w:rPr>
              <w:t>752,821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24" w:type="dxa"/>
            <w:tcBorders/>
            <w:shd w:fill="CCEEFF" w:val="clear"/>
            <w:vAlign w:val="center"/>
          </w:tcPr>
          <w:p>
            <w:pPr>
              <w:pStyle w:val="TableContents"/>
              <w:bidi w:val="0"/>
              <w:spacing w:before="0" w:after="0"/>
              <w:jc w:val="right"/>
              <w:rPr>
                <w:sz w:val="20"/>
              </w:rPr>
            </w:pPr>
            <w:r>
              <w:rPr>
                <w:sz w:val="20"/>
              </w:rPr>
              <w:t xml:space="preserve">757,391 </w:t>
            </w:r>
          </w:p>
        </w:tc>
      </w:tr>
      <w:tr>
        <w:trPr/>
        <w:tc>
          <w:tcPr>
            <w:tcW w:w="7743" w:type="dxa"/>
            <w:tcBorders/>
            <w:shd w:fill="FFFFFF" w:val="clear"/>
            <w:vAlign w:val="center"/>
          </w:tcPr>
          <w:p>
            <w:pPr>
              <w:pStyle w:val="TableContents"/>
              <w:bidi w:val="0"/>
              <w:spacing w:before="0" w:after="0"/>
              <w:ind w:left="144" w:right="0" w:hanging="0"/>
              <w:jc w:val="left"/>
              <w:rPr>
                <w:sz w:val="20"/>
              </w:rPr>
            </w:pPr>
            <w:r>
              <w:rPr>
                <w:sz w:val="20"/>
              </w:rPr>
              <w:t>Retained Earnings</w:t>
            </w:r>
          </w:p>
        </w:tc>
        <w:tc>
          <w:tcPr>
            <w:tcW w:w="125" w:type="dxa"/>
            <w:tcBorders/>
            <w:shd w:fill="FFFFFF" w:val="clear"/>
            <w:vAlign w:val="center"/>
          </w:tcPr>
          <w:p>
            <w:pPr>
              <w:pStyle w:val="TableContents"/>
              <w:bidi w:val="0"/>
              <w:spacing w:before="0" w:after="0"/>
              <w:jc w:val="left"/>
              <w:rPr/>
            </w:pPr>
            <w:r>
              <w:rPr/>
              <w:t> </w:t>
            </w:r>
          </w:p>
        </w:tc>
        <w:tc>
          <w:tcPr>
            <w:tcW w:w="1028" w:type="dxa"/>
            <w:tcBorders/>
            <w:shd w:fill="FFFFFF" w:val="clear"/>
            <w:vAlign w:val="center"/>
          </w:tcPr>
          <w:p>
            <w:pPr>
              <w:pStyle w:val="TableContents"/>
              <w:bidi w:val="0"/>
              <w:spacing w:before="0" w:after="0"/>
              <w:jc w:val="right"/>
              <w:rPr>
                <w:sz w:val="20"/>
              </w:rPr>
            </w:pPr>
            <w:r>
              <w:rPr>
                <w:sz w:val="20"/>
              </w:rPr>
              <w:t>138,093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4" w:type="dxa"/>
            <w:tcBorders/>
            <w:shd w:fill="FFFFFF" w:val="clear"/>
            <w:vAlign w:val="center"/>
          </w:tcPr>
          <w:p>
            <w:pPr>
              <w:pStyle w:val="TableContents"/>
              <w:bidi w:val="0"/>
              <w:spacing w:before="0" w:after="0"/>
              <w:jc w:val="right"/>
              <w:rPr>
                <w:sz w:val="20"/>
              </w:rPr>
            </w:pPr>
            <w:r>
              <w:rPr>
                <w:sz w:val="20"/>
              </w:rPr>
              <w:t xml:space="preserve">127,326 </w:t>
            </w:r>
          </w:p>
        </w:tc>
      </w:tr>
      <w:tr>
        <w:trPr/>
        <w:tc>
          <w:tcPr>
            <w:tcW w:w="7743" w:type="dxa"/>
            <w:tcBorders/>
            <w:shd w:fill="CCEEFF" w:val="clear"/>
            <w:vAlign w:val="center"/>
          </w:tcPr>
          <w:p>
            <w:pPr>
              <w:pStyle w:val="TableContents"/>
              <w:bidi w:val="0"/>
              <w:spacing w:before="0" w:after="0"/>
              <w:ind w:left="144" w:right="0" w:hanging="0"/>
              <w:jc w:val="left"/>
              <w:rPr>
                <w:sz w:val="20"/>
              </w:rPr>
            </w:pPr>
            <w:r>
              <w:rPr>
                <w:sz w:val="20"/>
              </w:rPr>
              <w:t>Treasury stock - at cost – 1,523,992 shares of Class A common stock at July 31, 2026 and 1,348,087 shares at October 31, 2025; 27,669 shares of Class B common stock at July 31, 2026 and October 31, 2025</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(207,621)</w:t>
            </w:r>
          </w:p>
        </w:tc>
        <w:tc>
          <w:tcPr>
            <w:tcW w:w="60" w:type="dxa"/>
            <w:tcBorders/>
            <w:shd w:fill="CCEEFF" w:val="clear"/>
            <w:vAlign w:val="center"/>
          </w:tcPr>
          <w:p>
            <w:pPr>
              <w:pStyle w:val="TableContents"/>
              <w:bidi w:val="0"/>
              <w:spacing w:before="0" w:after="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1124"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(189,154)</w:t>
            </w:r>
          </w:p>
        </w:tc>
      </w:tr>
      <w:tr>
        <w:trPr/>
        <w:tc>
          <w:tcPr>
            <w:tcW w:w="7743" w:type="dxa"/>
            <w:tcBorders/>
            <w:shd w:fill="FFFFFF" w:val="clear"/>
            <w:vAlign w:val="center"/>
          </w:tcPr>
          <w:p>
            <w:pPr>
              <w:pStyle w:val="TableContents"/>
              <w:bidi w:val="0"/>
              <w:spacing w:before="0" w:after="0"/>
              <w:ind w:left="720" w:right="0" w:hanging="0"/>
              <w:jc w:val="left"/>
              <w:rPr>
                <w:sz w:val="20"/>
              </w:rPr>
            </w:pPr>
            <w:r>
              <w:rPr>
                <w:sz w:val="20"/>
              </w:rPr>
              <w:t>Total Hovnanian Enterprises Inc. stockholders’ equity</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28"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818,667</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24"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830,935 </w:t>
            </w:r>
          </w:p>
        </w:tc>
      </w:tr>
      <w:tr>
        <w:trPr/>
        <w:tc>
          <w:tcPr>
            <w:tcW w:w="7743" w:type="dxa"/>
            <w:tcBorders/>
            <w:shd w:fill="CCEEFF" w:val="clear"/>
            <w:vAlign w:val="center"/>
          </w:tcPr>
          <w:p>
            <w:pPr>
              <w:pStyle w:val="TableContents"/>
              <w:bidi w:val="0"/>
              <w:spacing w:before="0" w:after="0"/>
              <w:jc w:val="left"/>
              <w:rPr>
                <w:sz w:val="20"/>
              </w:rPr>
            </w:pPr>
            <w:r>
              <w:rPr>
                <w:sz w:val="20"/>
              </w:rPr>
              <w:t>Noncontrolling interest</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2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2,289</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2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w:t>
            </w:r>
          </w:p>
        </w:tc>
      </w:tr>
      <w:tr>
        <w:trPr/>
        <w:tc>
          <w:tcPr>
            <w:tcW w:w="7743" w:type="dxa"/>
            <w:tcBorders/>
            <w:shd w:fill="FFFFFF" w:val="clear"/>
            <w:vAlign w:val="center"/>
          </w:tcPr>
          <w:p>
            <w:pPr>
              <w:pStyle w:val="TableContents"/>
              <w:bidi w:val="0"/>
              <w:spacing w:before="0" w:after="0"/>
              <w:jc w:val="left"/>
              <w:rPr>
                <w:sz w:val="20"/>
              </w:rPr>
            </w:pPr>
            <w:r>
              <w:rPr>
                <w:sz w:val="20"/>
              </w:rPr>
              <w:t>Total equity</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28"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820,956</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24"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sz w:val="20"/>
              </w:rPr>
              <w:t xml:space="preserve">830,935 </w:t>
            </w:r>
          </w:p>
        </w:tc>
      </w:tr>
      <w:tr>
        <w:trPr/>
        <w:tc>
          <w:tcPr>
            <w:tcW w:w="7743" w:type="dxa"/>
            <w:tcBorders/>
            <w:shd w:fill="CCEEFF" w:val="clear"/>
            <w:vAlign w:val="center"/>
          </w:tcPr>
          <w:p>
            <w:pPr>
              <w:pStyle w:val="TableContents"/>
              <w:bidi w:val="0"/>
              <w:spacing w:before="0" w:after="0"/>
              <w:jc w:val="left"/>
              <w:rPr>
                <w:sz w:val="20"/>
              </w:rPr>
            </w:pPr>
            <w:r>
              <w:rPr>
                <w:sz w:val="20"/>
              </w:rPr>
              <w:t>Total liabilities and equity</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2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2,861,058</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12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 xml:space="preserve">2,633,913 </w:t>
            </w:r>
          </w:p>
        </w:tc>
      </w:tr>
    </w:tbl>
    <w:p>
      <w:pPr>
        <w:pStyle w:val="TextBody"/>
        <w:bidi w:val="0"/>
        <w:spacing w:before="200" w:after="0"/>
        <w:ind w:left="360" w:right="0" w:hanging="360"/>
        <w:jc w:val="left"/>
        <w:rPr>
          <w:sz w:val="20"/>
        </w:rPr>
      </w:pPr>
      <w:r>
        <w:rPr>
          <w:sz w:val="20"/>
        </w:rPr>
        <w:t>(1)</w:t>
      </w:r>
      <w:r>
        <w:rPr>
          <w:caps w:val="false"/>
          <w:smallCaps w:val="false"/>
          <w:sz w:val="20"/>
        </w:rPr>
        <w:t xml:space="preserve">    </w:t>
      </w:r>
      <w:r>
        <w:rPr>
          <w:sz w:val="20"/>
        </w:rPr>
        <w:t>Derived from the audited balance sheet as of October 31, 2025</w:t>
      </w:r>
    </w:p>
    <w:p>
      <w:pPr>
        <w:pStyle w:val="TextBody"/>
        <w:bidi w:val="0"/>
        <w:spacing w:before="0" w:after="0"/>
        <w:jc w:val="both"/>
        <w:rPr/>
      </w:pPr>
      <w:r>
        <w:rPr/>
        <w:t> </w:t>
      </w:r>
    </w:p>
    <w:p>
      <w:pPr>
        <w:pStyle w:val="TextBody"/>
        <w:bidi w:val="0"/>
        <w:spacing w:before="0" w:after="0"/>
        <w:jc w:val="center"/>
        <w:rPr>
          <w:sz w:val="20"/>
        </w:rPr>
      </w:pPr>
      <w:r>
        <w:rPr>
          <w:sz w:val="20"/>
        </w:rPr>
        <w:t>10</w:t>
      </w:r>
    </w:p>
    <w:p>
      <w:pPr>
        <w:pStyle w:val="HorizontalLine"/>
        <w:pBdr>
          <w:bottom w:val="double" w:sz="2" w:space="0" w:color="808080"/>
        </w:pBdr>
        <w:bidi w:val="0"/>
        <w:jc w:val="center"/>
        <w:rPr/>
      </w:pPr>
      <w:r>
        <w:rPr/>
      </w:r>
    </w:p>
    <w:p>
      <w:pPr>
        <w:pStyle w:val="TextBody"/>
        <w:bidi w:val="0"/>
        <w:spacing w:before="0" w:after="0"/>
        <w:jc w:val="center"/>
        <w:rPr>
          <w:sz w:val="20"/>
        </w:rPr>
      </w:pPr>
      <w:r>
        <w:rPr>
          <w:sz w:val="20"/>
        </w:rPr>
        <w:t>HOVNANIAN ENTERPRISES, INC. AND SUBSIDIARIES</w:t>
      </w:r>
    </w:p>
    <w:p>
      <w:pPr>
        <w:pStyle w:val="TextBody"/>
        <w:bidi w:val="0"/>
        <w:spacing w:before="0" w:after="0"/>
        <w:jc w:val="center"/>
        <w:rPr/>
      </w:pPr>
      <w:hyperlink w:anchor="TOC">
        <w:r>
          <w:rPr>
            <w:rStyle w:val="InternetLink"/>
            <w:strike w:val="false"/>
            <w:dstrike w:val="false"/>
            <w:color w:val="000000"/>
            <w:sz w:val="20"/>
            <w:u w:val="none"/>
            <w:effect w:val="none"/>
          </w:rPr>
          <w:t>CONDENSED CONSOLIDATED STATEMENTS OF OPERATIONS</w:t>
        </w:r>
      </w:hyperlink>
    </w:p>
    <w:p>
      <w:pPr>
        <w:pStyle w:val="TextBody"/>
        <w:bidi w:val="0"/>
        <w:spacing w:before="0" w:after="0"/>
        <w:jc w:val="center"/>
        <w:rPr>
          <w:sz w:val="20"/>
        </w:rPr>
      </w:pPr>
      <w:r>
        <w:rPr>
          <w:sz w:val="20"/>
        </w:rPr>
        <w:t>(In thousands, except per share data)</w:t>
      </w:r>
    </w:p>
    <w:p>
      <w:pPr>
        <w:pStyle w:val="TextBody"/>
        <w:bidi w:val="0"/>
        <w:spacing w:before="0" w:after="0"/>
        <w:jc w:val="center"/>
        <w:rPr>
          <w:sz w:val="20"/>
        </w:rPr>
      </w:pPr>
      <w:r>
        <w:rPr>
          <w:sz w:val="20"/>
        </w:rPr>
        <w:t>(Unaudited)</w:t>
      </w:r>
    </w:p>
    <w:p>
      <w:pPr>
        <w:pStyle w:val="TextBody"/>
        <w:bidi w:val="0"/>
        <w:spacing w:before="0" w:after="0"/>
        <w:jc w:val="center"/>
        <w:rPr/>
      </w:pPr>
      <w:r>
        <w:rPr/>
        <w:t> </w:t>
      </w:r>
    </w:p>
    <w:tbl>
      <w:tblPr>
        <w:tblW w:w="10061" w:type="dxa"/>
        <w:jc w:val="left"/>
        <w:tblInd w:w="0" w:type="dxa"/>
        <w:tblLayout w:type="fixed"/>
        <w:tblCellMar>
          <w:top w:w="0" w:type="dxa"/>
          <w:left w:w="0" w:type="dxa"/>
          <w:bottom w:w="0" w:type="dxa"/>
          <w:right w:w="0" w:type="dxa"/>
        </w:tblCellMar>
      </w:tblPr>
      <w:tblGrid>
        <w:gridCol w:w="5090"/>
        <w:gridCol w:w="184"/>
        <w:gridCol w:w="1026"/>
        <w:gridCol w:w="88"/>
        <w:gridCol w:w="184"/>
        <w:gridCol w:w="1026"/>
        <w:gridCol w:w="60"/>
        <w:gridCol w:w="149"/>
        <w:gridCol w:w="1008"/>
        <w:gridCol w:w="71"/>
        <w:gridCol w:w="149"/>
        <w:gridCol w:w="1026"/>
      </w:tblGrid>
      <w:tr>
        <w:trPr/>
        <w:tc>
          <w:tcPr>
            <w:tcW w:w="5090" w:type="dxa"/>
            <w:tcBorders/>
            <w:vAlign w:val="center"/>
          </w:tcPr>
          <w:p>
            <w:pPr>
              <w:pStyle w:val="TableContents"/>
              <w:bidi w:val="0"/>
              <w:spacing w:before="0" w:after="0"/>
              <w:jc w:val="left"/>
              <w:rPr/>
            </w:pPr>
            <w:r>
              <w:rPr/>
              <w:t> </w:t>
            </w:r>
          </w:p>
        </w:tc>
        <w:tc>
          <w:tcPr>
            <w:tcW w:w="2508" w:type="dxa"/>
            <w:gridSpan w:val="5"/>
            <w:tcBorders/>
            <w:vAlign w:val="center"/>
          </w:tcPr>
          <w:p>
            <w:pPr>
              <w:pStyle w:val="TableContents"/>
              <w:bidi w:val="0"/>
              <w:spacing w:before="0" w:after="0"/>
              <w:jc w:val="center"/>
              <w:rPr>
                <w:b/>
                <w:sz w:val="20"/>
              </w:rPr>
            </w:pPr>
            <w:r>
              <w:rPr>
                <w:b/>
                <w:sz w:val="20"/>
              </w:rPr>
              <w:t>Three Months Ended July 31,</w:t>
            </w:r>
          </w:p>
        </w:tc>
        <w:tc>
          <w:tcPr>
            <w:tcW w:w="60" w:type="dxa"/>
            <w:tcBorders/>
            <w:vAlign w:val="center"/>
          </w:tcPr>
          <w:p>
            <w:pPr>
              <w:pStyle w:val="TableContents"/>
              <w:bidi w:val="0"/>
              <w:spacing w:before="0" w:after="0"/>
              <w:jc w:val="left"/>
              <w:rPr/>
            </w:pPr>
            <w:r>
              <w:rPr/>
              <w:t> </w:t>
            </w:r>
          </w:p>
        </w:tc>
        <w:tc>
          <w:tcPr>
            <w:tcW w:w="2403" w:type="dxa"/>
            <w:gridSpan w:val="5"/>
            <w:tcBorders/>
            <w:vAlign w:val="center"/>
          </w:tcPr>
          <w:p>
            <w:pPr>
              <w:pStyle w:val="TableContents"/>
              <w:bidi w:val="0"/>
              <w:spacing w:before="0" w:after="0"/>
              <w:jc w:val="center"/>
              <w:rPr>
                <w:b/>
                <w:sz w:val="20"/>
              </w:rPr>
            </w:pPr>
            <w:r>
              <w:rPr>
                <w:b/>
                <w:sz w:val="20"/>
              </w:rPr>
              <w:t>Nine Months Ended July 31,</w:t>
            </w:r>
          </w:p>
        </w:tc>
      </w:tr>
      <w:tr>
        <w:trPr/>
        <w:tc>
          <w:tcPr>
            <w:tcW w:w="5090" w:type="dxa"/>
            <w:tcBorders/>
            <w:vAlign w:val="center"/>
          </w:tcPr>
          <w:p>
            <w:pPr>
              <w:pStyle w:val="TableContents"/>
              <w:bidi w:val="0"/>
              <w:spacing w:before="0" w:after="0"/>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0"/>
              <w:jc w:val="center"/>
              <w:rPr>
                <w:b/>
                <w:sz w:val="20"/>
              </w:rPr>
            </w:pPr>
            <w:r>
              <w:rPr>
                <w:b/>
                <w:sz w:val="20"/>
              </w:rPr>
              <w:t>2026</w:t>
            </w:r>
          </w:p>
        </w:tc>
        <w:tc>
          <w:tcPr>
            <w:tcW w:w="88" w:type="dxa"/>
            <w:tcBorders/>
            <w:vAlign w:val="center"/>
          </w:tcPr>
          <w:p>
            <w:pPr>
              <w:pStyle w:val="TableContents"/>
              <w:bidi w:val="0"/>
              <w:spacing w:before="0" w:after="0"/>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0"/>
              <w:jc w:val="center"/>
              <w:rPr>
                <w:b/>
                <w:sz w:val="20"/>
              </w:rPr>
            </w:pPr>
            <w:r>
              <w:rPr>
                <w:b/>
                <w:sz w:val="20"/>
              </w:rPr>
              <w:t>2025</w:t>
            </w:r>
          </w:p>
        </w:tc>
        <w:tc>
          <w:tcPr>
            <w:tcW w:w="60" w:type="dxa"/>
            <w:tcBorders/>
            <w:vAlign w:val="center"/>
          </w:tcPr>
          <w:p>
            <w:pPr>
              <w:pStyle w:val="TableContents"/>
              <w:bidi w:val="0"/>
              <w:spacing w:before="0" w:after="0"/>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0"/>
              <w:jc w:val="center"/>
              <w:rPr>
                <w:b/>
                <w:sz w:val="20"/>
              </w:rPr>
            </w:pPr>
            <w:r>
              <w:rPr>
                <w:b/>
                <w:sz w:val="20"/>
              </w:rPr>
              <w:t>2026</w:t>
            </w:r>
          </w:p>
        </w:tc>
        <w:tc>
          <w:tcPr>
            <w:tcW w:w="71" w:type="dxa"/>
            <w:tcBorders/>
            <w:vAlign w:val="center"/>
          </w:tcPr>
          <w:p>
            <w:pPr>
              <w:pStyle w:val="TableContents"/>
              <w:bidi w:val="0"/>
              <w:spacing w:before="0" w:after="0"/>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z w:val="20"/>
              </w:rPr>
            </w:pPr>
            <w:r>
              <w:rPr>
                <w:b/>
                <w:sz w:val="20"/>
              </w:rPr>
              <w:t>2025</w:t>
            </w:r>
          </w:p>
        </w:tc>
      </w:tr>
      <w:tr>
        <w:trPr/>
        <w:tc>
          <w:tcPr>
            <w:tcW w:w="5090" w:type="dxa"/>
            <w:tcBorders/>
            <w:shd w:fill="CCEEFF" w:val="clear"/>
            <w:vAlign w:val="center"/>
          </w:tcPr>
          <w:p>
            <w:pPr>
              <w:pStyle w:val="TableContents"/>
              <w:bidi w:val="0"/>
              <w:spacing w:before="0" w:after="0"/>
              <w:jc w:val="left"/>
              <w:rPr>
                <w:b/>
                <w:sz w:val="20"/>
              </w:rPr>
            </w:pPr>
            <w:r>
              <w:rPr>
                <w:b/>
                <w:sz w:val="20"/>
              </w:rPr>
              <w:t>Revenues:</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lef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5090" w:type="dxa"/>
            <w:tcBorders/>
            <w:shd w:fill="FFFFFF" w:val="clear"/>
            <w:vAlign w:val="center"/>
          </w:tcPr>
          <w:p>
            <w:pPr>
              <w:pStyle w:val="TableContents"/>
              <w:bidi w:val="0"/>
              <w:spacing w:before="0" w:after="0"/>
              <w:ind w:left="90" w:right="0" w:hanging="0"/>
              <w:jc w:val="left"/>
              <w:rPr>
                <w:sz w:val="20"/>
              </w:rPr>
            </w:pPr>
            <w:r>
              <w:rPr>
                <w:sz w:val="20"/>
              </w:rPr>
              <w:t>Homebuilding:</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lef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r>
      <w:tr>
        <w:trPr/>
        <w:tc>
          <w:tcPr>
            <w:tcW w:w="5090" w:type="dxa"/>
            <w:tcBorders/>
            <w:shd w:fill="CCEEFF" w:val="clear"/>
            <w:vAlign w:val="center"/>
          </w:tcPr>
          <w:p>
            <w:pPr>
              <w:pStyle w:val="TableContents"/>
              <w:bidi w:val="0"/>
              <w:spacing w:before="0" w:after="0"/>
              <w:ind w:left="0" w:right="0" w:firstLine="180"/>
              <w:jc w:val="left"/>
              <w:rPr>
                <w:sz w:val="20"/>
              </w:rPr>
            </w:pPr>
            <w:r>
              <w:rPr>
                <w:sz w:val="20"/>
              </w:rPr>
              <w:t>Sale of homes</w:t>
            </w:r>
          </w:p>
        </w:tc>
        <w:tc>
          <w:tcPr>
            <w:tcW w:w="184" w:type="dxa"/>
            <w:tcBorders/>
            <w:shd w:fill="CCEEFF" w:val="clear"/>
            <w:vAlign w:val="center"/>
          </w:tcPr>
          <w:p>
            <w:pPr>
              <w:pStyle w:val="TableContents"/>
              <w:bidi w:val="0"/>
              <w:spacing w:before="0" w:after="0"/>
              <w:jc w:val="both"/>
              <w:rPr>
                <w:sz w:val="20"/>
              </w:rPr>
            </w:pPr>
            <w:r>
              <w:rPr>
                <w:sz w:val="20"/>
              </w:rPr>
              <w:t>$</w:t>
            </w:r>
          </w:p>
        </w:tc>
        <w:tc>
          <w:tcPr>
            <w:tcW w:w="1026" w:type="dxa"/>
            <w:tcBorders/>
            <w:shd w:fill="CCEEFF" w:val="clear"/>
            <w:vAlign w:val="center"/>
          </w:tcPr>
          <w:p>
            <w:pPr>
              <w:pStyle w:val="TableContents"/>
              <w:bidi w:val="0"/>
              <w:spacing w:before="0" w:after="0"/>
              <w:jc w:val="right"/>
              <w:rPr>
                <w:sz w:val="20"/>
              </w:rPr>
            </w:pPr>
            <w:r>
              <w:rPr>
                <w:sz w:val="20"/>
              </w:rPr>
              <w:t>679,042</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sz w:val="20"/>
              </w:rPr>
            </w:pPr>
            <w:r>
              <w:rPr>
                <w:sz w:val="20"/>
              </w:rPr>
              <w:t>$</w:t>
            </w:r>
          </w:p>
        </w:tc>
        <w:tc>
          <w:tcPr>
            <w:tcW w:w="1026" w:type="dxa"/>
            <w:tcBorders/>
            <w:shd w:fill="CCEEFF" w:val="clear"/>
            <w:vAlign w:val="center"/>
          </w:tcPr>
          <w:p>
            <w:pPr>
              <w:pStyle w:val="TableContents"/>
              <w:bidi w:val="0"/>
              <w:spacing w:before="0" w:after="0"/>
              <w:jc w:val="right"/>
              <w:rPr>
                <w:sz w:val="20"/>
              </w:rPr>
            </w:pPr>
            <w:r>
              <w:rPr>
                <w:sz w:val="20"/>
              </w:rPr>
              <w:t>769,050</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sz w:val="20"/>
              </w:rPr>
            </w:pPr>
            <w:r>
              <w:rPr>
                <w:sz w:val="20"/>
              </w:rPr>
              <w:t>$</w:t>
            </w:r>
          </w:p>
        </w:tc>
        <w:tc>
          <w:tcPr>
            <w:tcW w:w="1008" w:type="dxa"/>
            <w:tcBorders/>
            <w:shd w:fill="CCEEFF" w:val="clear"/>
            <w:vAlign w:val="center"/>
          </w:tcPr>
          <w:p>
            <w:pPr>
              <w:pStyle w:val="TableContents"/>
              <w:bidi w:val="0"/>
              <w:spacing w:before="0" w:after="0"/>
              <w:jc w:val="right"/>
              <w:rPr>
                <w:sz w:val="20"/>
              </w:rPr>
            </w:pPr>
            <w:r>
              <w:rPr>
                <w:sz w:val="20"/>
              </w:rPr>
              <w:t>1,858,989</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sz w:val="20"/>
              </w:rPr>
            </w:pPr>
            <w:r>
              <w:rPr>
                <w:sz w:val="20"/>
              </w:rPr>
              <w:t>$</w:t>
            </w:r>
          </w:p>
        </w:tc>
        <w:tc>
          <w:tcPr>
            <w:tcW w:w="1026" w:type="dxa"/>
            <w:tcBorders/>
            <w:shd w:fill="CCEEFF" w:val="clear"/>
            <w:vAlign w:val="center"/>
          </w:tcPr>
          <w:p>
            <w:pPr>
              <w:pStyle w:val="TableContents"/>
              <w:bidi w:val="0"/>
              <w:spacing w:before="0" w:after="0"/>
              <w:jc w:val="right"/>
              <w:rPr>
                <w:sz w:val="20"/>
              </w:rPr>
            </w:pPr>
            <w:r>
              <w:rPr>
                <w:sz w:val="20"/>
              </w:rPr>
              <w:t>2,066,278</w:t>
            </w:r>
          </w:p>
        </w:tc>
      </w:tr>
      <w:tr>
        <w:trPr/>
        <w:tc>
          <w:tcPr>
            <w:tcW w:w="5090" w:type="dxa"/>
            <w:tcBorders/>
            <w:shd w:fill="FFFFFF" w:val="clear"/>
            <w:vAlign w:val="center"/>
          </w:tcPr>
          <w:p>
            <w:pPr>
              <w:pStyle w:val="TableContents"/>
              <w:bidi w:val="0"/>
              <w:spacing w:before="0" w:after="0"/>
              <w:ind w:left="0" w:right="0" w:firstLine="180"/>
              <w:jc w:val="left"/>
              <w:rPr>
                <w:sz w:val="20"/>
              </w:rPr>
            </w:pPr>
            <w:r>
              <w:rPr>
                <w:sz w:val="20"/>
              </w:rPr>
              <w:t>Land sales and other revenues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3,032</w:t>
            </w:r>
          </w:p>
        </w:tc>
        <w:tc>
          <w:tcPr>
            <w:tcW w:w="88" w:type="dxa"/>
            <w:tcBorders/>
            <w:shd w:fill="FFFFFF" w:val="cle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2,967</w:t>
            </w:r>
          </w:p>
        </w:tc>
        <w:tc>
          <w:tcPr>
            <w:tcW w:w="60"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color w:val="333333"/>
                <w:sz w:val="20"/>
              </w:rPr>
            </w:pPr>
            <w:r>
              <w:rPr>
                <w:color w:val="333333"/>
                <w:sz w:val="20"/>
              </w:rPr>
              <w:t>80,276</w:t>
            </w:r>
          </w:p>
        </w:tc>
        <w:tc>
          <w:tcPr>
            <w:tcW w:w="71" w:type="dxa"/>
            <w:tcBorders/>
            <w:shd w:fill="FFFFFF" w:val="clear"/>
            <w:vAlign w:val="center"/>
          </w:tcPr>
          <w:p>
            <w:pPr>
              <w:pStyle w:val="TableContents"/>
              <w:bidi w:val="0"/>
              <w:spacing w:before="0" w:after="0"/>
              <w:jc w:val="left"/>
              <w:rPr>
                <w:color w:val="333333"/>
              </w:rPr>
            </w:pPr>
            <w:r>
              <w:rPr>
                <w:color w:val="333333"/>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27,573</w:t>
            </w:r>
          </w:p>
        </w:tc>
      </w:tr>
      <w:tr>
        <w:trPr/>
        <w:tc>
          <w:tcPr>
            <w:tcW w:w="5090" w:type="dxa"/>
            <w:tcBorders/>
            <w:shd w:fill="CCEEFF" w:val="clear"/>
            <w:vAlign w:val="center"/>
          </w:tcPr>
          <w:p>
            <w:pPr>
              <w:pStyle w:val="TableContents"/>
              <w:bidi w:val="0"/>
              <w:spacing w:before="0" w:after="0"/>
              <w:ind w:left="288" w:right="0" w:hanging="0"/>
              <w:jc w:val="left"/>
              <w:rPr>
                <w:sz w:val="20"/>
              </w:rPr>
            </w:pPr>
            <w:r>
              <w:rPr>
                <w:sz w:val="20"/>
              </w:rPr>
              <w:t>Total homebuilding</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682,074</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772,017</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1,939,265</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2,093,851</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Financial services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23,672</w:t>
            </w:r>
          </w:p>
        </w:tc>
        <w:tc>
          <w:tcPr>
            <w:tcW w:w="88" w:type="dxa"/>
            <w:tcBorders/>
            <w:shd w:fill="FFFFFF" w:val="cle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28,566</w:t>
            </w:r>
          </w:p>
        </w:tc>
        <w:tc>
          <w:tcPr>
            <w:tcW w:w="60"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66,078</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66,826</w:t>
            </w:r>
          </w:p>
        </w:tc>
      </w:tr>
      <w:tr>
        <w:trPr/>
        <w:tc>
          <w:tcPr>
            <w:tcW w:w="5090" w:type="dxa"/>
            <w:tcBorders/>
            <w:shd w:fill="CCEEFF" w:val="clear"/>
            <w:vAlign w:val="center"/>
          </w:tcPr>
          <w:p>
            <w:pPr>
              <w:pStyle w:val="TableContents"/>
              <w:bidi w:val="0"/>
              <w:spacing w:before="0" w:after="0"/>
              <w:ind w:left="432" w:right="0" w:hanging="0"/>
              <w:jc w:val="left"/>
              <w:rPr>
                <w:sz w:val="20"/>
              </w:rPr>
            </w:pPr>
            <w:r>
              <w:rPr>
                <w:sz w:val="20"/>
              </w:rPr>
              <w:t>Total revenues</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705,746</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800,583</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2,005,343</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2,160,677</w:t>
            </w:r>
          </w:p>
        </w:tc>
      </w:tr>
      <w:tr>
        <w:trPr/>
        <w:tc>
          <w:tcPr>
            <w:tcW w:w="5090" w:type="dxa"/>
            <w:tcBorders/>
            <w:shd w:fill="FFFFFF" w:val="cle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5090" w:type="dxa"/>
            <w:tcBorders/>
            <w:shd w:fill="CCEEFF" w:val="clear"/>
            <w:vAlign w:val="center"/>
          </w:tcPr>
          <w:p>
            <w:pPr>
              <w:pStyle w:val="TableContents"/>
              <w:bidi w:val="0"/>
              <w:spacing w:before="0" w:after="0"/>
              <w:jc w:val="left"/>
              <w:rPr>
                <w:b/>
                <w:sz w:val="20"/>
              </w:rPr>
            </w:pPr>
            <w:r>
              <w:rPr>
                <w:b/>
                <w:sz w:val="20"/>
              </w:rPr>
              <w:t>Expenses:</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Homebuilding:</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r>
      <w:tr>
        <w:trPr/>
        <w:tc>
          <w:tcPr>
            <w:tcW w:w="5090" w:type="dxa"/>
            <w:tcBorders/>
            <w:shd w:fill="CCEEFF" w:val="clear"/>
            <w:vAlign w:val="center"/>
          </w:tcPr>
          <w:p>
            <w:pPr>
              <w:pStyle w:val="TableContents"/>
              <w:bidi w:val="0"/>
              <w:spacing w:before="0" w:after="0"/>
              <w:ind w:left="0" w:right="0" w:firstLine="180"/>
              <w:jc w:val="left"/>
              <w:rPr>
                <w:sz w:val="20"/>
              </w:rPr>
            </w:pPr>
            <w:r>
              <w:rPr>
                <w:sz w:val="20"/>
              </w:rPr>
              <w:t>Cost of sales, excluding interest</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579,576</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636,256</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sz w:val="20"/>
              </w:rPr>
            </w:pPr>
            <w:r>
              <w:rPr>
                <w:sz w:val="20"/>
              </w:rPr>
              <w:t>1,620,268</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1,712,835</w:t>
            </w:r>
          </w:p>
        </w:tc>
      </w:tr>
      <w:tr>
        <w:trPr/>
        <w:tc>
          <w:tcPr>
            <w:tcW w:w="5090" w:type="dxa"/>
            <w:tcBorders/>
            <w:shd w:fill="FFFFFF" w:val="clear"/>
            <w:vAlign w:val="center"/>
          </w:tcPr>
          <w:p>
            <w:pPr>
              <w:pStyle w:val="TableContents"/>
              <w:bidi w:val="0"/>
              <w:spacing w:before="0" w:after="0"/>
              <w:ind w:left="0" w:right="0" w:firstLine="180"/>
              <w:jc w:val="left"/>
              <w:rPr>
                <w:sz w:val="20"/>
              </w:rPr>
            </w:pPr>
            <w:r>
              <w:rPr>
                <w:sz w:val="20"/>
              </w:rPr>
              <w:t>Cost of sales interest</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19,098</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26,868</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sz w:val="20"/>
              </w:rPr>
            </w:pPr>
            <w:r>
              <w:rPr>
                <w:sz w:val="20"/>
              </w:rPr>
              <w:t>51,655</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66,162</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Inventory impairments and land option write-offs</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493</w:t>
            </w:r>
          </w:p>
        </w:tc>
        <w:tc>
          <w:tcPr>
            <w:tcW w:w="88" w:type="dxa"/>
            <w:tcBorders/>
            <w:shd w:fill="CCEEFF" w:val="cle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16,045</w:t>
            </w:r>
          </w:p>
        </w:tc>
        <w:tc>
          <w:tcPr>
            <w:tcW w:w="60"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11,602</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20,141</w:t>
            </w:r>
          </w:p>
        </w:tc>
      </w:tr>
      <w:tr>
        <w:trPr/>
        <w:tc>
          <w:tcPr>
            <w:tcW w:w="5090" w:type="dxa"/>
            <w:tcBorders/>
            <w:shd w:fill="FFFFFF" w:val="clear"/>
            <w:vAlign w:val="center"/>
          </w:tcPr>
          <w:p>
            <w:pPr>
              <w:pStyle w:val="TableContents"/>
              <w:bidi w:val="0"/>
              <w:spacing w:before="0" w:after="0"/>
              <w:ind w:left="450" w:right="0" w:hanging="0"/>
              <w:jc w:val="left"/>
              <w:rPr>
                <w:sz w:val="20"/>
              </w:rPr>
            </w:pPr>
            <w:r>
              <w:rPr>
                <w:sz w:val="20"/>
              </w:rPr>
              <w:t>Total cost of sales</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599,167</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679,169</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1,683,525</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1,799,138</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Selling, general and administrative</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49,469</w:t>
            </w:r>
          </w:p>
        </w:tc>
        <w:tc>
          <w:tcPr>
            <w:tcW w:w="88" w:type="dxa"/>
            <w:tcBorders/>
            <w:shd w:fill="CCEEFF" w:val="cle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55,770</w:t>
            </w:r>
          </w:p>
        </w:tc>
        <w:tc>
          <w:tcPr>
            <w:tcW w:w="60"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156,748</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161,087</w:t>
            </w:r>
          </w:p>
        </w:tc>
      </w:tr>
      <w:tr>
        <w:trPr/>
        <w:tc>
          <w:tcPr>
            <w:tcW w:w="5090" w:type="dxa"/>
            <w:tcBorders/>
            <w:shd w:fill="FFFFFF" w:val="clear"/>
            <w:vAlign w:val="center"/>
          </w:tcPr>
          <w:p>
            <w:pPr>
              <w:pStyle w:val="TableContents"/>
              <w:bidi w:val="0"/>
              <w:spacing w:before="0" w:after="0"/>
              <w:ind w:left="0" w:right="0" w:firstLine="450"/>
              <w:jc w:val="left"/>
              <w:rPr>
                <w:sz w:val="20"/>
              </w:rPr>
            </w:pPr>
            <w:r>
              <w:rPr>
                <w:sz w:val="20"/>
              </w:rPr>
              <w:t>Total homebuilding expenses</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648,636</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734,939</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1,840,273</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sz w:val="20"/>
              </w:rPr>
              <w:t>1,960,225</w:t>
            </w:r>
          </w:p>
        </w:tc>
      </w:tr>
      <w:tr>
        <w:trPr/>
        <w:tc>
          <w:tcPr>
            <w:tcW w:w="5090"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Financial services</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13,980</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14,715</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sz w:val="20"/>
              </w:rPr>
            </w:pPr>
            <w:r>
              <w:rPr>
                <w:sz w:val="20"/>
              </w:rPr>
              <w:t>40,576</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41,043</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Corporate general and administrative</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37,399</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35,029</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sz w:val="20"/>
              </w:rPr>
            </w:pPr>
            <w:r>
              <w:rPr>
                <w:sz w:val="20"/>
              </w:rPr>
              <w:t>98,116</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sz w:val="20"/>
              </w:rPr>
            </w:pPr>
            <w:r>
              <w:rPr>
                <w:sz w:val="20"/>
              </w:rPr>
              <w:t>97,221</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Other interest</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11,377</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7,149</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sz w:val="20"/>
              </w:rPr>
            </w:pPr>
            <w:r>
              <w:rPr>
                <w:sz w:val="20"/>
              </w:rPr>
              <w:t>36,025</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sz w:val="20"/>
              </w:rPr>
            </w:pPr>
            <w:r>
              <w:rPr>
                <w:sz w:val="20"/>
              </w:rPr>
              <w:t>25,811</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Other expense (income), net (1)</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526</w:t>
            </w:r>
          </w:p>
        </w:tc>
        <w:tc>
          <w:tcPr>
            <w:tcW w:w="88" w:type="dxa"/>
            <w:tcBorders/>
            <w:shd w:fill="CCEEFF" w:val="cle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460</w:t>
            </w:r>
          </w:p>
        </w:tc>
        <w:tc>
          <w:tcPr>
            <w:tcW w:w="60"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(30,182)</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(19,660)</w:t>
            </w:r>
          </w:p>
        </w:tc>
      </w:tr>
      <w:tr>
        <w:trPr/>
        <w:tc>
          <w:tcPr>
            <w:tcW w:w="5090" w:type="dxa"/>
            <w:tcBorders/>
            <w:shd w:fill="FFFFFF" w:val="clear"/>
            <w:vAlign w:val="center"/>
          </w:tcPr>
          <w:p>
            <w:pPr>
              <w:pStyle w:val="TableContents"/>
              <w:bidi w:val="0"/>
              <w:spacing w:before="0" w:after="0"/>
              <w:ind w:left="0" w:right="0" w:firstLine="450"/>
              <w:jc w:val="left"/>
              <w:rPr>
                <w:sz w:val="20"/>
              </w:rPr>
            </w:pPr>
            <w:r>
              <w:rPr>
                <w:sz w:val="20"/>
              </w:rPr>
              <w:t>Total expenses</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711,918</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792,292</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1,984,808</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2,104,640</w:t>
            </w:r>
          </w:p>
        </w:tc>
      </w:tr>
      <w:tr>
        <w:trPr/>
        <w:tc>
          <w:tcPr>
            <w:tcW w:w="5090" w:type="dxa"/>
            <w:tcBorders/>
            <w:shd w:fill="CCEEFF" w:val="clear"/>
            <w:vAlign w:val="center"/>
          </w:tcPr>
          <w:p>
            <w:pPr>
              <w:pStyle w:val="TableContents"/>
              <w:bidi w:val="0"/>
              <w:spacing w:before="0" w:after="0"/>
              <w:jc w:val="left"/>
              <w:rPr>
                <w:sz w:val="20"/>
              </w:rPr>
            </w:pPr>
            <w:r>
              <w:rPr>
                <w:sz w:val="20"/>
              </w:rPr>
              <w:t>Gain on extinguishment of debt, net</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399</w:t>
            </w:r>
          </w:p>
        </w:tc>
      </w:tr>
      <w:tr>
        <w:trPr/>
        <w:tc>
          <w:tcPr>
            <w:tcW w:w="5090" w:type="dxa"/>
            <w:tcBorders/>
            <w:shd w:fill="FFFFFF" w:val="clear"/>
            <w:vAlign w:val="center"/>
          </w:tcPr>
          <w:p>
            <w:pPr>
              <w:pStyle w:val="TableContents"/>
              <w:bidi w:val="0"/>
              <w:spacing w:before="0" w:after="0"/>
              <w:jc w:val="left"/>
              <w:rPr>
                <w:sz w:val="20"/>
              </w:rPr>
            </w:pPr>
            <w:r>
              <w:rPr>
                <w:sz w:val="20"/>
              </w:rPr>
              <w:t>Income from unconsolidated joint ventures</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3,397</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15,511</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5,731</w:t>
            </w:r>
          </w:p>
        </w:tc>
        <w:tc>
          <w:tcPr>
            <w:tcW w:w="71"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33,759</w:t>
            </w:r>
          </w:p>
        </w:tc>
      </w:tr>
      <w:tr>
        <w:trPr/>
        <w:tc>
          <w:tcPr>
            <w:tcW w:w="5090" w:type="dxa"/>
            <w:tcBorders/>
            <w:shd w:fill="CCEEFF" w:val="clear"/>
            <w:vAlign w:val="center"/>
          </w:tcPr>
          <w:p>
            <w:pPr>
              <w:pStyle w:val="TableContents"/>
              <w:bidi w:val="0"/>
              <w:spacing w:before="0" w:after="0"/>
              <w:jc w:val="left"/>
              <w:rPr>
                <w:sz w:val="20"/>
              </w:rPr>
            </w:pPr>
            <w:r>
              <w:rPr>
                <w:sz w:val="20"/>
              </w:rPr>
              <w:t>(Loss) income before income taxes</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(2,775)</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23,802</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26,266</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90,195</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(Benefit) provision for income taxes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(560)</w:t>
            </w:r>
          </w:p>
        </w:tc>
        <w:tc>
          <w:tcPr>
            <w:tcW w:w="88" w:type="dxa"/>
            <w:tcBorders/>
            <w:shd w:fill="FFFF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7,187</w:t>
            </w:r>
          </w:p>
        </w:tc>
        <w:tc>
          <w:tcPr>
            <w:tcW w:w="60" w:type="dxa"/>
            <w:tcBorders/>
            <w:shd w:fill="FFFF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8,217</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sz w:val="20"/>
              </w:rPr>
              <w:t>25,663</w:t>
            </w:r>
          </w:p>
        </w:tc>
      </w:tr>
      <w:tr>
        <w:trPr/>
        <w:tc>
          <w:tcPr>
            <w:tcW w:w="5090" w:type="dxa"/>
            <w:tcBorders/>
            <w:shd w:fill="CCEEFF" w:val="clear"/>
            <w:vAlign w:val="center"/>
          </w:tcPr>
          <w:p>
            <w:pPr>
              <w:pStyle w:val="TableContents"/>
              <w:bidi w:val="0"/>
              <w:spacing w:before="0" w:after="0"/>
              <w:jc w:val="left"/>
              <w:rPr>
                <w:sz w:val="20"/>
              </w:rPr>
            </w:pPr>
            <w:r>
              <w:rPr>
                <w:sz w:val="20"/>
              </w:rPr>
              <w:t>Net (loss) income</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(2,215)</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16,615</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18,049</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64,532</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Less: net (loss) income attributable to noncontrolling interest</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(414)</w:t>
            </w:r>
          </w:p>
        </w:tc>
        <w:tc>
          <w:tcPr>
            <w:tcW w:w="88" w:type="dxa"/>
            <w:tcBorders/>
            <w:shd w:fill="FFFFFF" w:val="cle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w:t>
            </w:r>
          </w:p>
        </w:tc>
        <w:tc>
          <w:tcPr>
            <w:tcW w:w="60"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(725)</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w:t>
            </w:r>
          </w:p>
        </w:tc>
      </w:tr>
      <w:tr>
        <w:trPr/>
        <w:tc>
          <w:tcPr>
            <w:tcW w:w="5090" w:type="dxa"/>
            <w:tcBorders/>
            <w:shd w:fill="CCEEFF" w:val="clear"/>
            <w:vAlign w:val="center"/>
          </w:tcPr>
          <w:p>
            <w:pPr>
              <w:pStyle w:val="TableContents"/>
              <w:bidi w:val="0"/>
              <w:spacing w:before="0" w:after="0"/>
              <w:jc w:val="left"/>
              <w:rPr>
                <w:sz w:val="20"/>
              </w:rPr>
            </w:pPr>
            <w:r>
              <w:rPr>
                <w:sz w:val="20"/>
              </w:rPr>
              <w:t>Net (loss) income attributable to Hovnanian Enterprises, Inc.</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(1,801)</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16,615</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18,774</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sz w:val="20"/>
              </w:rPr>
              <w:t>64,532</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Less: preferred stock dividends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2,669</w:t>
            </w:r>
          </w:p>
        </w:tc>
        <w:tc>
          <w:tcPr>
            <w:tcW w:w="88" w:type="dxa"/>
            <w:tcBorders/>
            <w:shd w:fill="FFFFFF" w:val="cle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2,669</w:t>
            </w:r>
          </w:p>
        </w:tc>
        <w:tc>
          <w:tcPr>
            <w:tcW w:w="60"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8,007</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8,007</w:t>
            </w:r>
          </w:p>
        </w:tc>
      </w:tr>
      <w:tr>
        <w:trPr/>
        <w:tc>
          <w:tcPr>
            <w:tcW w:w="5090" w:type="dxa"/>
            <w:tcBorders/>
            <w:shd w:fill="CCEEFF" w:val="clear"/>
            <w:vAlign w:val="center"/>
          </w:tcPr>
          <w:p>
            <w:pPr>
              <w:pStyle w:val="TableContents"/>
              <w:bidi w:val="0"/>
              <w:spacing w:before="0" w:after="0"/>
              <w:jc w:val="left"/>
              <w:rPr>
                <w:sz w:val="20"/>
              </w:rPr>
            </w:pPr>
            <w:r>
              <w:rPr>
                <w:sz w:val="20"/>
              </w:rPr>
              <w:t>Net (loss) income available to common stockholders</w:t>
            </w:r>
          </w:p>
        </w:tc>
        <w:tc>
          <w:tcPr>
            <w:tcW w:w="1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(4,470)</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13,946</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10,767</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sz w:val="20"/>
              </w:rPr>
            </w:pPr>
            <w:r>
              <w:rPr>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sz w:val="20"/>
              </w:rPr>
              <w:t>56,525</w:t>
            </w:r>
          </w:p>
        </w:tc>
      </w:tr>
      <w:tr>
        <w:trPr/>
        <w:tc>
          <w:tcPr>
            <w:tcW w:w="5090" w:type="dxa"/>
            <w:tcBorders/>
            <w:shd w:fill="FFFFFF" w:val="clear"/>
            <w:vAlign w:val="center"/>
          </w:tcPr>
          <w:p>
            <w:pPr>
              <w:pStyle w:val="TableContents"/>
              <w:bidi w:val="0"/>
              <w:spacing w:before="0" w:after="0"/>
              <w:jc w:val="left"/>
              <w:rPr/>
            </w:pPr>
            <w:r>
              <w:rPr/>
              <w:t> </w:t>
            </w:r>
          </w:p>
        </w:tc>
        <w:tc>
          <w:tcPr>
            <w:tcW w:w="184"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090" w:type="dxa"/>
            <w:tcBorders/>
            <w:shd w:fill="CCEEFF" w:val="clear"/>
            <w:vAlign w:val="center"/>
          </w:tcPr>
          <w:p>
            <w:pPr>
              <w:pStyle w:val="TableContents"/>
              <w:bidi w:val="0"/>
              <w:spacing w:before="0" w:after="0"/>
              <w:jc w:val="left"/>
              <w:rPr>
                <w:b/>
                <w:sz w:val="20"/>
              </w:rPr>
            </w:pPr>
            <w:r>
              <w:rPr>
                <w:b/>
                <w:sz w:val="20"/>
              </w:rPr>
              <w:t>Per share data:</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090" w:type="dxa"/>
            <w:tcBorders/>
            <w:shd w:fill="FFFFFF" w:val="clear"/>
            <w:vAlign w:val="center"/>
          </w:tcPr>
          <w:p>
            <w:pPr>
              <w:pStyle w:val="TableContents"/>
              <w:bidi w:val="0"/>
              <w:spacing w:before="0" w:after="0"/>
              <w:jc w:val="left"/>
              <w:rPr>
                <w:sz w:val="20"/>
              </w:rPr>
            </w:pPr>
            <w:r>
              <w:rPr>
                <w:sz w:val="20"/>
              </w:rPr>
              <w:t>Basic:</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Net (loss) income per common share</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(0.70)</w:t>
            </w:r>
          </w:p>
        </w:tc>
        <w:tc>
          <w:tcPr>
            <w:tcW w:w="88" w:type="dxa"/>
            <w:tcBorders/>
            <w:shd w:fill="CCEEFF" w:val="cle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2.14</w:t>
            </w:r>
          </w:p>
        </w:tc>
        <w:tc>
          <w:tcPr>
            <w:tcW w:w="60"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sz w:val="20"/>
              </w:rPr>
            </w:pPr>
            <w:r>
              <w:rPr>
                <w:sz w:val="20"/>
              </w:rPr>
              <w:t>$</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1.65</w:t>
            </w:r>
          </w:p>
        </w:tc>
        <w:tc>
          <w:tcPr>
            <w:tcW w:w="71" w:type="dxa"/>
            <w:tcBorders/>
            <w:shd w:fill="CCEEFF" w:val="cle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sz w:val="20"/>
              </w:rPr>
              <w:t>8.55</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Weighted-average number of common shares outstanding</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color w:val="333333"/>
                <w:sz w:val="20"/>
              </w:rPr>
            </w:pPr>
            <w:r>
              <w:rPr>
                <w:color w:val="333333"/>
                <w:sz w:val="20"/>
              </w:rPr>
              <w:t>6,412</w:t>
            </w:r>
          </w:p>
        </w:tc>
        <w:tc>
          <w:tcPr>
            <w:tcW w:w="88" w:type="dxa"/>
            <w:tcBorders/>
            <w:shd w:fill="FFFFFF" w:val="clear"/>
            <w:vAlign w:val="center"/>
          </w:tcPr>
          <w:p>
            <w:pPr>
              <w:pStyle w:val="TableContents"/>
              <w:bidi w:val="0"/>
              <w:spacing w:before="0" w:after="0"/>
              <w:jc w:val="left"/>
              <w:rPr>
                <w:color w:val="333333"/>
              </w:rPr>
            </w:pPr>
            <w:r>
              <w:rPr>
                <w:color w:val="333333"/>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color w:val="333333"/>
                <w:sz w:val="20"/>
              </w:rPr>
            </w:pPr>
            <w:r>
              <w:rPr>
                <w:color w:val="333333"/>
                <w:sz w:val="20"/>
              </w:rPr>
              <w:t>6,399</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color w:val="333333"/>
                <w:sz w:val="20"/>
              </w:rPr>
            </w:pPr>
            <w:r>
              <w:rPr>
                <w:color w:val="333333"/>
                <w:sz w:val="20"/>
              </w:rPr>
              <w:t>6,439</w:t>
            </w:r>
          </w:p>
        </w:tc>
        <w:tc>
          <w:tcPr>
            <w:tcW w:w="71" w:type="dxa"/>
            <w:tcBorders/>
            <w:shd w:fill="FFFFFF" w:val="clear"/>
            <w:vAlign w:val="center"/>
          </w:tcPr>
          <w:p>
            <w:pPr>
              <w:pStyle w:val="TableContents"/>
              <w:bidi w:val="0"/>
              <w:spacing w:before="0" w:after="0"/>
              <w:jc w:val="left"/>
              <w:rPr>
                <w:color w:val="333333"/>
              </w:rPr>
            </w:pPr>
            <w:r>
              <w:rPr>
                <w:color w:val="333333"/>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color w:val="333333"/>
                <w:sz w:val="20"/>
              </w:rPr>
            </w:pPr>
            <w:r>
              <w:rPr>
                <w:color w:val="333333"/>
                <w:sz w:val="20"/>
              </w:rPr>
              <w:t>6,442</w:t>
            </w:r>
          </w:p>
        </w:tc>
      </w:tr>
      <w:tr>
        <w:trPr/>
        <w:tc>
          <w:tcPr>
            <w:tcW w:w="5090" w:type="dxa"/>
            <w:tcBorders/>
            <w:shd w:fill="CCEEFF" w:val="clear"/>
            <w:vAlign w:val="center"/>
          </w:tcPr>
          <w:p>
            <w:pPr>
              <w:pStyle w:val="TableContents"/>
              <w:bidi w:val="0"/>
              <w:spacing w:before="0" w:after="0"/>
              <w:jc w:val="left"/>
              <w:rPr>
                <w:sz w:val="20"/>
              </w:rPr>
            </w:pPr>
            <w:r>
              <w:rPr>
                <w:sz w:val="20"/>
              </w:rPr>
              <w:t>Assuming dilution:</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090" w:type="dxa"/>
            <w:tcBorders/>
            <w:shd w:fill="FFFFFF" w:val="clear"/>
            <w:vAlign w:val="center"/>
          </w:tcPr>
          <w:p>
            <w:pPr>
              <w:pStyle w:val="TableContents"/>
              <w:bidi w:val="0"/>
              <w:spacing w:before="0" w:after="0"/>
              <w:ind w:left="0" w:right="0" w:firstLine="90"/>
              <w:jc w:val="left"/>
              <w:rPr>
                <w:sz w:val="20"/>
              </w:rPr>
            </w:pPr>
            <w:r>
              <w:rPr>
                <w:sz w:val="20"/>
              </w:rPr>
              <w:t>Net (loss) income per common share</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(0.70)</w:t>
            </w:r>
          </w:p>
        </w:tc>
        <w:tc>
          <w:tcPr>
            <w:tcW w:w="88" w:type="dxa"/>
            <w:tcBorders/>
            <w:shd w:fill="FFFFFF" w:val="cle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1.99</w:t>
            </w:r>
          </w:p>
        </w:tc>
        <w:tc>
          <w:tcPr>
            <w:tcW w:w="60"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sz w:val="20"/>
              </w:rPr>
            </w:pPr>
            <w:r>
              <w:rPr>
                <w:sz w:val="20"/>
              </w:rPr>
              <w:t>$</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1.55</w:t>
            </w:r>
          </w:p>
        </w:tc>
        <w:tc>
          <w:tcPr>
            <w:tcW w:w="71" w:type="dxa"/>
            <w:tcBorders/>
            <w:shd w:fill="FFFFFF" w:val="cle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sz w:val="20"/>
              </w:rPr>
            </w:pPr>
            <w:r>
              <w:rPr>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sz w:val="20"/>
              </w:rPr>
              <w:t>7.94</w:t>
            </w:r>
          </w:p>
        </w:tc>
      </w:tr>
      <w:tr>
        <w:trPr/>
        <w:tc>
          <w:tcPr>
            <w:tcW w:w="5090" w:type="dxa"/>
            <w:tcBorders/>
            <w:shd w:fill="CCEEFF" w:val="clear"/>
            <w:vAlign w:val="center"/>
          </w:tcPr>
          <w:p>
            <w:pPr>
              <w:pStyle w:val="TableContents"/>
              <w:bidi w:val="0"/>
              <w:spacing w:before="0" w:after="0"/>
              <w:ind w:left="0" w:right="0" w:firstLine="90"/>
              <w:jc w:val="left"/>
              <w:rPr>
                <w:sz w:val="20"/>
              </w:rPr>
            </w:pPr>
            <w:r>
              <w:rPr>
                <w:sz w:val="20"/>
              </w:rPr>
              <w:t>Weighted-average number of common shares outstanding</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6,412</w:t>
            </w:r>
          </w:p>
        </w:tc>
        <w:tc>
          <w:tcPr>
            <w:tcW w:w="88" w:type="dxa"/>
            <w:tcBorders/>
            <w:shd w:fill="CCEEFF" w:val="cle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6,887</w:t>
            </w:r>
          </w:p>
        </w:tc>
        <w:tc>
          <w:tcPr>
            <w:tcW w:w="60"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6,840</w:t>
            </w:r>
          </w:p>
        </w:tc>
        <w:tc>
          <w:tcPr>
            <w:tcW w:w="71" w:type="dxa"/>
            <w:tcBorders/>
            <w:shd w:fill="CCEEFF" w:val="cle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sz w:val="20"/>
              </w:rPr>
              <w:t>6,936</w:t>
            </w:r>
          </w:p>
        </w:tc>
      </w:tr>
    </w:tbl>
    <w:p>
      <w:pPr>
        <w:pStyle w:val="TextBody"/>
        <w:bidi w:val="0"/>
        <w:spacing w:before="0" w:after="0"/>
        <w:jc w:val="both"/>
        <w:rPr/>
      </w:pPr>
      <w:r>
        <w:rPr/>
        <w:t> </w:t>
      </w:r>
    </w:p>
    <w:p>
      <w:pPr>
        <w:pStyle w:val="TextBody"/>
        <w:bidi w:val="0"/>
        <w:spacing w:before="0" w:after="0"/>
        <w:jc w:val="both"/>
        <w:rPr>
          <w:sz w:val="20"/>
        </w:rPr>
      </w:pPr>
      <w:r>
        <w:rPr>
          <w:sz w:val="20"/>
        </w:rPr>
        <w:t>(1) Includes $26.8 million gain on consolidation of joint ventures for the nine months ended July 31, 2026, and $22.7 million gain on contribution of assets to a joint venture for the nine months ended July 31, 2025.</w:t>
      </w:r>
    </w:p>
    <w:p>
      <w:pPr>
        <w:pStyle w:val="TextBody"/>
        <w:bidi w:val="0"/>
        <w:spacing w:before="0" w:after="0"/>
        <w:jc w:val="left"/>
        <w:rPr/>
      </w:pPr>
      <w:r>
        <w:rPr/>
        <w:t> </w:t>
      </w:r>
    </w:p>
    <w:p>
      <w:pPr>
        <w:pStyle w:val="TextBody"/>
        <w:bidi w:val="0"/>
        <w:spacing w:before="0" w:after="0"/>
        <w:jc w:val="center"/>
        <w:rPr>
          <w:sz w:val="20"/>
        </w:rPr>
      </w:pPr>
      <w:r>
        <w:rPr>
          <w:sz w:val="20"/>
        </w:rPr>
        <w:t>11</w:t>
      </w:r>
    </w:p>
    <w:p>
      <w:pPr>
        <w:pStyle w:val="HorizontalLine"/>
        <w:pBdr>
          <w:bottom w:val="double" w:sz="2" w:space="0" w:color="808080"/>
        </w:pBdr>
        <w:bidi w:val="0"/>
        <w:jc w:val="center"/>
        <w:rPr/>
      </w:pPr>
      <w:r>
        <w:rPr/>
      </w:r>
    </w:p>
    <w:tbl>
      <w:tblPr>
        <w:tblW w:w="6440" w:type="dxa"/>
        <w:jc w:val="left"/>
        <w:tblInd w:w="0" w:type="dxa"/>
        <w:tblLayout w:type="fixed"/>
        <w:tblCellMar>
          <w:top w:w="0" w:type="dxa"/>
          <w:left w:w="0" w:type="dxa"/>
          <w:bottom w:w="0" w:type="dxa"/>
          <w:right w:w="0" w:type="dxa"/>
        </w:tblCellMar>
      </w:tblPr>
      <w:tblGrid>
        <w:gridCol w:w="6440"/>
      </w:tblGrid>
      <w:tr>
        <w:trPr/>
        <w:tc>
          <w:tcPr>
            <w:tcW w:w="6440" w:type="dxa"/>
            <w:tcBorders/>
            <w:vAlign w:val="center"/>
          </w:tcPr>
          <w:p>
            <w:pPr>
              <w:pStyle w:val="TableContents"/>
              <w:bidi w:val="0"/>
              <w:spacing w:before="0" w:after="0"/>
              <w:jc w:val="left"/>
              <w:rPr>
                <w:b/>
                <w:sz w:val="20"/>
              </w:rPr>
            </w:pPr>
            <w:r>
              <w:rPr>
                <w:b/>
                <w:sz w:val="20"/>
              </w:rPr>
              <w:t>HOVNANIAN ENTERPRISES, INC.</w:t>
            </w:r>
          </w:p>
        </w:tc>
      </w:tr>
      <w:tr>
        <w:trPr/>
        <w:tc>
          <w:tcPr>
            <w:tcW w:w="6440" w:type="dxa"/>
            <w:tcBorders/>
            <w:vAlign w:val="center"/>
          </w:tcPr>
          <w:p>
            <w:pPr>
              <w:pStyle w:val="TableContents"/>
              <w:bidi w:val="0"/>
              <w:spacing w:before="0" w:after="0"/>
              <w:jc w:val="left"/>
              <w:rPr>
                <w:b/>
                <w:sz w:val="20"/>
              </w:rPr>
            </w:pPr>
            <w:r>
              <w:rPr>
                <w:b/>
                <w:sz w:val="20"/>
              </w:rPr>
              <w:t>(DOLLARS IN THOUSANDS EXCEPT AVG. PRICE)</w:t>
            </w:r>
          </w:p>
        </w:tc>
      </w:tr>
      <w:tr>
        <w:trPr/>
        <w:tc>
          <w:tcPr>
            <w:tcW w:w="6440" w:type="dxa"/>
            <w:tcBorders/>
            <w:vAlign w:val="center"/>
          </w:tcPr>
          <w:p>
            <w:pPr>
              <w:pStyle w:val="TableContents"/>
              <w:bidi w:val="0"/>
              <w:spacing w:before="0" w:after="0"/>
              <w:jc w:val="left"/>
              <w:rPr>
                <w:sz w:val="20"/>
              </w:rPr>
            </w:pPr>
            <w:r>
              <w:rPr>
                <w:b/>
                <w:sz w:val="20"/>
              </w:rPr>
              <w:t xml:space="preserve">(SEGMENT DATA </w:t>
            </w:r>
            <w:r>
              <w:rPr>
                <w:b/>
                <w:sz w:val="20"/>
                <w:u w:val="single"/>
              </w:rPr>
              <w:t>EXCLUDES</w:t>
            </w:r>
            <w:r>
              <w:rPr>
                <w:sz w:val="20"/>
              </w:rPr>
              <w:t xml:space="preserve"> </w:t>
            </w:r>
            <w:r>
              <w:rPr>
                <w:b/>
                <w:sz w:val="20"/>
              </w:rPr>
              <w:t>UNCONSOLIDATED JOINT VENTURES)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4"/>
        <w:gridCol w:w="738"/>
        <w:gridCol w:w="110"/>
        <w:gridCol w:w="646"/>
        <w:gridCol w:w="110"/>
        <w:gridCol w:w="646"/>
        <w:gridCol w:w="785"/>
        <w:gridCol w:w="110"/>
        <w:gridCol w:w="646"/>
        <w:gridCol w:w="110"/>
        <w:gridCol w:w="646"/>
        <w:gridCol w:w="785"/>
        <w:gridCol w:w="110"/>
        <w:gridCol w:w="781"/>
        <w:gridCol w:w="110"/>
        <w:gridCol w:w="781"/>
        <w:gridCol w:w="807"/>
      </w:tblGrid>
      <w:tr>
        <w:trPr/>
        <w:tc>
          <w:tcPr>
            <w:tcW w:w="2284" w:type="dxa"/>
            <w:tcBorders/>
            <w:vAlign w:val="center"/>
          </w:tcPr>
          <w:p>
            <w:pPr>
              <w:pStyle w:val="TableContents"/>
              <w:bidi w:val="0"/>
              <w:spacing w:before="0" w:after="0"/>
              <w:jc w:val="left"/>
              <w:rPr/>
            </w:pPr>
            <w:r>
              <w:rPr/>
              <w:t> </w:t>
            </w:r>
          </w:p>
        </w:tc>
        <w:tc>
          <w:tcPr>
            <w:tcW w:w="738" w:type="dxa"/>
            <w:tcBorders>
              <w:right w:val="single" w:sz="6" w:space="0" w:color="000000"/>
            </w:tcBorders>
            <w:tcMar>
              <w:right w:w="28" w:type="dxa"/>
            </w:tcMar>
            <w:vAlign w:val="center"/>
          </w:tcPr>
          <w:p>
            <w:pPr>
              <w:pStyle w:val="TableContents"/>
              <w:bidi w:val="0"/>
              <w:spacing w:before="0" w:after="0"/>
              <w:jc w:val="right"/>
              <w:rPr/>
            </w:pPr>
            <w:r>
              <w:rPr/>
              <w:t> </w:t>
            </w:r>
          </w:p>
        </w:tc>
        <w:tc>
          <w:tcPr>
            <w:tcW w:w="2297"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Contracts (1)</w:t>
            </w:r>
          </w:p>
        </w:tc>
        <w:tc>
          <w:tcPr>
            <w:tcW w:w="2297" w:type="dxa"/>
            <w:gridSpan w:val="5"/>
            <w:tcBorders>
              <w:top w:val="single" w:sz="6" w:space="0" w:color="000000"/>
              <w:left w:val="single" w:sz="6" w:space="0" w:color="000000"/>
            </w:tcBorders>
            <w:shd w:fill="C0C0C0" w:val="clear"/>
            <w:tcMar>
              <w:top w:w="28" w:type="dxa"/>
              <w:left w:w="28" w:type="dxa"/>
            </w:tcMar>
            <w:vAlign w:val="center"/>
          </w:tcPr>
          <w:p>
            <w:pPr>
              <w:pStyle w:val="TableContents"/>
              <w:bidi w:val="0"/>
              <w:spacing w:before="0" w:after="0"/>
              <w:jc w:val="center"/>
              <w:rPr>
                <w:b/>
                <w:sz w:val="16"/>
              </w:rPr>
            </w:pPr>
            <w:r>
              <w:rPr>
                <w:b/>
                <w:sz w:val="16"/>
              </w:rPr>
              <w:t>Deliveries</w:t>
            </w:r>
          </w:p>
        </w:tc>
        <w:tc>
          <w:tcPr>
            <w:tcW w:w="2589"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w:t>
            </w:r>
          </w:p>
        </w:tc>
      </w:tr>
      <w:tr>
        <w:trPr/>
        <w:tc>
          <w:tcPr>
            <w:tcW w:w="2284" w:type="dxa"/>
            <w:tcBorders/>
            <w:vAlign w:val="center"/>
          </w:tcPr>
          <w:p>
            <w:pPr>
              <w:pStyle w:val="TableContents"/>
              <w:bidi w:val="0"/>
              <w:spacing w:before="0" w:after="0"/>
              <w:jc w:val="left"/>
              <w:rPr/>
            </w:pPr>
            <w:r>
              <w:rPr/>
              <w:t> </w:t>
            </w:r>
          </w:p>
        </w:tc>
        <w:tc>
          <w:tcPr>
            <w:tcW w:w="738" w:type="dxa"/>
            <w:tcBorders>
              <w:right w:val="single" w:sz="6" w:space="0" w:color="000000"/>
            </w:tcBorders>
            <w:tcMar>
              <w:right w:w="28" w:type="dxa"/>
            </w:tcMar>
            <w:vAlign w:val="center"/>
          </w:tcPr>
          <w:p>
            <w:pPr>
              <w:pStyle w:val="TableContents"/>
              <w:bidi w:val="0"/>
              <w:spacing w:before="0" w:after="0"/>
              <w:jc w:val="right"/>
              <w:rPr/>
            </w:pPr>
            <w:r>
              <w:rPr/>
              <w:t> </w:t>
            </w:r>
          </w:p>
        </w:tc>
        <w:tc>
          <w:tcPr>
            <w:tcW w:w="2297"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Three Months Ended</w:t>
            </w:r>
          </w:p>
        </w:tc>
        <w:tc>
          <w:tcPr>
            <w:tcW w:w="2297" w:type="dxa"/>
            <w:gridSpan w:val="5"/>
            <w:tcBorders>
              <w:left w:val="single" w:sz="6" w:space="0" w:color="000000"/>
            </w:tcBorders>
            <w:shd w:fill="C0C0C0" w:val="clear"/>
            <w:tcMar>
              <w:left w:w="28" w:type="dxa"/>
            </w:tcMar>
            <w:vAlign w:val="center"/>
          </w:tcPr>
          <w:p>
            <w:pPr>
              <w:pStyle w:val="TableContents"/>
              <w:bidi w:val="0"/>
              <w:spacing w:before="0" w:after="0"/>
              <w:jc w:val="center"/>
              <w:rPr>
                <w:b/>
                <w:sz w:val="16"/>
              </w:rPr>
            </w:pPr>
            <w:r>
              <w:rPr>
                <w:b/>
                <w:sz w:val="16"/>
              </w:rPr>
              <w:t>Three Months Ended</w:t>
            </w:r>
          </w:p>
        </w:tc>
        <w:tc>
          <w:tcPr>
            <w:tcW w:w="2589"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Backlog</w:t>
            </w:r>
          </w:p>
        </w:tc>
      </w:tr>
      <w:tr>
        <w:trPr/>
        <w:tc>
          <w:tcPr>
            <w:tcW w:w="2284" w:type="dxa"/>
            <w:tcBorders/>
            <w:vAlign w:val="center"/>
          </w:tcPr>
          <w:p>
            <w:pPr>
              <w:pStyle w:val="TableContents"/>
              <w:bidi w:val="0"/>
              <w:spacing w:before="0" w:after="0"/>
              <w:jc w:val="left"/>
              <w:rPr/>
            </w:pPr>
            <w:r>
              <w:rPr/>
              <w:t> </w:t>
            </w:r>
          </w:p>
        </w:tc>
        <w:tc>
          <w:tcPr>
            <w:tcW w:w="738" w:type="dxa"/>
            <w:tcBorders>
              <w:right w:val="single" w:sz="6" w:space="0" w:color="000000"/>
            </w:tcBorders>
            <w:tcMar>
              <w:right w:w="28" w:type="dxa"/>
            </w:tcMar>
            <w:vAlign w:val="center"/>
          </w:tcPr>
          <w:p>
            <w:pPr>
              <w:pStyle w:val="TableContents"/>
              <w:bidi w:val="0"/>
              <w:spacing w:before="0" w:after="0"/>
              <w:jc w:val="right"/>
              <w:rPr/>
            </w:pPr>
            <w:r>
              <w:rPr/>
              <w:t> </w:t>
            </w:r>
          </w:p>
        </w:tc>
        <w:tc>
          <w:tcPr>
            <w:tcW w:w="2297"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July 31,</w:t>
            </w:r>
          </w:p>
        </w:tc>
        <w:tc>
          <w:tcPr>
            <w:tcW w:w="2297" w:type="dxa"/>
            <w:gridSpan w:val="5"/>
            <w:tcBorders>
              <w:left w:val="single" w:sz="6" w:space="0" w:color="000000"/>
              <w:bottom w:val="single" w:sz="6" w:space="0" w:color="000000"/>
            </w:tcBorders>
            <w:shd w:fill="C0C0C0" w:val="clear"/>
            <w:tcMar>
              <w:left w:w="28" w:type="dxa"/>
              <w:bottom w:w="28" w:type="dxa"/>
            </w:tcMar>
            <w:vAlign w:val="center"/>
          </w:tcPr>
          <w:p>
            <w:pPr>
              <w:pStyle w:val="TableContents"/>
              <w:bidi w:val="0"/>
              <w:spacing w:before="0" w:after="0"/>
              <w:jc w:val="center"/>
              <w:rPr>
                <w:b/>
                <w:sz w:val="16"/>
              </w:rPr>
            </w:pPr>
            <w:r>
              <w:rPr>
                <w:b/>
                <w:sz w:val="16"/>
              </w:rPr>
              <w:t xml:space="preserve">July 31, </w:t>
            </w:r>
          </w:p>
        </w:tc>
        <w:tc>
          <w:tcPr>
            <w:tcW w:w="2589" w:type="dxa"/>
            <w:gridSpan w:val="5"/>
            <w:tcBorders>
              <w:left w:val="single" w:sz="6" w:space="0" w:color="000000"/>
              <w:bottom w:val="single" w:sz="6" w:space="0" w:color="000000"/>
              <w:right w:val="single" w:sz="6" w:space="0" w:color="000000"/>
            </w:tcBorders>
            <w:shd w:fill="C0C0C0" w:val="clear"/>
            <w:tcMar>
              <w:left w:w="28" w:type="dxa"/>
              <w:bottom w:w="28" w:type="dxa"/>
              <w:right w:w="28" w:type="dxa"/>
            </w:tcMar>
            <w:vAlign w:val="center"/>
          </w:tcPr>
          <w:p>
            <w:pPr>
              <w:pStyle w:val="TableContents"/>
              <w:bidi w:val="0"/>
              <w:spacing w:before="0" w:after="0"/>
              <w:jc w:val="center"/>
              <w:rPr>
                <w:b/>
                <w:sz w:val="16"/>
              </w:rPr>
            </w:pPr>
            <w:r>
              <w:rPr>
                <w:b/>
                <w:sz w:val="16"/>
              </w:rPr>
              <w:t>July 31,</w:t>
            </w:r>
          </w:p>
        </w:tc>
      </w:tr>
      <w:tr>
        <w:trPr/>
        <w:tc>
          <w:tcPr>
            <w:tcW w:w="2284" w:type="dxa"/>
            <w:tcBorders>
              <w:bottom w:val="single" w:sz="6" w:space="0" w:color="000000"/>
            </w:tcBorders>
            <w:tcMar>
              <w:bottom w:w="28" w:type="dxa"/>
            </w:tcMar>
            <w:vAlign w:val="center"/>
          </w:tcPr>
          <w:p>
            <w:pPr>
              <w:pStyle w:val="TableContents"/>
              <w:bidi w:val="0"/>
              <w:spacing w:before="0" w:after="0"/>
              <w:jc w:val="center"/>
              <w:rPr/>
            </w:pPr>
            <w:r>
              <w:rPr/>
              <w:t> </w:t>
            </w:r>
          </w:p>
        </w:tc>
        <w:tc>
          <w:tcPr>
            <w:tcW w:w="738"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right"/>
              <w:rPr/>
            </w:pPr>
            <w:r>
              <w:rPr/>
              <w:t> </w:t>
            </w:r>
          </w:p>
        </w:tc>
        <w:tc>
          <w:tcPr>
            <w:tcW w:w="756"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56"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756"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56"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891"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891"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807"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r>
      <w:tr>
        <w:trPr/>
        <w:tc>
          <w:tcPr>
            <w:tcW w:w="2284"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Northeast</w:t>
            </w:r>
            <w:r>
              <w:rPr>
                <w:sz w:val="16"/>
              </w:rPr>
              <w:t xml:space="preserve">                     </w:t>
            </w:r>
          </w:p>
        </w:tc>
        <w:tc>
          <w:tcPr>
            <w:tcW w:w="738" w:type="dxa"/>
            <w:tcBorders>
              <w:top w:val="single" w:sz="6" w:space="0" w:color="000000"/>
              <w:left w:val="single" w:sz="6" w:space="0" w:color="000000"/>
            </w:tcBorders>
            <w:tcMar>
              <w:top w:w="28" w:type="dxa"/>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(DE, MD, NJ, OH, PA, VA, WV)</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46" w:type="dxa"/>
            <w:tcBorders/>
            <w:vAlign w:val="center"/>
          </w:tcPr>
          <w:p>
            <w:pPr>
              <w:pStyle w:val="TableContents"/>
              <w:bidi w:val="0"/>
              <w:spacing w:before="0" w:after="0"/>
              <w:jc w:val="right"/>
              <w:rPr>
                <w:sz w:val="16"/>
              </w:rPr>
            </w:pPr>
            <w:r>
              <w:rPr>
                <w:sz w:val="16"/>
              </w:rPr>
              <w:t>468</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416</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12.5%</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423</w:t>
            </w:r>
          </w:p>
        </w:tc>
        <w:tc>
          <w:tcPr>
            <w:tcW w:w="110" w:type="dxa"/>
            <w:tcBorders/>
            <w:vAlign w:val="center"/>
          </w:tcPr>
          <w:p>
            <w:pPr>
              <w:pStyle w:val="TableContents"/>
              <w:bidi w:val="0"/>
              <w:spacing w:before="0" w:after="0"/>
              <w:jc w:val="left"/>
              <w:rPr/>
            </w:pPr>
            <w:r>
              <w:rPr/>
              <w:t> </w:t>
            </w:r>
          </w:p>
        </w:tc>
        <w:tc>
          <w:tcPr>
            <w:tcW w:w="646" w:type="dxa"/>
            <w:tcBorders/>
            <w:vAlign w:val="center"/>
          </w:tcPr>
          <w:p>
            <w:pPr>
              <w:pStyle w:val="TableContents"/>
              <w:bidi w:val="0"/>
              <w:spacing w:before="0" w:after="0"/>
              <w:jc w:val="right"/>
              <w:rPr>
                <w:sz w:val="16"/>
              </w:rPr>
            </w:pPr>
            <w:r>
              <w:rPr>
                <w:sz w:val="16"/>
              </w:rPr>
              <w:t>479</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(11.7)%</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820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761</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7.8%</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267,902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226,020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18.5%</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232,278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288,008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(19.4)%</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486,756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444,862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9.4%</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572,440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543,317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5.4%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549,121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601,269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(8.7)%</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593,605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584,576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1.5%</w:t>
            </w:r>
          </w:p>
        </w:tc>
      </w:tr>
      <w:tr>
        <w:trPr/>
        <w:tc>
          <w:tcPr>
            <w:tcW w:w="2284"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Southeast</w:t>
            </w:r>
            <w:r>
              <w:rPr>
                <w:sz w:val="16"/>
              </w:rPr>
              <w:t xml:space="preserve">                     </w:t>
            </w:r>
          </w:p>
        </w:tc>
        <w:tc>
          <w:tcPr>
            <w:tcW w:w="73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(FL, GA, SC)</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177</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157</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12.7%</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178</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195</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(8.7)%</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211</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228</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(7.5)%</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82,767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79,267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4.4%</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93,093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104,493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(10.9)%</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109,688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130,678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(16.1)%</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467,610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504,885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(7.4)%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522,994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535,862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519,848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573,149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(9.3)%</w:t>
            </w:r>
          </w:p>
        </w:tc>
      </w:tr>
      <w:tr>
        <w:trPr/>
        <w:tc>
          <w:tcPr>
            <w:tcW w:w="2284"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West</w:t>
            </w:r>
            <w:r>
              <w:rPr>
                <w:sz w:val="16"/>
              </w:rPr>
              <w:t xml:space="preserve">                          </w:t>
            </w:r>
          </w:p>
        </w:tc>
        <w:tc>
          <w:tcPr>
            <w:tcW w:w="73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(AZ, CA, TX)</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510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638</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(20.1)%</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658</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757</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(13.1)%</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478</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502</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(4.8)%</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271,884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314,349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(13.5)%</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353,671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376,549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(6.1)%</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285,462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263,272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8.4%</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533,106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492,710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8.2%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537,494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497,423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8.1%</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597,201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524,446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13.9%</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Domestic Subtotal</w:t>
            </w:r>
          </w:p>
        </w:tc>
        <w:tc>
          <w:tcPr>
            <w:tcW w:w="73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1,155</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1,211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(4.6)%</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1,259</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1,431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1,509</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1,491</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622,553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619,636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0.5%</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679,042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769,050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(11.7)%</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881,906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838,812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5.1%</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539,007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511,673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5.3%</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539,350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537,421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584,431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562,584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3.9%</w:t>
            </w:r>
          </w:p>
        </w:tc>
      </w:tr>
      <w:tr>
        <w:trPr/>
        <w:tc>
          <w:tcPr>
            <w:tcW w:w="2284"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HOV Global (2)</w:t>
            </w:r>
            <w:r>
              <w:rPr>
                <w:sz w:val="16"/>
              </w:rPr>
              <w:t xml:space="preserve">                    </w:t>
            </w:r>
          </w:p>
        </w:tc>
        <w:tc>
          <w:tcPr>
            <w:tcW w:w="73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lef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(Kingdom of Saudi Arabia)</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23</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788</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0</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5,481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191,445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0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238,304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242,951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r>
      <w:tr>
        <w:trPr/>
        <w:tc>
          <w:tcPr>
            <w:tcW w:w="2284" w:type="dxa"/>
            <w:tcBorders>
              <w:left w:val="single" w:sz="6" w:space="0" w:color="000000"/>
            </w:tcBorders>
            <w:tcMar>
              <w:left w:w="28" w:type="dxa"/>
            </w:tcMar>
            <w:vAlign w:val="center"/>
          </w:tcPr>
          <w:p>
            <w:pPr>
              <w:pStyle w:val="TableContents"/>
              <w:bidi w:val="0"/>
              <w:spacing w:before="0" w:after="0"/>
              <w:jc w:val="left"/>
              <w:rPr>
                <w:b/>
                <w:sz w:val="16"/>
              </w:rPr>
            </w:pPr>
            <w:r>
              <w:rPr>
                <w:b/>
                <w:sz w:val="16"/>
              </w:rPr>
              <w:t>Consolidated Total</w:t>
            </w:r>
          </w:p>
        </w:tc>
        <w:tc>
          <w:tcPr>
            <w:tcW w:w="738"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1,178</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1,211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(2.7)%</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1,259</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1,431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2,297</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1,491</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54.1%</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righ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628,034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619,636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1.4%</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679,042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769,050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(11.7)%</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1,073,351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838,812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28.0%</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533,136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511,673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539,350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537,421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467,284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562,584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(16.9)%</w:t>
            </w:r>
          </w:p>
        </w:tc>
      </w:tr>
      <w:tr>
        <w:trPr/>
        <w:tc>
          <w:tcPr>
            <w:tcW w:w="2284" w:type="dxa"/>
            <w:tcBorders>
              <w:left w:val="single" w:sz="6" w:space="0" w:color="000000"/>
            </w:tcBorders>
            <w:tcMar>
              <w:left w:w="28" w:type="dxa"/>
            </w:tcMar>
            <w:vAlign w:val="center"/>
          </w:tcPr>
          <w:p>
            <w:pPr>
              <w:pStyle w:val="TableContents"/>
              <w:bidi w:val="0"/>
              <w:spacing w:before="0" w:after="0"/>
              <w:jc w:val="left"/>
              <w:rPr>
                <w:b/>
                <w:sz w:val="16"/>
              </w:rPr>
            </w:pPr>
            <w:r>
              <w:rPr>
                <w:b/>
                <w:sz w:val="16"/>
              </w:rPr>
              <w:t>Unconsolidated Joint Ventures</w:t>
            </w:r>
          </w:p>
        </w:tc>
        <w:tc>
          <w:tcPr>
            <w:tcW w:w="738"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tcBorders>
            <w:tcMar>
              <w:left w:w="28" w:type="dxa"/>
            </w:tcMar>
            <w:vAlign w:val="center"/>
          </w:tcPr>
          <w:p>
            <w:pPr>
              <w:pStyle w:val="TableContents"/>
              <w:bidi w:val="0"/>
              <w:spacing w:before="0" w:after="0"/>
              <w:jc w:val="left"/>
              <w:rPr>
                <w:sz w:val="16"/>
              </w:rPr>
            </w:pPr>
            <w:r>
              <w:rPr>
                <w:sz w:val="16"/>
              </w:rPr>
              <w:t>(excluding KSA JV)</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204</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205</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(0.5)%</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225</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245</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(8.2)%</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383</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387</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(2) (3)</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137,665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129,354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6.4%</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155,567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164,971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(5.7)%</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273,861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264,240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3.6%</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674,828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630,995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6.9%</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691,409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673,351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2.7%</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715,042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682,791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4.7%</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Grand Total</w:t>
            </w:r>
          </w:p>
        </w:tc>
        <w:tc>
          <w:tcPr>
            <w:tcW w:w="738"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284" w:type="dxa"/>
            <w:tcBorders>
              <w:left w:val="single" w:sz="6" w:space="0" w:color="000000"/>
            </w:tcBorders>
            <w:tcMar>
              <w:left w:w="28" w:type="dxa"/>
            </w:tcMar>
            <w:vAlign w:val="center"/>
          </w:tcPr>
          <w:p>
            <w:pPr>
              <w:pStyle w:val="TableContents"/>
              <w:bidi w:val="0"/>
              <w:spacing w:before="0" w:after="0"/>
              <w:jc w:val="righ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1,382</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1,416</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(2.4)%</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1,484</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1,676</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(11.5)%</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2,680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1,878</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42.7%</w:t>
            </w:r>
          </w:p>
        </w:tc>
      </w:tr>
      <w:tr>
        <w:trPr/>
        <w:tc>
          <w:tcPr>
            <w:tcW w:w="2284" w:type="dxa"/>
            <w:tcBorders>
              <w:left w:val="single" w:sz="6" w:space="0" w:color="000000"/>
            </w:tcBorders>
            <w:tcMar>
              <w:lef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765,699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748,990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2.2%</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834,609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934,021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(10.6)%</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1,347,212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1,103,052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22.1%</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554,051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528,948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4.7%</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562,405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557,292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0.9%</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502,691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587,355 </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(14.4)%</w:t>
            </w:r>
          </w:p>
        </w:tc>
      </w:tr>
      <w:tr>
        <w:trPr/>
        <w:tc>
          <w:tcPr>
            <w:tcW w:w="2284" w:type="dxa"/>
            <w:tcBorders/>
            <w:vAlign w:val="center"/>
          </w:tcPr>
          <w:p>
            <w:pPr>
              <w:pStyle w:val="TableContents"/>
              <w:bidi w:val="0"/>
              <w:spacing w:before="0" w:after="0"/>
              <w:jc w:val="right"/>
              <w:rPr/>
            </w:pPr>
            <w:r>
              <w:rPr/>
              <w:t> </w:t>
            </w:r>
          </w:p>
        </w:tc>
        <w:tc>
          <w:tcPr>
            <w:tcW w:w="73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pPr>
            <w:r>
              <w:rPr/>
              <w:t> </w:t>
            </w:r>
          </w:p>
        </w:tc>
        <w:tc>
          <w:tcPr>
            <w:tcW w:w="807" w:type="dxa"/>
            <w:tcBorders/>
            <w:vAlign w:val="center"/>
          </w:tcPr>
          <w:p>
            <w:pPr>
              <w:pStyle w:val="TableContents"/>
              <w:bidi w:val="0"/>
              <w:spacing w:before="0" w:after="0"/>
              <w:jc w:val="right"/>
              <w:rPr/>
            </w:pPr>
            <w:r>
              <w:rPr/>
              <w:t> </w:t>
            </w:r>
          </w:p>
        </w:tc>
      </w:tr>
      <w:tr>
        <w:trPr/>
        <w:tc>
          <w:tcPr>
            <w:tcW w:w="2284"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KSA JV Only</w:t>
            </w:r>
          </w:p>
        </w:tc>
        <w:tc>
          <w:tcPr>
            <w:tcW w:w="738"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46"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46"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46"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46"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81"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81" w:type="dxa"/>
            <w:tcBorders>
              <w:top w:val="single" w:sz="6" w:space="0" w:color="000000"/>
            </w:tcBorders>
            <w:tcMar>
              <w:top w:w="28" w:type="dxa"/>
            </w:tcMar>
            <w:vAlign w:val="center"/>
          </w:tcPr>
          <w:p>
            <w:pPr>
              <w:pStyle w:val="TableContents"/>
              <w:bidi w:val="0"/>
              <w:spacing w:before="0" w:after="0"/>
              <w:jc w:val="left"/>
              <w:rPr/>
            </w:pPr>
            <w:r>
              <w:rPr/>
              <w:t> </w:t>
            </w:r>
          </w:p>
        </w:tc>
        <w:tc>
          <w:tcPr>
            <w:tcW w:w="807"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39</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46" w:type="dxa"/>
            <w:tcBorders/>
            <w:vAlign w:val="center"/>
          </w:tcPr>
          <w:p>
            <w:pPr>
              <w:pStyle w:val="TableContents"/>
              <w:bidi w:val="0"/>
              <w:spacing w:before="0" w:after="0"/>
              <w:jc w:val="right"/>
              <w:rPr>
                <w:sz w:val="16"/>
              </w:rPr>
            </w:pPr>
            <w:r>
              <w:rPr>
                <w:sz w:val="16"/>
              </w:rPr>
              <w:t>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781" w:type="dxa"/>
            <w:tcBorders/>
            <w:vAlign w:val="center"/>
          </w:tcPr>
          <w:p>
            <w:pPr>
              <w:pStyle w:val="TableContents"/>
              <w:bidi w:val="0"/>
              <w:spacing w:before="0" w:after="0"/>
              <w:jc w:val="right"/>
              <w:rPr>
                <w:sz w:val="16"/>
              </w:rPr>
            </w:pPr>
            <w:r>
              <w:rPr>
                <w:sz w:val="16"/>
              </w:rPr>
              <w:t>607</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284"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38"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9,193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46" w:type="dxa"/>
            <w:tcBorders/>
            <w:vAlign w:val="center"/>
          </w:tcPr>
          <w:p>
            <w:pPr>
              <w:pStyle w:val="TableContents"/>
              <w:bidi w:val="0"/>
              <w:spacing w:before="0" w:after="0"/>
              <w:jc w:val="right"/>
              <w:rPr>
                <w:sz w:val="16"/>
              </w:rPr>
            </w:pPr>
            <w:r>
              <w:rPr>
                <w:sz w:val="16"/>
              </w:rPr>
              <w:t xml:space="preserve">177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781" w:type="dxa"/>
            <w:tcBorders/>
            <w:vAlign w:val="center"/>
          </w:tcPr>
          <w:p>
            <w:pPr>
              <w:pStyle w:val="TableContents"/>
              <w:bidi w:val="0"/>
              <w:spacing w:before="0" w:after="0"/>
              <w:jc w:val="right"/>
              <w:rPr>
                <w:sz w:val="16"/>
              </w:rPr>
            </w:pPr>
            <w:r>
              <w:rPr>
                <w:sz w:val="16"/>
              </w:rPr>
              <w:t xml:space="preserve">148,308 </w:t>
            </w:r>
          </w:p>
        </w:tc>
        <w:tc>
          <w:tcPr>
            <w:tcW w:w="807"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284"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38"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235,718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46"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177,000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81" w:type="dxa"/>
            <w:tcBorders>
              <w:bottom w:val="single" w:sz="6" w:space="0" w:color="000000"/>
            </w:tcBorders>
            <w:tcMar>
              <w:bottom w:w="28" w:type="dxa"/>
            </w:tcMar>
            <w:vAlign w:val="center"/>
          </w:tcPr>
          <w:p>
            <w:pPr>
              <w:pStyle w:val="TableContents"/>
              <w:bidi w:val="0"/>
              <w:spacing w:before="0" w:after="0"/>
              <w:jc w:val="right"/>
              <w:rPr>
                <w:sz w:val="16"/>
              </w:rPr>
            </w:pPr>
            <w:r>
              <w:rPr>
                <w:sz w:val="16"/>
              </w:rPr>
              <w:t>$244,329</w:t>
            </w:r>
          </w:p>
        </w:tc>
        <w:tc>
          <w:tcPr>
            <w:tcW w:w="807"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r>
    </w:tbl>
    <w:p>
      <w:pPr>
        <w:pStyle w:val="TextBody"/>
        <w:bidi w:val="0"/>
        <w:spacing w:before="0" w:after="0"/>
        <w:jc w:val="left"/>
        <w:rPr/>
      </w:pPr>
      <w:r>
        <w:rPr/>
        <w:t> </w:t>
      </w:r>
    </w:p>
    <w:tbl>
      <w:tblPr>
        <w:tblW w:w="2495" w:type="dxa"/>
        <w:jc w:val="left"/>
        <w:tblInd w:w="0" w:type="dxa"/>
        <w:tblLayout w:type="fixed"/>
        <w:tblCellMar>
          <w:top w:w="0" w:type="dxa"/>
          <w:left w:w="0" w:type="dxa"/>
          <w:bottom w:w="28" w:type="dxa"/>
          <w:right w:w="0" w:type="dxa"/>
        </w:tblCellMar>
      </w:tblPr>
      <w:tblGrid>
        <w:gridCol w:w="2495"/>
      </w:tblGrid>
      <w:tr>
        <w:trPr/>
        <w:tc>
          <w:tcPr>
            <w:tcW w:w="2495" w:type="dxa"/>
            <w:tcBorders>
              <w:bottom w:val="single" w:sz="6" w:space="0" w:color="000000"/>
            </w:tcBorders>
            <w:vAlign w:val="center"/>
          </w:tcPr>
          <w:p>
            <w:pPr>
              <w:pStyle w:val="TableContents"/>
              <w:bidi w:val="0"/>
              <w:spacing w:before="0" w:after="0"/>
              <w:jc w:val="left"/>
              <w:rPr>
                <w:sz w:val="16"/>
              </w:rPr>
            </w:pPr>
            <w:r>
              <w:rPr>
                <w:sz w:val="16"/>
              </w:rPr>
              <w:t>DELIVERIES INCLUDE EXTRAS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8"/>
        <w:gridCol w:w="425"/>
        <w:gridCol w:w="425"/>
        <w:gridCol w:w="425"/>
        <w:gridCol w:w="425"/>
        <w:gridCol w:w="425"/>
        <w:gridCol w:w="425"/>
        <w:gridCol w:w="425"/>
        <w:gridCol w:w="425"/>
        <w:gridCol w:w="425"/>
        <w:gridCol w:w="425"/>
        <w:gridCol w:w="425"/>
        <w:gridCol w:w="425"/>
        <w:gridCol w:w="425"/>
        <w:gridCol w:w="425"/>
        <w:gridCol w:w="425"/>
        <w:gridCol w:w="532"/>
      </w:tblGrid>
      <w:tr>
        <w:trPr/>
        <w:tc>
          <w:tcPr>
            <w:tcW w:w="3298" w:type="dxa"/>
            <w:tcBorders/>
            <w:vAlign w:val="center"/>
          </w:tcPr>
          <w:p>
            <w:pPr>
              <w:pStyle w:val="TableContents"/>
              <w:bidi w:val="0"/>
              <w:spacing w:before="0" w:after="20"/>
              <w:jc w:val="left"/>
              <w:rPr>
                <w:sz w:val="16"/>
              </w:rPr>
            </w:pPr>
            <w:r>
              <w:rPr>
                <w:sz w:val="16"/>
              </w:rPr>
              <w:t>Notes:</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532" w:type="dxa"/>
            <w:tcBorders/>
            <w:vAlign w:val="center"/>
          </w:tcPr>
          <w:p>
            <w:pPr>
              <w:pStyle w:val="TableContents"/>
              <w:bidi w:val="0"/>
              <w:spacing w:before="0" w:after="0"/>
              <w:jc w:val="right"/>
              <w:rPr/>
            </w:pPr>
            <w:r>
              <w:rPr/>
              <w:t> </w:t>
            </w:r>
          </w:p>
        </w:tc>
      </w:tr>
      <w:tr>
        <w:trPr/>
        <w:tc>
          <w:tcPr>
            <w:tcW w:w="10205" w:type="dxa"/>
            <w:gridSpan w:val="17"/>
            <w:tcBorders/>
            <w:vAlign w:val="center"/>
          </w:tcPr>
          <w:p>
            <w:pPr>
              <w:pStyle w:val="TableContents"/>
              <w:bidi w:val="0"/>
              <w:spacing w:before="0" w:after="20"/>
              <w:jc w:val="both"/>
              <w:rPr>
                <w:sz w:val="16"/>
              </w:rPr>
            </w:pPr>
            <w:r>
              <w:rPr>
                <w:sz w:val="16"/>
              </w:rPr>
              <w:t>(1) Contracts are defined as new contracts signed during the period for the purchase of homes, less cancellations of prior contracts.</w:t>
            </w:r>
          </w:p>
        </w:tc>
      </w:tr>
      <w:tr>
        <w:trPr/>
        <w:tc>
          <w:tcPr>
            <w:tcW w:w="10205" w:type="dxa"/>
            <w:gridSpan w:val="17"/>
            <w:tcBorders/>
            <w:vAlign w:val="center"/>
          </w:tcPr>
          <w:p>
            <w:pPr>
              <w:pStyle w:val="TableContents"/>
              <w:bidi w:val="0"/>
              <w:spacing w:before="0" w:after="20"/>
              <w:jc w:val="both"/>
              <w:rPr>
                <w:sz w:val="16"/>
              </w:rPr>
            </w:pPr>
            <w:r>
              <w:rPr>
                <w:sz w:val="16"/>
              </w:rPr>
              <w:t>(2) In the first quarter of fiscal 2026, we acquired a controlling financial interest in a previously unconsolidated joint venture in the Kingdom of Saudi Arabia ("KSA").</w:t>
            </w:r>
          </w:p>
          <w:p>
            <w:pPr>
              <w:pStyle w:val="TableContents"/>
              <w:bidi w:val="0"/>
              <w:spacing w:before="0" w:after="20"/>
              <w:jc w:val="both"/>
              <w:rPr>
                <w:sz w:val="16"/>
              </w:rPr>
            </w:pPr>
            <w:r>
              <w:rPr>
                <w:sz w:val="16"/>
              </w:rPr>
              <w:t>(3) 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“Income from unconsolidated joint ventures”.</w:t>
            </w:r>
          </w:p>
        </w:tc>
      </w:tr>
    </w:tbl>
    <w:p>
      <w:pPr>
        <w:pStyle w:val="TextBody"/>
        <w:bidi w:val="0"/>
        <w:spacing w:before="0" w:after="0"/>
        <w:jc w:val="both"/>
        <w:rPr/>
      </w:pPr>
      <w:r>
        <w:rPr/>
        <w:t> </w:t>
      </w:r>
    </w:p>
    <w:p>
      <w:pPr>
        <w:pStyle w:val="TextBody"/>
        <w:bidi w:val="0"/>
        <w:spacing w:before="0" w:after="0"/>
        <w:jc w:val="center"/>
        <w:rPr>
          <w:sz w:val="20"/>
        </w:rPr>
      </w:pPr>
      <w:r>
        <w:rPr>
          <w:sz w:val="20"/>
        </w:rPr>
        <w:t>12</w:t>
      </w:r>
    </w:p>
    <w:p>
      <w:pPr>
        <w:pStyle w:val="HorizontalLine"/>
        <w:pBdr>
          <w:bottom w:val="double" w:sz="2" w:space="0" w:color="808080"/>
        </w:pBdr>
        <w:bidi w:val="0"/>
        <w:jc w:val="center"/>
        <w:rPr/>
      </w:pPr>
      <w:r>
        <w:rPr/>
      </w:r>
    </w:p>
    <w:tbl>
      <w:tblPr>
        <w:tblW w:w="6440" w:type="dxa"/>
        <w:jc w:val="left"/>
        <w:tblInd w:w="0" w:type="dxa"/>
        <w:tblLayout w:type="fixed"/>
        <w:tblCellMar>
          <w:top w:w="0" w:type="dxa"/>
          <w:left w:w="0" w:type="dxa"/>
          <w:bottom w:w="0" w:type="dxa"/>
          <w:right w:w="0" w:type="dxa"/>
        </w:tblCellMar>
      </w:tblPr>
      <w:tblGrid>
        <w:gridCol w:w="6440"/>
      </w:tblGrid>
      <w:tr>
        <w:trPr/>
        <w:tc>
          <w:tcPr>
            <w:tcW w:w="6440" w:type="dxa"/>
            <w:tcBorders/>
            <w:vAlign w:val="center"/>
          </w:tcPr>
          <w:p>
            <w:pPr>
              <w:pStyle w:val="TableContents"/>
              <w:bidi w:val="0"/>
              <w:spacing w:before="0" w:after="0"/>
              <w:jc w:val="left"/>
              <w:rPr>
                <w:b/>
                <w:sz w:val="20"/>
              </w:rPr>
            </w:pPr>
            <w:r>
              <w:rPr>
                <w:b/>
                <w:sz w:val="20"/>
              </w:rPr>
              <w:t>HOVNANIAN ENTERPRISES, INC.</w:t>
            </w:r>
          </w:p>
        </w:tc>
      </w:tr>
      <w:tr>
        <w:trPr/>
        <w:tc>
          <w:tcPr>
            <w:tcW w:w="6440" w:type="dxa"/>
            <w:tcBorders/>
            <w:vAlign w:val="center"/>
          </w:tcPr>
          <w:p>
            <w:pPr>
              <w:pStyle w:val="TableContents"/>
              <w:bidi w:val="0"/>
              <w:spacing w:before="0" w:after="0"/>
              <w:jc w:val="left"/>
              <w:rPr>
                <w:b/>
                <w:sz w:val="20"/>
              </w:rPr>
            </w:pPr>
            <w:r>
              <w:rPr>
                <w:b/>
                <w:sz w:val="20"/>
              </w:rPr>
              <w:t>(DOLLARS IN THOUSANDS EXCEPT AVG. PRICE)</w:t>
            </w:r>
          </w:p>
        </w:tc>
      </w:tr>
      <w:tr>
        <w:trPr/>
        <w:tc>
          <w:tcPr>
            <w:tcW w:w="6440" w:type="dxa"/>
            <w:tcBorders/>
            <w:vAlign w:val="center"/>
          </w:tcPr>
          <w:p>
            <w:pPr>
              <w:pStyle w:val="TableContents"/>
              <w:bidi w:val="0"/>
              <w:spacing w:before="0" w:after="0"/>
              <w:jc w:val="left"/>
              <w:rPr>
                <w:sz w:val="20"/>
              </w:rPr>
            </w:pPr>
            <w:r>
              <w:rPr>
                <w:b/>
                <w:sz w:val="20"/>
              </w:rPr>
              <w:t xml:space="preserve">(SEGMENT DATA </w:t>
            </w:r>
            <w:r>
              <w:rPr>
                <w:b/>
                <w:sz w:val="20"/>
                <w:u w:val="single"/>
              </w:rPr>
              <w:t>EXCLUDES</w:t>
            </w:r>
            <w:r>
              <w:rPr>
                <w:sz w:val="20"/>
              </w:rPr>
              <w:t xml:space="preserve"> </w:t>
            </w:r>
            <w:r>
              <w:rPr>
                <w:b/>
                <w:sz w:val="20"/>
              </w:rPr>
              <w:t>UNCONSOLIDATED JOINT VENTURES)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9"/>
        <w:gridCol w:w="665"/>
        <w:gridCol w:w="110"/>
        <w:gridCol w:w="768"/>
        <w:gridCol w:w="110"/>
        <w:gridCol w:w="768"/>
        <w:gridCol w:w="785"/>
        <w:gridCol w:w="110"/>
        <w:gridCol w:w="768"/>
        <w:gridCol w:w="110"/>
        <w:gridCol w:w="768"/>
        <w:gridCol w:w="785"/>
        <w:gridCol w:w="110"/>
        <w:gridCol w:w="768"/>
        <w:gridCol w:w="110"/>
        <w:gridCol w:w="768"/>
        <w:gridCol w:w="803"/>
      </w:tblGrid>
      <w:tr>
        <w:trPr/>
        <w:tc>
          <w:tcPr>
            <w:tcW w:w="1899" w:type="dxa"/>
            <w:tcBorders/>
            <w:vAlign w:val="center"/>
          </w:tcPr>
          <w:p>
            <w:pPr>
              <w:pStyle w:val="TableContents"/>
              <w:bidi w:val="0"/>
              <w:spacing w:before="0" w:after="0"/>
              <w:jc w:val="left"/>
              <w:rPr/>
            </w:pPr>
            <w:r>
              <w:rPr/>
              <w:t> </w:t>
            </w:r>
          </w:p>
        </w:tc>
        <w:tc>
          <w:tcPr>
            <w:tcW w:w="665" w:type="dxa"/>
            <w:tcBorders>
              <w:right w:val="single" w:sz="6" w:space="0" w:color="000000"/>
            </w:tcBorders>
            <w:tcMar>
              <w:right w:w="28" w:type="dxa"/>
            </w:tcMar>
            <w:vAlign w:val="center"/>
          </w:tcPr>
          <w:p>
            <w:pPr>
              <w:pStyle w:val="TableContents"/>
              <w:bidi w:val="0"/>
              <w:spacing w:before="0" w:after="0"/>
              <w:jc w:val="right"/>
              <w:rPr/>
            </w:pPr>
            <w:r>
              <w:rPr/>
              <w:t> </w:t>
            </w:r>
          </w:p>
        </w:tc>
        <w:tc>
          <w:tcPr>
            <w:tcW w:w="2541"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Contracts (1)</w:t>
            </w:r>
          </w:p>
        </w:tc>
        <w:tc>
          <w:tcPr>
            <w:tcW w:w="2541" w:type="dxa"/>
            <w:gridSpan w:val="5"/>
            <w:tcBorders>
              <w:top w:val="single" w:sz="6" w:space="0" w:color="000000"/>
              <w:left w:val="single" w:sz="6" w:space="0" w:color="000000"/>
            </w:tcBorders>
            <w:shd w:fill="C0C0C0" w:val="clear"/>
            <w:tcMar>
              <w:top w:w="28" w:type="dxa"/>
              <w:left w:w="28" w:type="dxa"/>
            </w:tcMar>
            <w:vAlign w:val="center"/>
          </w:tcPr>
          <w:p>
            <w:pPr>
              <w:pStyle w:val="TableContents"/>
              <w:bidi w:val="0"/>
              <w:spacing w:before="0" w:after="0"/>
              <w:jc w:val="center"/>
              <w:rPr>
                <w:b/>
                <w:sz w:val="16"/>
              </w:rPr>
            </w:pPr>
            <w:r>
              <w:rPr>
                <w:b/>
                <w:sz w:val="16"/>
              </w:rPr>
              <w:t>Deliveries</w:t>
            </w:r>
          </w:p>
        </w:tc>
        <w:tc>
          <w:tcPr>
            <w:tcW w:w="2559"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w:t>
            </w:r>
          </w:p>
        </w:tc>
      </w:tr>
      <w:tr>
        <w:trPr/>
        <w:tc>
          <w:tcPr>
            <w:tcW w:w="1899" w:type="dxa"/>
            <w:tcBorders/>
            <w:vAlign w:val="center"/>
          </w:tcPr>
          <w:p>
            <w:pPr>
              <w:pStyle w:val="TableContents"/>
              <w:bidi w:val="0"/>
              <w:spacing w:before="0" w:after="0"/>
              <w:jc w:val="left"/>
              <w:rPr/>
            </w:pPr>
            <w:r>
              <w:rPr/>
              <w:t> </w:t>
            </w:r>
          </w:p>
        </w:tc>
        <w:tc>
          <w:tcPr>
            <w:tcW w:w="665" w:type="dxa"/>
            <w:tcBorders>
              <w:right w:val="single" w:sz="6" w:space="0" w:color="000000"/>
            </w:tcBorders>
            <w:tcMar>
              <w:right w:w="28" w:type="dxa"/>
            </w:tcMar>
            <w:vAlign w:val="center"/>
          </w:tcPr>
          <w:p>
            <w:pPr>
              <w:pStyle w:val="TableContents"/>
              <w:bidi w:val="0"/>
              <w:spacing w:before="0" w:after="0"/>
              <w:jc w:val="right"/>
              <w:rPr/>
            </w:pPr>
            <w:r>
              <w:rPr/>
              <w:t> </w:t>
            </w:r>
          </w:p>
        </w:tc>
        <w:tc>
          <w:tcPr>
            <w:tcW w:w="2541"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Nine Months Ended</w:t>
            </w:r>
          </w:p>
        </w:tc>
        <w:tc>
          <w:tcPr>
            <w:tcW w:w="2541" w:type="dxa"/>
            <w:gridSpan w:val="5"/>
            <w:tcBorders>
              <w:left w:val="single" w:sz="6" w:space="0" w:color="000000"/>
            </w:tcBorders>
            <w:shd w:fill="C0C0C0" w:val="clear"/>
            <w:tcMar>
              <w:left w:w="28" w:type="dxa"/>
            </w:tcMar>
            <w:vAlign w:val="center"/>
          </w:tcPr>
          <w:p>
            <w:pPr>
              <w:pStyle w:val="TableContents"/>
              <w:bidi w:val="0"/>
              <w:spacing w:before="0" w:after="0"/>
              <w:jc w:val="center"/>
              <w:rPr>
                <w:b/>
                <w:sz w:val="16"/>
              </w:rPr>
            </w:pPr>
            <w:r>
              <w:rPr>
                <w:b/>
                <w:sz w:val="16"/>
              </w:rPr>
              <w:t>Nine Months Ended</w:t>
            </w:r>
          </w:p>
        </w:tc>
        <w:tc>
          <w:tcPr>
            <w:tcW w:w="2559"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Backlog</w:t>
            </w:r>
          </w:p>
        </w:tc>
      </w:tr>
      <w:tr>
        <w:trPr/>
        <w:tc>
          <w:tcPr>
            <w:tcW w:w="1899" w:type="dxa"/>
            <w:tcBorders/>
            <w:vAlign w:val="center"/>
          </w:tcPr>
          <w:p>
            <w:pPr>
              <w:pStyle w:val="TableContents"/>
              <w:bidi w:val="0"/>
              <w:spacing w:before="0" w:after="0"/>
              <w:jc w:val="left"/>
              <w:rPr/>
            </w:pPr>
            <w:r>
              <w:rPr/>
              <w:t> </w:t>
            </w:r>
          </w:p>
        </w:tc>
        <w:tc>
          <w:tcPr>
            <w:tcW w:w="665" w:type="dxa"/>
            <w:tcBorders>
              <w:right w:val="single" w:sz="6" w:space="0" w:color="000000"/>
            </w:tcBorders>
            <w:tcMar>
              <w:right w:w="28" w:type="dxa"/>
            </w:tcMar>
            <w:vAlign w:val="center"/>
          </w:tcPr>
          <w:p>
            <w:pPr>
              <w:pStyle w:val="TableContents"/>
              <w:bidi w:val="0"/>
              <w:spacing w:before="0" w:after="0"/>
              <w:jc w:val="right"/>
              <w:rPr/>
            </w:pPr>
            <w:r>
              <w:rPr/>
              <w:t> </w:t>
            </w:r>
          </w:p>
        </w:tc>
        <w:tc>
          <w:tcPr>
            <w:tcW w:w="2541"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July 31,</w:t>
            </w:r>
          </w:p>
        </w:tc>
        <w:tc>
          <w:tcPr>
            <w:tcW w:w="2541" w:type="dxa"/>
            <w:gridSpan w:val="5"/>
            <w:tcBorders>
              <w:left w:val="single" w:sz="6" w:space="0" w:color="000000"/>
              <w:bottom w:val="single" w:sz="6" w:space="0" w:color="000000"/>
            </w:tcBorders>
            <w:shd w:fill="C0C0C0" w:val="clear"/>
            <w:tcMar>
              <w:left w:w="28" w:type="dxa"/>
              <w:bottom w:w="28" w:type="dxa"/>
            </w:tcMar>
            <w:vAlign w:val="center"/>
          </w:tcPr>
          <w:p>
            <w:pPr>
              <w:pStyle w:val="TableContents"/>
              <w:bidi w:val="0"/>
              <w:spacing w:before="0" w:after="0"/>
              <w:jc w:val="center"/>
              <w:rPr>
                <w:b/>
                <w:sz w:val="16"/>
              </w:rPr>
            </w:pPr>
            <w:r>
              <w:rPr>
                <w:b/>
                <w:sz w:val="16"/>
              </w:rPr>
              <w:t xml:space="preserve">July 31, </w:t>
            </w:r>
          </w:p>
        </w:tc>
        <w:tc>
          <w:tcPr>
            <w:tcW w:w="2559" w:type="dxa"/>
            <w:gridSpan w:val="5"/>
            <w:tcBorders>
              <w:left w:val="single" w:sz="6" w:space="0" w:color="000000"/>
              <w:bottom w:val="single" w:sz="6" w:space="0" w:color="000000"/>
              <w:right w:val="single" w:sz="6" w:space="0" w:color="000000"/>
            </w:tcBorders>
            <w:shd w:fill="C0C0C0" w:val="clear"/>
            <w:tcMar>
              <w:left w:w="28" w:type="dxa"/>
              <w:bottom w:w="28" w:type="dxa"/>
              <w:right w:w="28" w:type="dxa"/>
            </w:tcMar>
            <w:vAlign w:val="center"/>
          </w:tcPr>
          <w:p>
            <w:pPr>
              <w:pStyle w:val="TableContents"/>
              <w:bidi w:val="0"/>
              <w:spacing w:before="0" w:after="0"/>
              <w:jc w:val="center"/>
              <w:rPr>
                <w:b/>
                <w:sz w:val="16"/>
              </w:rPr>
            </w:pPr>
            <w:r>
              <w:rPr>
                <w:b/>
                <w:sz w:val="16"/>
              </w:rPr>
              <w:t>July 31,</w:t>
            </w:r>
          </w:p>
        </w:tc>
      </w:tr>
      <w:tr>
        <w:trPr/>
        <w:tc>
          <w:tcPr>
            <w:tcW w:w="1899" w:type="dxa"/>
            <w:tcBorders>
              <w:bottom w:val="single" w:sz="6" w:space="0" w:color="000000"/>
            </w:tcBorders>
            <w:tcMar>
              <w:bottom w:w="28" w:type="dxa"/>
            </w:tcMar>
            <w:vAlign w:val="center"/>
          </w:tcPr>
          <w:p>
            <w:pPr>
              <w:pStyle w:val="TableContents"/>
              <w:bidi w:val="0"/>
              <w:spacing w:before="0" w:after="0"/>
              <w:jc w:val="center"/>
              <w:rPr/>
            </w:pPr>
            <w:r>
              <w:rPr/>
              <w:t> </w:t>
            </w:r>
          </w:p>
        </w:tc>
        <w:tc>
          <w:tcPr>
            <w:tcW w:w="66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right"/>
              <w:rPr/>
            </w:pPr>
            <w:r>
              <w:rPr/>
              <w:t> </w:t>
            </w:r>
          </w:p>
        </w:tc>
        <w:tc>
          <w:tcPr>
            <w:tcW w:w="878"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878"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878"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878"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878"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878"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803"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r>
      <w:tr>
        <w:trPr/>
        <w:tc>
          <w:tcPr>
            <w:tcW w:w="1899"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Northeast (2)(3)</w:t>
            </w:r>
            <w:r>
              <w:rPr>
                <w:sz w:val="16"/>
              </w:rPr>
              <w:t xml:space="preserve">                     </w:t>
            </w:r>
          </w:p>
        </w:tc>
        <w:tc>
          <w:tcPr>
            <w:tcW w:w="66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768" w:type="dxa"/>
            <w:tcBorders/>
            <w:vAlign w:val="center"/>
          </w:tcPr>
          <w:p>
            <w:pPr>
              <w:pStyle w:val="TableContents"/>
              <w:bidi w:val="0"/>
              <w:spacing w:before="0" w:after="0"/>
              <w:jc w:val="left"/>
              <w:rPr/>
            </w:pPr>
            <w:r>
              <w:rPr/>
              <w:t> </w:t>
            </w:r>
          </w:p>
        </w:tc>
        <w:tc>
          <w:tcPr>
            <w:tcW w:w="803"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(DE, MD, NJ, OH, PA, VA, WV)</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1,419</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1,353</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4.9%</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1,226</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1,374</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820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761</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7.8%</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793,811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739,452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7.4%</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688,794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826,071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(16.6)%</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486,756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444,862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9.4%</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559,416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546,528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561,822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601,216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(6.6)%</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593,605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584,576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1.5%</w:t>
            </w:r>
          </w:p>
        </w:tc>
      </w:tr>
      <w:tr>
        <w:trPr/>
        <w:tc>
          <w:tcPr>
            <w:tcW w:w="1899"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Southeast (3)</w:t>
            </w:r>
            <w:r>
              <w:rPr>
                <w:sz w:val="16"/>
              </w:rPr>
              <w:t xml:space="preserve">                    </w:t>
            </w:r>
          </w:p>
        </w:tc>
        <w:tc>
          <w:tcPr>
            <w:tcW w:w="66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(FL, GA, SC)</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525</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461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13.9%</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485</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472</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211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228</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(7.5)%</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255,440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239,237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6.8%</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240,517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230,533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4.3%</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109,688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130,678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(16.1)%</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486,552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518,952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495,911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488,417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1.5%</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519,848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573,149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(9.3)%</w:t>
            </w:r>
          </w:p>
        </w:tc>
      </w:tr>
      <w:tr>
        <w:trPr/>
        <w:tc>
          <w:tcPr>
            <w:tcW w:w="1899"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West (2) (4)</w:t>
            </w:r>
            <w:r>
              <w:rPr>
                <w:sz w:val="16"/>
              </w:rPr>
              <w:t xml:space="preserve">                         </w:t>
            </w:r>
          </w:p>
        </w:tc>
        <w:tc>
          <w:tcPr>
            <w:tcW w:w="66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(AZ, CA, TX)</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1,865</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2,000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(6.8)%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1,781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2,124</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(16.1)%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478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502</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(4.8)%</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998,065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990,833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0.7%</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929,678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1,009,674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(7.9)%</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285,462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263,272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8.4%</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535,155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495,417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8.0%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521,998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475,364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9.8%</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597,201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524,446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13.9%</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Domestic Subtotal</w:t>
            </w:r>
          </w:p>
        </w:tc>
        <w:tc>
          <w:tcPr>
            <w:tcW w:w="66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3,809</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3,814</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3,492</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3,970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1,509</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1,491</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2,047,316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1,969,522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3.9%</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1,858,989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2,066,278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881,906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838,812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5.1%</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537,494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516,393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4.1%</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532,357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520,473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2.3%</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584,431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562,584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3.9%</w:t>
            </w:r>
          </w:p>
        </w:tc>
      </w:tr>
      <w:tr>
        <w:trPr/>
        <w:tc>
          <w:tcPr>
            <w:tcW w:w="1899"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sz w:val="16"/>
              </w:rPr>
            </w:pPr>
            <w:r>
              <w:rPr>
                <w:b/>
                <w:sz w:val="16"/>
              </w:rPr>
              <w:t>HOV Global (5)</w:t>
            </w:r>
            <w:r>
              <w:rPr>
                <w:sz w:val="16"/>
              </w:rPr>
              <w:t xml:space="preserve">                   </w:t>
            </w:r>
          </w:p>
        </w:tc>
        <w:tc>
          <w:tcPr>
            <w:tcW w:w="66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lef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(Kingdom of Saudi Arabia)</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42</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788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9,978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191,445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0.0%</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237,571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242,951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0.0%</w:t>
            </w:r>
          </w:p>
        </w:tc>
      </w:tr>
      <w:tr>
        <w:trPr/>
        <w:tc>
          <w:tcPr>
            <w:tcW w:w="1899" w:type="dxa"/>
            <w:tcBorders>
              <w:left w:val="single" w:sz="6" w:space="0" w:color="000000"/>
            </w:tcBorders>
            <w:tcMar>
              <w:left w:w="28" w:type="dxa"/>
            </w:tcMar>
            <w:vAlign w:val="center"/>
          </w:tcPr>
          <w:p>
            <w:pPr>
              <w:pStyle w:val="TableContents"/>
              <w:bidi w:val="0"/>
              <w:spacing w:before="0" w:after="0"/>
              <w:jc w:val="left"/>
              <w:rPr>
                <w:b/>
                <w:sz w:val="16"/>
              </w:rPr>
            </w:pPr>
            <w:r>
              <w:rPr>
                <w:b/>
                <w:sz w:val="16"/>
              </w:rPr>
              <w:t>Consolidated Total</w:t>
            </w:r>
          </w:p>
        </w:tc>
        <w:tc>
          <w:tcPr>
            <w:tcW w:w="665"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3,851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3,814</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3,492</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3,970</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2,297</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1,491</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54.1%</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righ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2,057,294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1,969,522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4.5%</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1,858,989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2,066,278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1,073,351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838,812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28.0%</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534,223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516,393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3.5%</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532,357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520,473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2.3%</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467,284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562,584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(16.9)%</w:t>
            </w:r>
          </w:p>
        </w:tc>
      </w:tr>
      <w:tr>
        <w:trPr/>
        <w:tc>
          <w:tcPr>
            <w:tcW w:w="1899" w:type="dxa"/>
            <w:tcBorders>
              <w:left w:val="single" w:sz="6" w:space="0" w:color="000000"/>
            </w:tcBorders>
            <w:tcMar>
              <w:left w:w="28" w:type="dxa"/>
            </w:tcMar>
            <w:vAlign w:val="center"/>
          </w:tcPr>
          <w:p>
            <w:pPr>
              <w:pStyle w:val="TableContents"/>
              <w:bidi w:val="0"/>
              <w:spacing w:before="0" w:after="0"/>
              <w:jc w:val="left"/>
              <w:rPr>
                <w:b/>
                <w:sz w:val="16"/>
              </w:rPr>
            </w:pPr>
            <w:r>
              <w:rPr>
                <w:b/>
                <w:sz w:val="16"/>
              </w:rPr>
              <w:t>Unconsolidated Joint Ventures</w:t>
            </w:r>
          </w:p>
        </w:tc>
        <w:tc>
          <w:tcPr>
            <w:tcW w:w="665"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tcBorders>
            <w:tcMar>
              <w:left w:w="28" w:type="dxa"/>
            </w:tcMar>
            <w:vAlign w:val="center"/>
          </w:tcPr>
          <w:p>
            <w:pPr>
              <w:pStyle w:val="TableContents"/>
              <w:bidi w:val="0"/>
              <w:spacing w:before="0" w:after="0"/>
              <w:jc w:val="left"/>
              <w:rPr>
                <w:sz w:val="16"/>
              </w:rPr>
            </w:pPr>
            <w:r>
              <w:rPr>
                <w:sz w:val="16"/>
              </w:rPr>
              <w:t>(excluding KSA JV)</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582</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631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(7.8)%</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524</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649</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(19.3)%</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383</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387</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(2) (3) (4) (6)</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398,130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406,316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353,872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441,242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(19.8)%</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273,861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264,240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3.6%</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684,072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643,924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675,328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679,880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(0.7)%</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715,042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682,791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4.7%</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Grand Total</w:t>
            </w:r>
          </w:p>
        </w:tc>
        <w:tc>
          <w:tcPr>
            <w:tcW w:w="665"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1899" w:type="dxa"/>
            <w:tcBorders>
              <w:left w:val="single" w:sz="6" w:space="0" w:color="000000"/>
            </w:tcBorders>
            <w:tcMar>
              <w:left w:w="28" w:type="dxa"/>
            </w:tcMar>
            <w:vAlign w:val="center"/>
          </w:tcPr>
          <w:p>
            <w:pPr>
              <w:pStyle w:val="TableContents"/>
              <w:bidi w:val="0"/>
              <w:spacing w:before="0" w:after="0"/>
              <w:jc w:val="righ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4,433</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4,445</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(0.3)%</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4,016</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4,619</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2,680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1,878</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42.7%</w:t>
            </w:r>
          </w:p>
        </w:tc>
      </w:tr>
      <w:tr>
        <w:trPr/>
        <w:tc>
          <w:tcPr>
            <w:tcW w:w="1899" w:type="dxa"/>
            <w:tcBorders>
              <w:left w:val="single" w:sz="6" w:space="0" w:color="000000"/>
            </w:tcBorders>
            <w:tcMar>
              <w:lef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2,455,424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2,375,838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3.3%</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2,212,861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2,507,520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(11.8)%</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1,347,212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1,103,052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22.1%</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553,897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534,497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3.6%</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551,011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542,871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1.5%</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502,691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587,355 </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(14.4)%</w:t>
            </w:r>
          </w:p>
        </w:tc>
      </w:tr>
      <w:tr>
        <w:trPr/>
        <w:tc>
          <w:tcPr>
            <w:tcW w:w="1899" w:type="dxa"/>
            <w:tcBorders/>
            <w:vAlign w:val="center"/>
          </w:tcPr>
          <w:p>
            <w:pPr>
              <w:pStyle w:val="TableContents"/>
              <w:bidi w:val="0"/>
              <w:spacing w:before="0" w:after="0"/>
              <w:jc w:val="right"/>
              <w:rPr/>
            </w:pPr>
            <w:r>
              <w:rPr/>
              <w:t> </w:t>
            </w:r>
          </w:p>
        </w:tc>
        <w:tc>
          <w:tcPr>
            <w:tcW w:w="66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pPr>
            <w:r>
              <w:rPr/>
              <w:t> </w:t>
            </w:r>
          </w:p>
        </w:tc>
        <w:tc>
          <w:tcPr>
            <w:tcW w:w="803" w:type="dxa"/>
            <w:tcBorders/>
            <w:vAlign w:val="center"/>
          </w:tcPr>
          <w:p>
            <w:pPr>
              <w:pStyle w:val="TableContents"/>
              <w:bidi w:val="0"/>
              <w:spacing w:before="0" w:after="0"/>
              <w:jc w:val="right"/>
              <w:rPr/>
            </w:pPr>
            <w:r>
              <w:rPr/>
              <w:t> </w:t>
            </w:r>
          </w:p>
        </w:tc>
      </w:tr>
      <w:tr>
        <w:trPr/>
        <w:tc>
          <w:tcPr>
            <w:tcW w:w="1899"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KSA JV Only</w:t>
            </w:r>
          </w:p>
        </w:tc>
        <w:tc>
          <w:tcPr>
            <w:tcW w:w="665"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768" w:type="dxa"/>
            <w:tcBorders>
              <w:top w:val="single" w:sz="6" w:space="0" w:color="000000"/>
            </w:tcBorders>
            <w:tcMar>
              <w:top w:w="28" w:type="dxa"/>
            </w:tcMar>
            <w:vAlign w:val="center"/>
          </w:tcPr>
          <w:p>
            <w:pPr>
              <w:pStyle w:val="TableContents"/>
              <w:bidi w:val="0"/>
              <w:spacing w:before="0" w:after="0"/>
              <w:jc w:val="left"/>
              <w:rPr/>
            </w:pPr>
            <w:r>
              <w:rPr/>
              <w:t> </w:t>
            </w:r>
          </w:p>
        </w:tc>
        <w:tc>
          <w:tcPr>
            <w:tcW w:w="803"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23</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332</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(93.1)%</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768" w:type="dxa"/>
            <w:tcBorders/>
            <w:vAlign w:val="center"/>
          </w:tcPr>
          <w:p>
            <w:pPr>
              <w:pStyle w:val="TableContents"/>
              <w:bidi w:val="0"/>
              <w:spacing w:before="0" w:after="0"/>
              <w:jc w:val="right"/>
              <w:rPr>
                <w:sz w:val="16"/>
              </w:rPr>
            </w:pPr>
            <w:r>
              <w:rPr>
                <w:sz w:val="16"/>
              </w:rPr>
              <w:t>607</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1899"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66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5,690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84,125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(93.2)%</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177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768" w:type="dxa"/>
            <w:tcBorders/>
            <w:vAlign w:val="center"/>
          </w:tcPr>
          <w:p>
            <w:pPr>
              <w:pStyle w:val="TableContents"/>
              <w:bidi w:val="0"/>
              <w:spacing w:before="0" w:after="0"/>
              <w:jc w:val="right"/>
              <w:rPr>
                <w:sz w:val="16"/>
              </w:rPr>
            </w:pPr>
            <w:r>
              <w:rPr>
                <w:sz w:val="16"/>
              </w:rPr>
              <w:t xml:space="preserve">148,308 </w:t>
            </w:r>
          </w:p>
        </w:tc>
        <w:tc>
          <w:tcPr>
            <w:tcW w:w="803"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1899"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66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247,391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253,389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177,000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768" w:type="dxa"/>
            <w:tcBorders>
              <w:bottom w:val="single" w:sz="6" w:space="0" w:color="000000"/>
            </w:tcBorders>
            <w:tcMar>
              <w:bottom w:w="28" w:type="dxa"/>
            </w:tcMar>
            <w:vAlign w:val="center"/>
          </w:tcPr>
          <w:p>
            <w:pPr>
              <w:pStyle w:val="TableContents"/>
              <w:bidi w:val="0"/>
              <w:spacing w:before="0" w:after="0"/>
              <w:jc w:val="right"/>
              <w:rPr>
                <w:sz w:val="16"/>
              </w:rPr>
            </w:pPr>
            <w:r>
              <w:rPr>
                <w:sz w:val="16"/>
              </w:rPr>
              <w:t>$244,329</w:t>
            </w:r>
          </w:p>
        </w:tc>
        <w:tc>
          <w:tcPr>
            <w:tcW w:w="803"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r>
    </w:tbl>
    <w:p>
      <w:pPr>
        <w:pStyle w:val="TextBody"/>
        <w:bidi w:val="0"/>
        <w:spacing w:before="0" w:after="0"/>
        <w:jc w:val="left"/>
        <w:rPr/>
      </w:pPr>
      <w:r>
        <w:rPr/>
        <w:t> </w:t>
      </w:r>
    </w:p>
    <w:tbl>
      <w:tblPr>
        <w:tblW w:w="2495" w:type="dxa"/>
        <w:jc w:val="left"/>
        <w:tblInd w:w="0" w:type="dxa"/>
        <w:tblLayout w:type="fixed"/>
        <w:tblCellMar>
          <w:top w:w="0" w:type="dxa"/>
          <w:left w:w="0" w:type="dxa"/>
          <w:bottom w:w="28" w:type="dxa"/>
          <w:right w:w="0" w:type="dxa"/>
        </w:tblCellMar>
      </w:tblPr>
      <w:tblGrid>
        <w:gridCol w:w="2495"/>
      </w:tblGrid>
      <w:tr>
        <w:trPr/>
        <w:tc>
          <w:tcPr>
            <w:tcW w:w="2495" w:type="dxa"/>
            <w:tcBorders>
              <w:bottom w:val="single" w:sz="6" w:space="0" w:color="000000"/>
            </w:tcBorders>
            <w:vAlign w:val="center"/>
          </w:tcPr>
          <w:p>
            <w:pPr>
              <w:pStyle w:val="TableContents"/>
              <w:bidi w:val="0"/>
              <w:spacing w:before="0" w:after="0"/>
              <w:jc w:val="left"/>
              <w:rPr>
                <w:sz w:val="16"/>
              </w:rPr>
            </w:pPr>
            <w:r>
              <w:rPr>
                <w:sz w:val="16"/>
              </w:rPr>
              <w:t>DELIVERIES INCLUDE EXTRAS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8"/>
        <w:gridCol w:w="425"/>
        <w:gridCol w:w="425"/>
        <w:gridCol w:w="425"/>
        <w:gridCol w:w="425"/>
        <w:gridCol w:w="425"/>
        <w:gridCol w:w="425"/>
        <w:gridCol w:w="425"/>
        <w:gridCol w:w="425"/>
        <w:gridCol w:w="425"/>
        <w:gridCol w:w="425"/>
        <w:gridCol w:w="425"/>
        <w:gridCol w:w="425"/>
        <w:gridCol w:w="425"/>
        <w:gridCol w:w="425"/>
        <w:gridCol w:w="425"/>
        <w:gridCol w:w="532"/>
      </w:tblGrid>
      <w:tr>
        <w:trPr/>
        <w:tc>
          <w:tcPr>
            <w:tcW w:w="3298" w:type="dxa"/>
            <w:tcBorders/>
            <w:vAlign w:val="center"/>
          </w:tcPr>
          <w:p>
            <w:pPr>
              <w:pStyle w:val="TableContents"/>
              <w:bidi w:val="0"/>
              <w:spacing w:before="0" w:after="20"/>
              <w:jc w:val="left"/>
              <w:rPr>
                <w:sz w:val="16"/>
              </w:rPr>
            </w:pPr>
            <w:r>
              <w:rPr>
                <w:sz w:val="16"/>
              </w:rPr>
              <w:t>Notes:</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532" w:type="dxa"/>
            <w:tcBorders/>
            <w:vAlign w:val="center"/>
          </w:tcPr>
          <w:p>
            <w:pPr>
              <w:pStyle w:val="TableContents"/>
              <w:bidi w:val="0"/>
              <w:spacing w:before="0" w:after="20"/>
              <w:jc w:val="right"/>
              <w:rPr/>
            </w:pPr>
            <w:r>
              <w:rPr/>
              <w:t> </w:t>
            </w:r>
          </w:p>
        </w:tc>
      </w:tr>
      <w:tr>
        <w:trPr/>
        <w:tc>
          <w:tcPr>
            <w:tcW w:w="10205" w:type="dxa"/>
            <w:gridSpan w:val="17"/>
            <w:tcBorders/>
            <w:vAlign w:val="center"/>
          </w:tcPr>
          <w:p>
            <w:pPr>
              <w:pStyle w:val="TableContents"/>
              <w:bidi w:val="0"/>
              <w:spacing w:before="0" w:after="20"/>
              <w:jc w:val="both"/>
              <w:rPr>
                <w:sz w:val="16"/>
              </w:rPr>
            </w:pPr>
            <w:r>
              <w:rPr>
                <w:sz w:val="16"/>
              </w:rPr>
              <w:t>(1) Contracts are defined as new contracts signed during the period for the purchase of homes, less cancellations of prior contracts.</w:t>
            </w:r>
          </w:p>
        </w:tc>
      </w:tr>
      <w:tr>
        <w:trPr/>
        <w:tc>
          <w:tcPr>
            <w:tcW w:w="10205" w:type="dxa"/>
            <w:gridSpan w:val="17"/>
            <w:tcBorders/>
            <w:vAlign w:val="center"/>
          </w:tcPr>
          <w:p>
            <w:pPr>
              <w:pStyle w:val="TableContents"/>
              <w:bidi w:val="0"/>
              <w:spacing w:before="0" w:after="20"/>
              <w:jc w:val="both"/>
              <w:rPr>
                <w:sz w:val="16"/>
              </w:rPr>
            </w:pPr>
            <w:r>
              <w:rPr>
                <w:sz w:val="16"/>
              </w:rPr>
              <w:t xml:space="preserve">(2) Includes 67 homes and $53.3 million and 3 homes and $1.3 million of contract backlog related to the assets and liabilities in the Northeast and West segments, respectively, that were acquired from a joint venture the Company closed out during the three months ended January 31, 2026. </w:t>
            </w:r>
          </w:p>
          <w:p>
            <w:pPr>
              <w:pStyle w:val="TableContents"/>
              <w:bidi w:val="0"/>
              <w:spacing w:before="0" w:after="20"/>
              <w:jc w:val="both"/>
              <w:rPr>
                <w:sz w:val="16"/>
              </w:rPr>
            </w:pPr>
            <w:r>
              <w:rPr>
                <w:sz w:val="16"/>
              </w:rPr>
              <w:t xml:space="preserve">(3) Includes 71 homes and $54.7 million and 49 homes and $32.9 million of contract backlog related to the assets and liabilities in the Northeast and Southeast segments, respectively, that were contributed to a joint venture the Company entered into during the three months ended January 31, 2026. </w:t>
            </w:r>
          </w:p>
          <w:p>
            <w:pPr>
              <w:pStyle w:val="TableContents"/>
              <w:bidi w:val="0"/>
              <w:spacing w:before="0" w:after="20"/>
              <w:jc w:val="both"/>
              <w:rPr>
                <w:sz w:val="16"/>
              </w:rPr>
            </w:pPr>
            <w:r>
              <w:rPr>
                <w:sz w:val="16"/>
              </w:rPr>
              <w:t xml:space="preserve">(4) Includes 8 homes and $5.0 million of contract backlog related to the assets and liabilities in the West segment that were contributed to a joint venture the Company entered into during the three months ended January 31, 2025. </w:t>
            </w:r>
          </w:p>
          <w:p>
            <w:pPr>
              <w:pStyle w:val="TableContents"/>
              <w:bidi w:val="0"/>
              <w:spacing w:before="0" w:after="20"/>
              <w:jc w:val="both"/>
              <w:rPr>
                <w:sz w:val="16"/>
              </w:rPr>
            </w:pPr>
            <w:r>
              <w:rPr>
                <w:sz w:val="16"/>
              </w:rPr>
              <w:t xml:space="preserve">(5) Includes 746 homes and $181.5 million of contract backlog related to the assets and liabilities acquired from the unconsolidated KSA JV, which the Company consolidated during the three months ended January 31, 2026. </w:t>
            </w:r>
          </w:p>
          <w:p>
            <w:pPr>
              <w:pStyle w:val="TableContents"/>
              <w:bidi w:val="0"/>
              <w:spacing w:before="0" w:after="20"/>
              <w:jc w:val="both"/>
              <w:rPr>
                <w:sz w:val="16"/>
              </w:rPr>
            </w:pPr>
            <w:r>
              <w:rPr>
                <w:sz w:val="16"/>
              </w:rPr>
              <w:t>(6) 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“Income from unconsolidated joint ventures”.</w:t>
            </w:r>
          </w:p>
        </w:tc>
      </w:tr>
    </w:tbl>
    <w:p>
      <w:pPr>
        <w:pStyle w:val="TextBody"/>
        <w:bidi w:val="0"/>
        <w:spacing w:before="0" w:after="0"/>
        <w:jc w:val="both"/>
        <w:rPr/>
      </w:pPr>
      <w:r>
        <w:rPr/>
        <w:t> </w:t>
      </w:r>
    </w:p>
    <w:p>
      <w:pPr>
        <w:pStyle w:val="TextBody"/>
        <w:bidi w:val="0"/>
        <w:spacing w:before="0" w:after="0"/>
        <w:jc w:val="center"/>
        <w:rPr>
          <w:sz w:val="20"/>
        </w:rPr>
      </w:pPr>
      <w:r>
        <w:rPr>
          <w:sz w:val="20"/>
        </w:rPr>
        <w:t>13</w:t>
      </w:r>
    </w:p>
    <w:p>
      <w:pPr>
        <w:pStyle w:val="HorizontalLine"/>
        <w:pBdr>
          <w:bottom w:val="double" w:sz="2" w:space="0" w:color="808080"/>
        </w:pBdr>
        <w:bidi w:val="0"/>
        <w:jc w:val="center"/>
        <w:rPr/>
      </w:pPr>
      <w:r>
        <w:rPr/>
      </w:r>
    </w:p>
    <w:tbl>
      <w:tblPr>
        <w:tblW w:w="5968" w:type="dxa"/>
        <w:jc w:val="left"/>
        <w:tblInd w:w="0" w:type="dxa"/>
        <w:tblLayout w:type="fixed"/>
        <w:tblCellMar>
          <w:top w:w="0" w:type="dxa"/>
          <w:left w:w="0" w:type="dxa"/>
          <w:bottom w:w="0" w:type="dxa"/>
          <w:right w:w="0" w:type="dxa"/>
        </w:tblCellMar>
      </w:tblPr>
      <w:tblGrid>
        <w:gridCol w:w="5930"/>
        <w:gridCol w:w="38"/>
      </w:tblGrid>
      <w:tr>
        <w:trPr/>
        <w:tc>
          <w:tcPr>
            <w:tcW w:w="5968" w:type="dxa"/>
            <w:gridSpan w:val="2"/>
            <w:tcBorders/>
            <w:vAlign w:val="center"/>
          </w:tcPr>
          <w:p>
            <w:pPr>
              <w:pStyle w:val="TableContents"/>
              <w:bidi w:val="0"/>
              <w:spacing w:before="0" w:after="0"/>
              <w:jc w:val="left"/>
              <w:rPr>
                <w:b/>
                <w:sz w:val="20"/>
              </w:rPr>
            </w:pPr>
            <w:r>
              <w:rPr>
                <w:b/>
                <w:sz w:val="20"/>
              </w:rPr>
              <w:t>HOVNANIAN ENTERPRISES, INC.</w:t>
            </w:r>
          </w:p>
        </w:tc>
      </w:tr>
      <w:tr>
        <w:trPr/>
        <w:tc>
          <w:tcPr>
            <w:tcW w:w="5930" w:type="dxa"/>
            <w:tcBorders/>
            <w:vAlign w:val="center"/>
          </w:tcPr>
          <w:p>
            <w:pPr>
              <w:pStyle w:val="TableContents"/>
              <w:bidi w:val="0"/>
              <w:spacing w:before="0" w:after="0"/>
              <w:jc w:val="left"/>
              <w:rPr>
                <w:b/>
                <w:sz w:val="20"/>
              </w:rPr>
            </w:pPr>
            <w:r>
              <w:rPr>
                <w:b/>
                <w:sz w:val="20"/>
              </w:rPr>
              <w:t>(DOLLARS IN THOUSANDS EXCEPT AVG. PRICE)</w:t>
            </w:r>
          </w:p>
        </w:tc>
        <w:tc>
          <w:tcPr>
            <w:tcW w:w="38"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b/>
                <w:sz w:val="20"/>
              </w:rPr>
            </w:pPr>
            <w:r>
              <w:rPr>
                <w:b/>
                <w:sz w:val="20"/>
              </w:rPr>
              <w:t>(SEGMENT DATA UNCONSOLIDATED JOINT VENTURES ONLY)</w:t>
            </w:r>
          </w:p>
        </w:tc>
        <w:tc>
          <w:tcPr>
            <w:tcW w:w="38"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2330"/>
        <w:gridCol w:w="755"/>
        <w:gridCol w:w="110"/>
        <w:gridCol w:w="650"/>
        <w:gridCol w:w="110"/>
        <w:gridCol w:w="650"/>
        <w:gridCol w:w="785"/>
        <w:gridCol w:w="110"/>
        <w:gridCol w:w="650"/>
        <w:gridCol w:w="110"/>
        <w:gridCol w:w="650"/>
        <w:gridCol w:w="785"/>
        <w:gridCol w:w="110"/>
        <w:gridCol w:w="650"/>
        <w:gridCol w:w="110"/>
        <w:gridCol w:w="650"/>
        <w:gridCol w:w="800"/>
      </w:tblGrid>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Contracts (1)</w:t>
            </w:r>
          </w:p>
        </w:tc>
        <w:tc>
          <w:tcPr>
            <w:tcW w:w="2305" w:type="dxa"/>
            <w:gridSpan w:val="5"/>
            <w:tcBorders>
              <w:top w:val="single" w:sz="6" w:space="0" w:color="000000"/>
              <w:left w:val="single" w:sz="6" w:space="0" w:color="000000"/>
            </w:tcBorders>
            <w:shd w:fill="C0C0C0" w:val="clear"/>
            <w:tcMar>
              <w:top w:w="28" w:type="dxa"/>
              <w:left w:w="28" w:type="dxa"/>
            </w:tcMar>
            <w:vAlign w:val="center"/>
          </w:tcPr>
          <w:p>
            <w:pPr>
              <w:pStyle w:val="TableContents"/>
              <w:bidi w:val="0"/>
              <w:spacing w:before="0" w:after="0"/>
              <w:jc w:val="center"/>
              <w:rPr>
                <w:b/>
                <w:sz w:val="16"/>
              </w:rPr>
            </w:pPr>
            <w:r>
              <w:rPr>
                <w:b/>
                <w:sz w:val="16"/>
              </w:rPr>
              <w:t>Deliveries</w:t>
            </w:r>
          </w:p>
        </w:tc>
        <w:tc>
          <w:tcPr>
            <w:tcW w:w="2320"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w:t>
            </w:r>
          </w:p>
        </w:tc>
      </w:tr>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Three Months Ended</w:t>
            </w:r>
          </w:p>
        </w:tc>
        <w:tc>
          <w:tcPr>
            <w:tcW w:w="2305" w:type="dxa"/>
            <w:gridSpan w:val="5"/>
            <w:tcBorders>
              <w:left w:val="single" w:sz="6" w:space="0" w:color="000000"/>
            </w:tcBorders>
            <w:shd w:fill="C0C0C0" w:val="clear"/>
            <w:tcMar>
              <w:left w:w="28" w:type="dxa"/>
            </w:tcMar>
            <w:vAlign w:val="center"/>
          </w:tcPr>
          <w:p>
            <w:pPr>
              <w:pStyle w:val="TableContents"/>
              <w:bidi w:val="0"/>
              <w:spacing w:before="0" w:after="0"/>
              <w:jc w:val="center"/>
              <w:rPr>
                <w:b/>
                <w:sz w:val="16"/>
              </w:rPr>
            </w:pPr>
            <w:r>
              <w:rPr>
                <w:b/>
                <w:sz w:val="16"/>
              </w:rPr>
              <w:t>Three Months Ended</w:t>
            </w:r>
          </w:p>
        </w:tc>
        <w:tc>
          <w:tcPr>
            <w:tcW w:w="2320"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Backlog</w:t>
            </w:r>
          </w:p>
        </w:tc>
      </w:tr>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July 31,</w:t>
            </w:r>
          </w:p>
        </w:tc>
        <w:tc>
          <w:tcPr>
            <w:tcW w:w="2305" w:type="dxa"/>
            <w:gridSpan w:val="5"/>
            <w:tcBorders>
              <w:left w:val="single" w:sz="6" w:space="0" w:color="000000"/>
              <w:bottom w:val="single" w:sz="6" w:space="0" w:color="000000"/>
            </w:tcBorders>
            <w:shd w:fill="C0C0C0" w:val="clear"/>
            <w:tcMar>
              <w:left w:w="28" w:type="dxa"/>
              <w:bottom w:w="28" w:type="dxa"/>
            </w:tcMar>
            <w:vAlign w:val="center"/>
          </w:tcPr>
          <w:p>
            <w:pPr>
              <w:pStyle w:val="TableContents"/>
              <w:bidi w:val="0"/>
              <w:spacing w:before="0" w:after="0"/>
              <w:jc w:val="center"/>
              <w:rPr>
                <w:b/>
                <w:sz w:val="16"/>
              </w:rPr>
            </w:pPr>
            <w:r>
              <w:rPr>
                <w:b/>
                <w:sz w:val="16"/>
              </w:rPr>
              <w:t>July 31,</w:t>
            </w:r>
          </w:p>
        </w:tc>
        <w:tc>
          <w:tcPr>
            <w:tcW w:w="2320" w:type="dxa"/>
            <w:gridSpan w:val="5"/>
            <w:tcBorders>
              <w:left w:val="single" w:sz="6" w:space="0" w:color="000000"/>
              <w:bottom w:val="single" w:sz="6" w:space="0" w:color="000000"/>
              <w:right w:val="single" w:sz="6" w:space="0" w:color="000000"/>
            </w:tcBorders>
            <w:shd w:fill="C0C0C0" w:val="clear"/>
            <w:tcMar>
              <w:left w:w="28" w:type="dxa"/>
              <w:bottom w:w="28" w:type="dxa"/>
              <w:right w:w="28" w:type="dxa"/>
            </w:tcMar>
            <w:vAlign w:val="center"/>
          </w:tcPr>
          <w:p>
            <w:pPr>
              <w:pStyle w:val="TableContents"/>
              <w:bidi w:val="0"/>
              <w:spacing w:before="0" w:after="0"/>
              <w:jc w:val="center"/>
              <w:rPr>
                <w:b/>
                <w:sz w:val="16"/>
              </w:rPr>
            </w:pPr>
            <w:r>
              <w:rPr>
                <w:b/>
                <w:sz w:val="16"/>
              </w:rPr>
              <w:t>July 31,</w:t>
            </w:r>
          </w:p>
        </w:tc>
      </w:tr>
      <w:tr>
        <w:trPr/>
        <w:tc>
          <w:tcPr>
            <w:tcW w:w="2330" w:type="dxa"/>
            <w:tcBorders>
              <w:bottom w:val="single" w:sz="6" w:space="0" w:color="000000"/>
            </w:tcBorders>
            <w:tcMar>
              <w:bottom w:w="28" w:type="dxa"/>
            </w:tcMar>
            <w:vAlign w:val="center"/>
          </w:tcPr>
          <w:p>
            <w:pPr>
              <w:pStyle w:val="TableContents"/>
              <w:bidi w:val="0"/>
              <w:spacing w:before="0" w:after="0"/>
              <w:jc w:val="center"/>
              <w:rPr/>
            </w:pPr>
            <w:r>
              <w:rPr/>
              <w:t> </w:t>
            </w:r>
          </w:p>
        </w:tc>
        <w:tc>
          <w:tcPr>
            <w:tcW w:w="7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pPr>
            <w:r>
              <w:rPr/>
              <w:t> </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 Change</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800"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Northeast (2)</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sz w:val="16"/>
              </w:rPr>
            </w:pPr>
            <w:r>
              <w:rPr>
                <w:sz w:val="16"/>
              </w:rPr>
              <w:t>105</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131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(19.8)%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126</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144</w:t>
            </w:r>
          </w:p>
        </w:tc>
        <w:tc>
          <w:tcPr>
            <w:tcW w:w="785" w:type="dxa"/>
            <w:tcBorders/>
            <w:shd w:fill="C0C0C0" w:val="clear"/>
            <w:vAlign w:val="center"/>
          </w:tcPr>
          <w:p>
            <w:pPr>
              <w:pStyle w:val="TableContents"/>
              <w:bidi w:val="0"/>
              <w:spacing w:before="0" w:after="0"/>
              <w:jc w:val="right"/>
              <w:rPr>
                <w:sz w:val="16"/>
              </w:rPr>
            </w:pPr>
            <w:r>
              <w:rPr>
                <w:sz w:val="16"/>
              </w:rPr>
              <w:t>(12.5)%</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224</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290</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(22.8)%</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(Excluding KSA JV)</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left"/>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76,095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84,837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(10.3)%</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94,802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99,899 </w:t>
            </w:r>
          </w:p>
        </w:tc>
        <w:tc>
          <w:tcPr>
            <w:tcW w:w="785" w:type="dxa"/>
            <w:tcBorders/>
            <w:shd w:fill="C0C0C0" w:val="clear"/>
            <w:vAlign w:val="center"/>
          </w:tcPr>
          <w:p>
            <w:pPr>
              <w:pStyle w:val="TableContents"/>
              <w:bidi w:val="0"/>
              <w:spacing w:before="0" w:after="0"/>
              <w:jc w:val="right"/>
              <w:rPr>
                <w:sz w:val="16"/>
              </w:rPr>
            </w:pPr>
            <w:r>
              <w:rPr>
                <w:sz w:val="16"/>
              </w:rPr>
              <w:t>(5.1)%</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166,535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192,171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(13.3)%</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(DE, MD, NJ, OH, PA, VA, WV)</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left"/>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724,714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647,611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11.9%</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752,397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693,743 </w:t>
            </w:r>
          </w:p>
        </w:tc>
        <w:tc>
          <w:tcPr>
            <w:tcW w:w="785" w:type="dxa"/>
            <w:tcBorders/>
            <w:shd w:fill="C0C0C0" w:val="clear"/>
            <w:vAlign w:val="center"/>
          </w:tcPr>
          <w:p>
            <w:pPr>
              <w:pStyle w:val="TableContents"/>
              <w:bidi w:val="0"/>
              <w:spacing w:before="0" w:after="0"/>
              <w:jc w:val="right"/>
              <w:rPr>
                <w:sz w:val="16"/>
              </w:rPr>
            </w:pPr>
            <w:r>
              <w:rPr>
                <w:sz w:val="16"/>
              </w:rPr>
              <w:t>8.5%</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743,460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662,659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12.2%</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Southeast</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sz w:val="16"/>
              </w:rPr>
            </w:pPr>
            <w:r>
              <w:rPr>
                <w:sz w:val="16"/>
              </w:rPr>
              <w:t>51</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58</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(12.1)%</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68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77</w:t>
            </w:r>
          </w:p>
        </w:tc>
        <w:tc>
          <w:tcPr>
            <w:tcW w:w="785" w:type="dxa"/>
            <w:tcBorders/>
            <w:shd w:fill="C0C0C0" w:val="clear"/>
            <w:vAlign w:val="center"/>
          </w:tcPr>
          <w:p>
            <w:pPr>
              <w:pStyle w:val="TableContents"/>
              <w:bidi w:val="0"/>
              <w:spacing w:before="0" w:after="0"/>
              <w:jc w:val="right"/>
              <w:rPr>
                <w:sz w:val="16"/>
              </w:rPr>
            </w:pPr>
            <w:r>
              <w:rPr>
                <w:sz w:val="16"/>
              </w:rPr>
              <w:t>(11.7)%</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103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82</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25.6%</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(FL, GA, SC)</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left"/>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31,284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35,362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(11.5)%</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43,304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51,806 </w:t>
            </w:r>
          </w:p>
        </w:tc>
        <w:tc>
          <w:tcPr>
            <w:tcW w:w="785" w:type="dxa"/>
            <w:tcBorders/>
            <w:shd w:fill="C0C0C0" w:val="clear"/>
            <w:vAlign w:val="center"/>
          </w:tcPr>
          <w:p>
            <w:pPr>
              <w:pStyle w:val="TableContents"/>
              <w:bidi w:val="0"/>
              <w:spacing w:before="0" w:after="0"/>
              <w:jc w:val="right"/>
              <w:rPr>
                <w:sz w:val="16"/>
              </w:rPr>
            </w:pPr>
            <w:r>
              <w:rPr>
                <w:sz w:val="16"/>
              </w:rPr>
              <w:t>(16.4)%</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65,310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63,462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2.9%</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left"/>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613,415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609,690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0.6%</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636,824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672,805 </w:t>
            </w:r>
          </w:p>
        </w:tc>
        <w:tc>
          <w:tcPr>
            <w:tcW w:w="785" w:type="dxa"/>
            <w:tcBorders>
              <w:bottom w:val="single" w:sz="6" w:space="0" w:color="000000"/>
            </w:tcBorders>
            <w:shd w:fill="C0C0C0" w:val="clear"/>
            <w:tcMar>
              <w:bottom w:w="28" w:type="dxa"/>
            </w:tcMar>
            <w:vAlign w:val="center"/>
          </w:tcPr>
          <w:p>
            <w:pPr>
              <w:pStyle w:val="TableContents"/>
              <w:bidi w:val="0"/>
              <w:spacing w:before="0" w:after="0"/>
              <w:jc w:val="right"/>
              <w:rPr>
                <w:sz w:val="16"/>
              </w:rPr>
            </w:pPr>
            <w:r>
              <w:rPr>
                <w:sz w:val="16"/>
              </w:rPr>
              <w:t>(5.3)%</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634,078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773,927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(18.1)%</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West</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sz w:val="16"/>
              </w:rPr>
            </w:pPr>
            <w:r>
              <w:rPr>
                <w:sz w:val="16"/>
              </w:rPr>
              <w:t>48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16</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200.0%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31</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24</w:t>
            </w:r>
          </w:p>
        </w:tc>
        <w:tc>
          <w:tcPr>
            <w:tcW w:w="785" w:type="dxa"/>
            <w:tcBorders/>
            <w:shd w:fill="C0C0C0" w:val="clear"/>
            <w:vAlign w:val="center"/>
          </w:tcPr>
          <w:p>
            <w:pPr>
              <w:pStyle w:val="TableContents"/>
              <w:bidi w:val="0"/>
              <w:spacing w:before="0" w:after="0"/>
              <w:jc w:val="right"/>
              <w:rPr>
                <w:sz w:val="16"/>
              </w:rPr>
            </w:pPr>
            <w:r>
              <w:rPr>
                <w:sz w:val="16"/>
              </w:rPr>
              <w:t>29.2%</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56</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15</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273.3%</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(AZ, CA, TX)</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left"/>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30,286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9,155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230.8%</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17,461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13,266 </w:t>
            </w:r>
          </w:p>
        </w:tc>
        <w:tc>
          <w:tcPr>
            <w:tcW w:w="785" w:type="dxa"/>
            <w:tcBorders/>
            <w:shd w:fill="C0C0C0" w:val="clear"/>
            <w:vAlign w:val="center"/>
          </w:tcPr>
          <w:p>
            <w:pPr>
              <w:pStyle w:val="TableContents"/>
              <w:bidi w:val="0"/>
              <w:spacing w:before="0" w:after="0"/>
              <w:jc w:val="right"/>
              <w:rPr>
                <w:sz w:val="16"/>
              </w:rPr>
            </w:pPr>
            <w:r>
              <w:rPr>
                <w:sz w:val="16"/>
              </w:rPr>
              <w:t>31.6%</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42,016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8,607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388.2%</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left"/>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630,961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572,188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10.3%</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563,258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552,750 </w:t>
            </w:r>
          </w:p>
        </w:tc>
        <w:tc>
          <w:tcPr>
            <w:tcW w:w="785" w:type="dxa"/>
            <w:tcBorders/>
            <w:shd w:fill="C0C0C0" w:val="clear"/>
            <w:vAlign w:val="center"/>
          </w:tcPr>
          <w:p>
            <w:pPr>
              <w:pStyle w:val="TableContents"/>
              <w:bidi w:val="0"/>
              <w:spacing w:before="0" w:after="0"/>
              <w:jc w:val="right"/>
              <w:rPr>
                <w:sz w:val="16"/>
              </w:rPr>
            </w:pPr>
            <w:r>
              <w:rPr>
                <w:sz w:val="16"/>
              </w:rPr>
              <w:t>1.9%</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750,286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573,800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30.8%</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top w:val="single" w:sz="6" w:space="0" w:color="000000"/>
              <w:left w:val="single" w:sz="6" w:space="0" w:color="000000"/>
            </w:tcBorders>
            <w:tcMar>
              <w:top w:w="28" w:type="dxa"/>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(Excluding KSA JV)</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sz w:val="16"/>
              </w:rPr>
            </w:pPr>
            <w:r>
              <w:rPr>
                <w:sz w:val="16"/>
              </w:rPr>
              <w:t>204</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205</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(0.5)%</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225</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245</w:t>
            </w:r>
          </w:p>
        </w:tc>
        <w:tc>
          <w:tcPr>
            <w:tcW w:w="785" w:type="dxa"/>
            <w:tcBorders/>
            <w:shd w:fill="C0C0C0" w:val="clear"/>
            <w:vAlign w:val="center"/>
          </w:tcPr>
          <w:p>
            <w:pPr>
              <w:pStyle w:val="TableContents"/>
              <w:bidi w:val="0"/>
              <w:spacing w:before="0" w:after="0"/>
              <w:jc w:val="right"/>
              <w:rPr>
                <w:sz w:val="16"/>
              </w:rPr>
            </w:pPr>
            <w:r>
              <w:rPr>
                <w:sz w:val="16"/>
              </w:rPr>
              <w:t>(8.2)%</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383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387</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(2) (3)</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left"/>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137,665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129,354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6.4%</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155,567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164,971 </w:t>
            </w:r>
          </w:p>
        </w:tc>
        <w:tc>
          <w:tcPr>
            <w:tcW w:w="785" w:type="dxa"/>
            <w:tcBorders/>
            <w:shd w:fill="C0C0C0" w:val="clear"/>
            <w:vAlign w:val="center"/>
          </w:tcPr>
          <w:p>
            <w:pPr>
              <w:pStyle w:val="TableContents"/>
              <w:bidi w:val="0"/>
              <w:spacing w:before="0" w:after="0"/>
              <w:jc w:val="right"/>
              <w:rPr>
                <w:sz w:val="16"/>
              </w:rPr>
            </w:pPr>
            <w:r>
              <w:rPr>
                <w:sz w:val="16"/>
              </w:rPr>
              <w:t>(5.7)%</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273,861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264,240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3.6%</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left"/>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674,830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630,995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6.9%</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691,409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673,351 </w:t>
            </w:r>
          </w:p>
        </w:tc>
        <w:tc>
          <w:tcPr>
            <w:tcW w:w="785" w:type="dxa"/>
            <w:tcBorders>
              <w:bottom w:val="single" w:sz="6" w:space="0" w:color="000000"/>
            </w:tcBorders>
            <w:shd w:fill="C0C0C0" w:val="clear"/>
            <w:tcMar>
              <w:bottom w:w="28" w:type="dxa"/>
            </w:tcMar>
            <w:vAlign w:val="center"/>
          </w:tcPr>
          <w:p>
            <w:pPr>
              <w:pStyle w:val="TableContents"/>
              <w:bidi w:val="0"/>
              <w:spacing w:before="0" w:after="0"/>
              <w:jc w:val="right"/>
              <w:rPr>
                <w:sz w:val="16"/>
              </w:rPr>
            </w:pPr>
            <w:r>
              <w:rPr>
                <w:sz w:val="16"/>
              </w:rPr>
              <w:t>2.7%</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715,042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682,791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4.7%</w:t>
            </w:r>
          </w:p>
        </w:tc>
      </w:tr>
      <w:tr>
        <w:trPr/>
        <w:tc>
          <w:tcPr>
            <w:tcW w:w="2330" w:type="dxa"/>
            <w:tcBorders/>
            <w:vAlign w:val="center"/>
          </w:tcPr>
          <w:p>
            <w:pPr>
              <w:pStyle w:val="TableContents"/>
              <w:bidi w:val="0"/>
              <w:spacing w:before="0" w:after="0"/>
              <w:jc w:val="right"/>
              <w:rPr/>
            </w:pPr>
            <w:r>
              <w:rPr/>
              <w:t> </w:t>
            </w:r>
          </w:p>
        </w:tc>
        <w:tc>
          <w:tcPr>
            <w:tcW w:w="75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800" w:type="dxa"/>
            <w:tcBorders/>
            <w:vAlign w:val="center"/>
          </w:tcPr>
          <w:p>
            <w:pPr>
              <w:pStyle w:val="TableContents"/>
              <w:bidi w:val="0"/>
              <w:spacing w:before="0" w:after="0"/>
              <w:jc w:val="right"/>
              <w:rPr/>
            </w:pPr>
            <w:r>
              <w:rPr/>
              <w:t> </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KSA JV Only</w:t>
            </w:r>
          </w:p>
        </w:tc>
        <w:tc>
          <w:tcPr>
            <w:tcW w:w="755"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right"/>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top w:val="single" w:sz="6" w:space="0" w:color="000000"/>
              <w:left w:val="single" w:sz="6" w:space="0" w:color="000000"/>
            </w:tcBorders>
            <w:tcMar>
              <w:top w:w="28" w:type="dxa"/>
              <w:left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800"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39</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w:t>
            </w:r>
          </w:p>
        </w:tc>
        <w:tc>
          <w:tcPr>
            <w:tcW w:w="785" w:type="dxa"/>
            <w:tcBorders/>
            <w:shd w:fill="C0C0C0" w:val="clear"/>
            <w:vAlign w:val="center"/>
          </w:tcPr>
          <w:p>
            <w:pPr>
              <w:pStyle w:val="TableContents"/>
              <w:bidi w:val="0"/>
              <w:spacing w:before="0" w:after="0"/>
              <w:jc w:val="right"/>
              <w:rPr>
                <w:sz w:val="16"/>
              </w:rPr>
            </w:pPr>
            <w:r>
              <w:rPr>
                <w:sz w:val="16"/>
              </w:rPr>
              <w:t>(100.0)%</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607</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left"/>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9,193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177 </w:t>
            </w:r>
          </w:p>
        </w:tc>
        <w:tc>
          <w:tcPr>
            <w:tcW w:w="785" w:type="dxa"/>
            <w:tcBorders/>
            <w:shd w:fill="C0C0C0" w:val="clear"/>
            <w:vAlign w:val="center"/>
          </w:tcPr>
          <w:p>
            <w:pPr>
              <w:pStyle w:val="TableContents"/>
              <w:bidi w:val="0"/>
              <w:spacing w:before="0" w:after="0"/>
              <w:jc w:val="right"/>
              <w:rPr>
                <w:sz w:val="16"/>
              </w:rPr>
            </w:pPr>
            <w:r>
              <w:rPr>
                <w:sz w:val="16"/>
              </w:rPr>
              <w:t>(100.0)%</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148,308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left"/>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235,718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177,000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244,329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r>
    </w:tbl>
    <w:p>
      <w:pPr>
        <w:pStyle w:val="TextBody"/>
        <w:bidi w:val="0"/>
        <w:spacing w:before="0" w:after="0"/>
        <w:jc w:val="left"/>
        <w:rPr/>
      </w:pPr>
      <w:r>
        <w:rPr/>
        <w:t> </w:t>
      </w:r>
    </w:p>
    <w:tbl>
      <w:tblPr>
        <w:tblW w:w="2495" w:type="dxa"/>
        <w:jc w:val="left"/>
        <w:tblInd w:w="0" w:type="dxa"/>
        <w:tblLayout w:type="fixed"/>
        <w:tblCellMar>
          <w:top w:w="0" w:type="dxa"/>
          <w:left w:w="0" w:type="dxa"/>
          <w:bottom w:w="28" w:type="dxa"/>
          <w:right w:w="0" w:type="dxa"/>
        </w:tblCellMar>
      </w:tblPr>
      <w:tblGrid>
        <w:gridCol w:w="2495"/>
      </w:tblGrid>
      <w:tr>
        <w:trPr/>
        <w:tc>
          <w:tcPr>
            <w:tcW w:w="2495" w:type="dxa"/>
            <w:tcBorders>
              <w:bottom w:val="single" w:sz="6" w:space="0" w:color="000000"/>
            </w:tcBorders>
            <w:vAlign w:val="center"/>
          </w:tcPr>
          <w:p>
            <w:pPr>
              <w:pStyle w:val="TableContents"/>
              <w:bidi w:val="0"/>
              <w:spacing w:before="0" w:after="0"/>
              <w:jc w:val="left"/>
              <w:rPr>
                <w:sz w:val="16"/>
              </w:rPr>
            </w:pPr>
            <w:r>
              <w:rPr>
                <w:sz w:val="16"/>
              </w:rPr>
              <w:t>DELIVERIES INCLUDE EXTRAS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8"/>
        <w:gridCol w:w="425"/>
        <w:gridCol w:w="425"/>
        <w:gridCol w:w="425"/>
        <w:gridCol w:w="425"/>
        <w:gridCol w:w="425"/>
        <w:gridCol w:w="425"/>
        <w:gridCol w:w="425"/>
        <w:gridCol w:w="425"/>
        <w:gridCol w:w="425"/>
        <w:gridCol w:w="425"/>
        <w:gridCol w:w="425"/>
        <w:gridCol w:w="425"/>
        <w:gridCol w:w="425"/>
        <w:gridCol w:w="425"/>
        <w:gridCol w:w="425"/>
        <w:gridCol w:w="532"/>
      </w:tblGrid>
      <w:tr>
        <w:trPr/>
        <w:tc>
          <w:tcPr>
            <w:tcW w:w="3298" w:type="dxa"/>
            <w:tcBorders/>
            <w:vAlign w:val="center"/>
          </w:tcPr>
          <w:p>
            <w:pPr>
              <w:pStyle w:val="TableContents"/>
              <w:bidi w:val="0"/>
              <w:spacing w:before="0" w:after="20"/>
              <w:jc w:val="left"/>
              <w:rPr>
                <w:sz w:val="16"/>
              </w:rPr>
            </w:pPr>
            <w:r>
              <w:rPr>
                <w:sz w:val="16"/>
              </w:rPr>
              <w:t>Notes:</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425" w:type="dxa"/>
            <w:tcBorders/>
            <w:vAlign w:val="center"/>
          </w:tcPr>
          <w:p>
            <w:pPr>
              <w:pStyle w:val="TableContents"/>
              <w:bidi w:val="0"/>
              <w:spacing w:before="0" w:after="20"/>
              <w:jc w:val="right"/>
              <w:rPr/>
            </w:pPr>
            <w:r>
              <w:rPr/>
              <w:t> </w:t>
            </w:r>
          </w:p>
        </w:tc>
        <w:tc>
          <w:tcPr>
            <w:tcW w:w="532" w:type="dxa"/>
            <w:tcBorders/>
            <w:vAlign w:val="center"/>
          </w:tcPr>
          <w:p>
            <w:pPr>
              <w:pStyle w:val="TableContents"/>
              <w:bidi w:val="0"/>
              <w:spacing w:before="0" w:after="20"/>
              <w:jc w:val="right"/>
              <w:rPr/>
            </w:pPr>
            <w:r>
              <w:rPr/>
              <w:t> </w:t>
            </w:r>
          </w:p>
        </w:tc>
      </w:tr>
      <w:tr>
        <w:trPr/>
        <w:tc>
          <w:tcPr>
            <w:tcW w:w="10205" w:type="dxa"/>
            <w:gridSpan w:val="17"/>
            <w:tcBorders/>
            <w:vAlign w:val="center"/>
          </w:tcPr>
          <w:p>
            <w:pPr>
              <w:pStyle w:val="TableContents"/>
              <w:bidi w:val="0"/>
              <w:spacing w:before="0" w:after="20"/>
              <w:jc w:val="left"/>
              <w:rPr>
                <w:sz w:val="16"/>
              </w:rPr>
            </w:pPr>
            <w:r>
              <w:rPr>
                <w:sz w:val="16"/>
              </w:rPr>
              <w:t>(1) Contracts are defined as new contracts signed during the period for the purchase of homes, less cancellations of prior contracts.</w:t>
            </w:r>
          </w:p>
        </w:tc>
      </w:tr>
      <w:tr>
        <w:trPr/>
        <w:tc>
          <w:tcPr>
            <w:tcW w:w="10205" w:type="dxa"/>
            <w:gridSpan w:val="17"/>
            <w:tcBorders/>
            <w:vAlign w:val="center"/>
          </w:tcPr>
          <w:p>
            <w:pPr>
              <w:pStyle w:val="TableContents"/>
              <w:bidi w:val="0"/>
              <w:spacing w:before="0" w:after="20"/>
              <w:jc w:val="left"/>
              <w:rPr>
                <w:sz w:val="16"/>
              </w:rPr>
            </w:pPr>
            <w:r>
              <w:rPr>
                <w:sz w:val="16"/>
              </w:rPr>
              <w:t>(2) In the first quarter of fiscal 2026, we acquired a controlling financial interest in a previously unconsolidated joint venture in the Kingdom of Saudi Arabia ("KSA").</w:t>
            </w:r>
          </w:p>
          <w:p>
            <w:pPr>
              <w:pStyle w:val="TableContents"/>
              <w:bidi w:val="0"/>
              <w:spacing w:before="0" w:after="20"/>
              <w:jc w:val="left"/>
              <w:rPr>
                <w:sz w:val="16"/>
              </w:rPr>
            </w:pPr>
            <w:r>
              <w:rPr>
                <w:sz w:val="16"/>
              </w:rPr>
              <w:t>(3) 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“Income from unconsolidated joint ventures”.</w:t>
            </w:r>
          </w:p>
        </w:tc>
      </w:tr>
    </w:tbl>
    <w:p>
      <w:pPr>
        <w:pStyle w:val="TextBody"/>
        <w:bidi w:val="0"/>
        <w:spacing w:before="0" w:after="0"/>
        <w:jc w:val="both"/>
        <w:rPr/>
      </w:pPr>
      <w:r>
        <w:rPr/>
        <w:t> </w:t>
      </w:r>
    </w:p>
    <w:p>
      <w:pPr>
        <w:pStyle w:val="TextBody"/>
        <w:bidi w:val="0"/>
        <w:spacing w:before="0" w:after="0"/>
        <w:jc w:val="center"/>
        <w:rPr>
          <w:sz w:val="20"/>
        </w:rPr>
      </w:pPr>
      <w:r>
        <w:rPr>
          <w:sz w:val="20"/>
        </w:rPr>
        <w:t>14</w:t>
      </w:r>
    </w:p>
    <w:p>
      <w:pPr>
        <w:pStyle w:val="HorizontalLine"/>
        <w:pBdr>
          <w:bottom w:val="double" w:sz="2" w:space="0" w:color="808080"/>
        </w:pBdr>
        <w:bidi w:val="0"/>
        <w:jc w:val="center"/>
        <w:rPr/>
      </w:pPr>
      <w:r>
        <w:rPr/>
      </w:r>
    </w:p>
    <w:tbl>
      <w:tblPr>
        <w:tblW w:w="5968" w:type="dxa"/>
        <w:jc w:val="left"/>
        <w:tblInd w:w="0" w:type="dxa"/>
        <w:tblLayout w:type="fixed"/>
        <w:tblCellMar>
          <w:top w:w="0" w:type="dxa"/>
          <w:left w:w="0" w:type="dxa"/>
          <w:bottom w:w="0" w:type="dxa"/>
          <w:right w:w="0" w:type="dxa"/>
        </w:tblCellMar>
      </w:tblPr>
      <w:tblGrid>
        <w:gridCol w:w="5930"/>
        <w:gridCol w:w="38"/>
      </w:tblGrid>
      <w:tr>
        <w:trPr/>
        <w:tc>
          <w:tcPr>
            <w:tcW w:w="5968" w:type="dxa"/>
            <w:gridSpan w:val="2"/>
            <w:tcBorders/>
            <w:vAlign w:val="center"/>
          </w:tcPr>
          <w:p>
            <w:pPr>
              <w:pStyle w:val="TableContents"/>
              <w:bidi w:val="0"/>
              <w:spacing w:before="0" w:after="0"/>
              <w:jc w:val="left"/>
              <w:rPr>
                <w:b/>
                <w:sz w:val="20"/>
              </w:rPr>
            </w:pPr>
            <w:r>
              <w:rPr>
                <w:b/>
                <w:sz w:val="20"/>
              </w:rPr>
              <w:t>HOVNANIAN ENTERPRISES, INC.</w:t>
            </w:r>
          </w:p>
        </w:tc>
      </w:tr>
      <w:tr>
        <w:trPr/>
        <w:tc>
          <w:tcPr>
            <w:tcW w:w="5930" w:type="dxa"/>
            <w:tcBorders/>
            <w:vAlign w:val="center"/>
          </w:tcPr>
          <w:p>
            <w:pPr>
              <w:pStyle w:val="TableContents"/>
              <w:bidi w:val="0"/>
              <w:spacing w:before="0" w:after="0"/>
              <w:jc w:val="left"/>
              <w:rPr>
                <w:b/>
                <w:sz w:val="20"/>
              </w:rPr>
            </w:pPr>
            <w:r>
              <w:rPr>
                <w:b/>
                <w:sz w:val="20"/>
              </w:rPr>
              <w:t>(DOLLARS IN THOUSANDS EXCEPT AVG. PRICE)</w:t>
            </w:r>
          </w:p>
        </w:tc>
        <w:tc>
          <w:tcPr>
            <w:tcW w:w="38"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b/>
                <w:sz w:val="20"/>
              </w:rPr>
            </w:pPr>
            <w:r>
              <w:rPr>
                <w:b/>
                <w:sz w:val="20"/>
              </w:rPr>
              <w:t>(SEGMENT DATA UNCONSOLIDATED JOINT VENTURES ONLY)</w:t>
            </w:r>
          </w:p>
        </w:tc>
        <w:tc>
          <w:tcPr>
            <w:tcW w:w="38"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2330"/>
        <w:gridCol w:w="755"/>
        <w:gridCol w:w="110"/>
        <w:gridCol w:w="650"/>
        <w:gridCol w:w="110"/>
        <w:gridCol w:w="650"/>
        <w:gridCol w:w="785"/>
        <w:gridCol w:w="110"/>
        <w:gridCol w:w="650"/>
        <w:gridCol w:w="110"/>
        <w:gridCol w:w="650"/>
        <w:gridCol w:w="785"/>
        <w:gridCol w:w="110"/>
        <w:gridCol w:w="650"/>
        <w:gridCol w:w="110"/>
        <w:gridCol w:w="650"/>
        <w:gridCol w:w="800"/>
      </w:tblGrid>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Contracts (1)</w:t>
            </w:r>
          </w:p>
        </w:tc>
        <w:tc>
          <w:tcPr>
            <w:tcW w:w="2305" w:type="dxa"/>
            <w:gridSpan w:val="5"/>
            <w:tcBorders>
              <w:top w:val="single" w:sz="6" w:space="0" w:color="000000"/>
              <w:left w:val="single" w:sz="6" w:space="0" w:color="000000"/>
            </w:tcBorders>
            <w:shd w:fill="C0C0C0" w:val="clear"/>
            <w:tcMar>
              <w:top w:w="28" w:type="dxa"/>
              <w:left w:w="28" w:type="dxa"/>
            </w:tcMar>
            <w:vAlign w:val="center"/>
          </w:tcPr>
          <w:p>
            <w:pPr>
              <w:pStyle w:val="TableContents"/>
              <w:bidi w:val="0"/>
              <w:spacing w:before="0" w:after="0"/>
              <w:jc w:val="center"/>
              <w:rPr>
                <w:b/>
                <w:sz w:val="16"/>
              </w:rPr>
            </w:pPr>
            <w:r>
              <w:rPr>
                <w:b/>
                <w:sz w:val="16"/>
              </w:rPr>
              <w:t>Deliveries</w:t>
            </w:r>
          </w:p>
        </w:tc>
        <w:tc>
          <w:tcPr>
            <w:tcW w:w="2320" w:type="dxa"/>
            <w:gridSpan w:val="5"/>
            <w:tcBorders>
              <w:top w:val="single" w:sz="6" w:space="0" w:color="000000"/>
              <w:left w:val="single" w:sz="6" w:space="0" w:color="000000"/>
              <w:right w:val="single" w:sz="6" w:space="0" w:color="000000"/>
            </w:tcBorders>
            <w:shd w:fill="C0C0C0" w:val="clear"/>
            <w:tcMar>
              <w:top w:w="28" w:type="dxa"/>
              <w:left w:w="28" w:type="dxa"/>
              <w:right w:w="28" w:type="dxa"/>
            </w:tcMar>
            <w:vAlign w:val="center"/>
          </w:tcPr>
          <w:p>
            <w:pPr>
              <w:pStyle w:val="TableContents"/>
              <w:bidi w:val="0"/>
              <w:spacing w:before="0" w:after="0"/>
              <w:jc w:val="center"/>
              <w:rPr>
                <w:b/>
                <w:sz w:val="16"/>
              </w:rPr>
            </w:pPr>
            <w:r>
              <w:rPr>
                <w:b/>
                <w:sz w:val="16"/>
              </w:rPr>
              <w:t>Contract</w:t>
            </w:r>
          </w:p>
        </w:tc>
      </w:tr>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Nine Months Ended</w:t>
            </w:r>
          </w:p>
        </w:tc>
        <w:tc>
          <w:tcPr>
            <w:tcW w:w="2305" w:type="dxa"/>
            <w:gridSpan w:val="5"/>
            <w:tcBorders>
              <w:left w:val="single" w:sz="6" w:space="0" w:color="000000"/>
            </w:tcBorders>
            <w:shd w:fill="C0C0C0" w:val="clear"/>
            <w:tcMar>
              <w:left w:w="28" w:type="dxa"/>
            </w:tcMar>
            <w:vAlign w:val="center"/>
          </w:tcPr>
          <w:p>
            <w:pPr>
              <w:pStyle w:val="TableContents"/>
              <w:bidi w:val="0"/>
              <w:spacing w:before="0" w:after="0"/>
              <w:jc w:val="center"/>
              <w:rPr>
                <w:b/>
                <w:sz w:val="16"/>
              </w:rPr>
            </w:pPr>
            <w:r>
              <w:rPr>
                <w:b/>
                <w:sz w:val="16"/>
              </w:rPr>
              <w:t>Nine Months Ended</w:t>
            </w:r>
          </w:p>
        </w:tc>
        <w:tc>
          <w:tcPr>
            <w:tcW w:w="2320"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Backlog</w:t>
            </w:r>
          </w:p>
        </w:tc>
      </w:tr>
      <w:tr>
        <w:trPr/>
        <w:tc>
          <w:tcPr>
            <w:tcW w:w="2330" w:type="dxa"/>
            <w:tcBorders/>
            <w:vAlign w:val="center"/>
          </w:tcPr>
          <w:p>
            <w:pPr>
              <w:pStyle w:val="TableContents"/>
              <w:bidi w:val="0"/>
              <w:spacing w:before="0" w:after="0"/>
              <w:jc w:val="left"/>
              <w:rPr/>
            </w:pPr>
            <w:r>
              <w:rPr/>
              <w:t> </w:t>
            </w:r>
          </w:p>
        </w:tc>
        <w:tc>
          <w:tcPr>
            <w:tcW w:w="755" w:type="dxa"/>
            <w:tcBorders>
              <w:right w:val="single" w:sz="6" w:space="0" w:color="000000"/>
            </w:tcBorders>
            <w:tcMar>
              <w:right w:w="28" w:type="dxa"/>
            </w:tcMar>
            <w:vAlign w:val="center"/>
          </w:tcPr>
          <w:p>
            <w:pPr>
              <w:pStyle w:val="TableContents"/>
              <w:bidi w:val="0"/>
              <w:spacing w:before="0" w:after="0"/>
              <w:jc w:val="right"/>
              <w:rPr/>
            </w:pPr>
            <w:r>
              <w:rPr/>
              <w:t> </w:t>
            </w:r>
          </w:p>
        </w:tc>
        <w:tc>
          <w:tcPr>
            <w:tcW w:w="2305" w:type="dxa"/>
            <w:gridSpan w:val="5"/>
            <w:tcBorders>
              <w:left w:val="single" w:sz="6" w:space="0" w:color="000000"/>
              <w:right w:val="single" w:sz="6" w:space="0" w:color="000000"/>
            </w:tcBorders>
            <w:shd w:fill="C0C0C0" w:val="clear"/>
            <w:tcMar>
              <w:left w:w="28" w:type="dxa"/>
              <w:right w:w="28" w:type="dxa"/>
            </w:tcMar>
            <w:vAlign w:val="center"/>
          </w:tcPr>
          <w:p>
            <w:pPr>
              <w:pStyle w:val="TableContents"/>
              <w:bidi w:val="0"/>
              <w:spacing w:before="0" w:after="0"/>
              <w:jc w:val="center"/>
              <w:rPr>
                <w:b/>
                <w:sz w:val="16"/>
              </w:rPr>
            </w:pPr>
            <w:r>
              <w:rPr>
                <w:b/>
                <w:sz w:val="16"/>
              </w:rPr>
              <w:t>July 31,</w:t>
            </w:r>
          </w:p>
        </w:tc>
        <w:tc>
          <w:tcPr>
            <w:tcW w:w="2305" w:type="dxa"/>
            <w:gridSpan w:val="5"/>
            <w:tcBorders>
              <w:left w:val="single" w:sz="6" w:space="0" w:color="000000"/>
              <w:bottom w:val="single" w:sz="6" w:space="0" w:color="000000"/>
            </w:tcBorders>
            <w:shd w:fill="C0C0C0" w:val="clear"/>
            <w:tcMar>
              <w:left w:w="28" w:type="dxa"/>
              <w:bottom w:w="28" w:type="dxa"/>
            </w:tcMar>
            <w:vAlign w:val="center"/>
          </w:tcPr>
          <w:p>
            <w:pPr>
              <w:pStyle w:val="TableContents"/>
              <w:bidi w:val="0"/>
              <w:spacing w:before="0" w:after="0"/>
              <w:jc w:val="center"/>
              <w:rPr>
                <w:b/>
                <w:sz w:val="16"/>
              </w:rPr>
            </w:pPr>
            <w:r>
              <w:rPr>
                <w:b/>
                <w:sz w:val="16"/>
              </w:rPr>
              <w:t>July 31,</w:t>
            </w:r>
          </w:p>
        </w:tc>
        <w:tc>
          <w:tcPr>
            <w:tcW w:w="2320" w:type="dxa"/>
            <w:gridSpan w:val="5"/>
            <w:tcBorders>
              <w:left w:val="single" w:sz="6" w:space="0" w:color="000000"/>
              <w:bottom w:val="single" w:sz="6" w:space="0" w:color="000000"/>
              <w:right w:val="single" w:sz="6" w:space="0" w:color="000000"/>
            </w:tcBorders>
            <w:shd w:fill="C0C0C0" w:val="clear"/>
            <w:tcMar>
              <w:left w:w="28" w:type="dxa"/>
              <w:bottom w:w="28" w:type="dxa"/>
              <w:right w:w="28" w:type="dxa"/>
            </w:tcMar>
            <w:vAlign w:val="center"/>
          </w:tcPr>
          <w:p>
            <w:pPr>
              <w:pStyle w:val="TableContents"/>
              <w:bidi w:val="0"/>
              <w:spacing w:before="0" w:after="0"/>
              <w:jc w:val="center"/>
              <w:rPr>
                <w:b/>
                <w:sz w:val="16"/>
              </w:rPr>
            </w:pPr>
            <w:r>
              <w:rPr>
                <w:b/>
                <w:sz w:val="16"/>
              </w:rPr>
              <w:t>July 31,</w:t>
            </w:r>
          </w:p>
        </w:tc>
      </w:tr>
      <w:tr>
        <w:trPr/>
        <w:tc>
          <w:tcPr>
            <w:tcW w:w="2330" w:type="dxa"/>
            <w:tcBorders>
              <w:bottom w:val="single" w:sz="6" w:space="0" w:color="000000"/>
            </w:tcBorders>
            <w:tcMar>
              <w:bottom w:w="28" w:type="dxa"/>
            </w:tcMar>
            <w:vAlign w:val="center"/>
          </w:tcPr>
          <w:p>
            <w:pPr>
              <w:pStyle w:val="TableContents"/>
              <w:bidi w:val="0"/>
              <w:spacing w:before="0" w:after="0"/>
              <w:jc w:val="center"/>
              <w:rPr/>
            </w:pPr>
            <w:r>
              <w:rPr/>
              <w:t> </w:t>
            </w:r>
          </w:p>
        </w:tc>
        <w:tc>
          <w:tcPr>
            <w:tcW w:w="7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pPr>
            <w:r>
              <w:rPr/>
              <w:t> </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785" w:type="dxa"/>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 Change</w:t>
            </w:r>
          </w:p>
        </w:tc>
        <w:tc>
          <w:tcPr>
            <w:tcW w:w="760" w:type="dxa"/>
            <w:gridSpan w:val="2"/>
            <w:tcBorders>
              <w:top w:val="single" w:sz="6" w:space="0" w:color="000000"/>
              <w:left w:val="single" w:sz="6" w:space="0" w:color="000000"/>
              <w:bottom w:val="single" w:sz="6" w:space="0" w:color="000000"/>
            </w:tcBorders>
            <w:shd w:fill="C0C0C0" w:val="clear"/>
            <w:tcMar>
              <w:top w:w="28" w:type="dxa"/>
              <w:left w:w="28" w:type="dxa"/>
              <w:bottom w:w="28" w:type="dxa"/>
            </w:tcMar>
            <w:vAlign w:val="center"/>
          </w:tcPr>
          <w:p>
            <w:pPr>
              <w:pStyle w:val="TableContents"/>
              <w:bidi w:val="0"/>
              <w:spacing w:before="0" w:after="0"/>
              <w:jc w:val="center"/>
              <w:rPr>
                <w:b/>
                <w:sz w:val="16"/>
              </w:rPr>
            </w:pPr>
            <w:r>
              <w:rPr>
                <w:b/>
                <w:sz w:val="16"/>
              </w:rPr>
              <w:t>2026</w:t>
            </w:r>
          </w:p>
        </w:tc>
        <w:tc>
          <w:tcPr>
            <w:tcW w:w="760" w:type="dxa"/>
            <w:gridSpan w:val="2"/>
            <w:tcBorders>
              <w:top w:val="single" w:sz="6" w:space="0" w:color="000000"/>
              <w:bottom w:val="single" w:sz="6" w:space="0" w:color="000000"/>
            </w:tcBorders>
            <w:shd w:fill="C0C0C0" w:val="clear"/>
            <w:tcMar>
              <w:top w:w="28" w:type="dxa"/>
              <w:bottom w:w="28" w:type="dxa"/>
            </w:tcMar>
            <w:vAlign w:val="center"/>
          </w:tcPr>
          <w:p>
            <w:pPr>
              <w:pStyle w:val="TableContents"/>
              <w:bidi w:val="0"/>
              <w:spacing w:before="0" w:after="0"/>
              <w:jc w:val="center"/>
              <w:rPr>
                <w:b/>
                <w:sz w:val="16"/>
              </w:rPr>
            </w:pPr>
            <w:r>
              <w:rPr>
                <w:b/>
                <w:sz w:val="16"/>
              </w:rPr>
              <w:t>2025</w:t>
            </w:r>
          </w:p>
        </w:tc>
        <w:tc>
          <w:tcPr>
            <w:tcW w:w="800" w:type="dxa"/>
            <w:tcBorders>
              <w:top w:val="single" w:sz="6" w:space="0" w:color="000000"/>
              <w:bottom w:val="single" w:sz="6" w:space="0" w:color="000000"/>
              <w:right w:val="single" w:sz="6" w:space="0" w:color="000000"/>
            </w:tcBorders>
            <w:shd w:fill="C0C0C0" w:val="clear"/>
            <w:tcMar>
              <w:top w:w="28" w:type="dxa"/>
              <w:bottom w:w="28" w:type="dxa"/>
              <w:right w:w="28" w:type="dxa"/>
            </w:tcMar>
            <w:vAlign w:val="center"/>
          </w:tcPr>
          <w:p>
            <w:pPr>
              <w:pStyle w:val="TableContents"/>
              <w:bidi w:val="0"/>
              <w:spacing w:before="0" w:after="0"/>
              <w:jc w:val="center"/>
              <w:rPr>
                <w:b/>
                <w:sz w:val="16"/>
              </w:rPr>
            </w:pPr>
            <w:r>
              <w:rPr>
                <w:b/>
                <w:sz w:val="16"/>
              </w:rPr>
              <w:t>% Change</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Northeast (2) (3)</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28"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302</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386</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(21.8)%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309</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370</w:t>
            </w:r>
          </w:p>
        </w:tc>
        <w:tc>
          <w:tcPr>
            <w:tcW w:w="785" w:type="dxa"/>
            <w:tcBorders/>
            <w:shd w:fill="C0C0C0" w:val="clear"/>
            <w:vAlign w:val="center"/>
          </w:tcPr>
          <w:p>
            <w:pPr>
              <w:pStyle w:val="TableContents"/>
              <w:bidi w:val="0"/>
              <w:spacing w:before="0" w:after="0"/>
              <w:jc w:val="right"/>
              <w:rPr>
                <w:sz w:val="16"/>
              </w:rPr>
            </w:pPr>
            <w:r>
              <w:rPr>
                <w:sz w:val="16"/>
              </w:rPr>
              <w:t>(16.5)%</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224</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290</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(22.8)%</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(Excluding KSA JV)</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219,736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250,414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(12.3)%</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217,807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270,613 </w:t>
            </w:r>
          </w:p>
        </w:tc>
        <w:tc>
          <w:tcPr>
            <w:tcW w:w="785" w:type="dxa"/>
            <w:tcBorders/>
            <w:shd w:fill="C0C0C0" w:val="clear"/>
            <w:vAlign w:val="center"/>
          </w:tcPr>
          <w:p>
            <w:pPr>
              <w:pStyle w:val="TableContents"/>
              <w:bidi w:val="0"/>
              <w:spacing w:before="0" w:after="0"/>
              <w:jc w:val="right"/>
              <w:rPr>
                <w:sz w:val="16"/>
              </w:rPr>
            </w:pPr>
            <w:r>
              <w:rPr>
                <w:sz w:val="16"/>
              </w:rPr>
              <w:t>(19.5)%</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166,535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192,171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(13.3)%</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(DE, MD, NJ, OH, PA, VA, WV)</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727,603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648,741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12.2%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704,877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731,386 </w:t>
            </w:r>
          </w:p>
        </w:tc>
        <w:tc>
          <w:tcPr>
            <w:tcW w:w="785" w:type="dxa"/>
            <w:tcBorders/>
            <w:shd w:fill="C0C0C0" w:val="clear"/>
            <w:vAlign w:val="center"/>
          </w:tcPr>
          <w:p>
            <w:pPr>
              <w:pStyle w:val="TableContents"/>
              <w:bidi w:val="0"/>
              <w:spacing w:before="0" w:after="0"/>
              <w:jc w:val="right"/>
              <w:rPr>
                <w:sz w:val="16"/>
              </w:rPr>
            </w:pPr>
            <w:r>
              <w:rPr>
                <w:sz w:val="16"/>
              </w:rPr>
              <w:t>(3.6)%</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743,460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662,659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12.2%</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Southeast (3)</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158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194</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(18.6)%</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133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230</w:t>
            </w:r>
          </w:p>
        </w:tc>
        <w:tc>
          <w:tcPr>
            <w:tcW w:w="785" w:type="dxa"/>
            <w:tcBorders/>
            <w:shd w:fill="C0C0C0" w:val="clear"/>
            <w:vAlign w:val="center"/>
          </w:tcPr>
          <w:p>
            <w:pPr>
              <w:pStyle w:val="TableContents"/>
              <w:bidi w:val="0"/>
              <w:spacing w:before="0" w:after="0"/>
              <w:jc w:val="right"/>
              <w:rPr>
                <w:sz w:val="16"/>
              </w:rPr>
            </w:pPr>
            <w:r>
              <w:rPr>
                <w:sz w:val="16"/>
              </w:rPr>
              <w:t>(42.2)%</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103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82</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25.6%</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(FL, GA, SC)</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100,718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127,762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(21.2)%</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91,282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144,792 </w:t>
            </w:r>
          </w:p>
        </w:tc>
        <w:tc>
          <w:tcPr>
            <w:tcW w:w="785" w:type="dxa"/>
            <w:tcBorders/>
            <w:shd w:fill="C0C0C0" w:val="clear"/>
            <w:vAlign w:val="center"/>
          </w:tcPr>
          <w:p>
            <w:pPr>
              <w:pStyle w:val="TableContents"/>
              <w:bidi w:val="0"/>
              <w:spacing w:before="0" w:after="0"/>
              <w:jc w:val="right"/>
              <w:rPr>
                <w:sz w:val="16"/>
              </w:rPr>
            </w:pPr>
            <w:r>
              <w:rPr>
                <w:sz w:val="16"/>
              </w:rPr>
              <w:t>(37.0)%</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65,310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63,462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2.9%</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637,456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658,567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686,331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629,530 </w:t>
            </w:r>
          </w:p>
        </w:tc>
        <w:tc>
          <w:tcPr>
            <w:tcW w:w="785" w:type="dxa"/>
            <w:tcBorders>
              <w:bottom w:val="single" w:sz="6" w:space="0" w:color="000000"/>
            </w:tcBorders>
            <w:shd w:fill="C0C0C0" w:val="clear"/>
            <w:tcMar>
              <w:bottom w:w="28" w:type="dxa"/>
            </w:tcMar>
            <w:vAlign w:val="center"/>
          </w:tcPr>
          <w:p>
            <w:pPr>
              <w:pStyle w:val="TableContents"/>
              <w:bidi w:val="0"/>
              <w:spacing w:before="0" w:after="0"/>
              <w:jc w:val="right"/>
              <w:rPr>
                <w:sz w:val="16"/>
              </w:rPr>
            </w:pPr>
            <w:r>
              <w:rPr>
                <w:sz w:val="16"/>
              </w:rPr>
              <w:t>9.0%</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634,078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773,927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(18.1)%</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West (2) (4)</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lef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(Unconsolidated Joint Ventures)</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122</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139.2%</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82</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49</w:t>
            </w:r>
          </w:p>
        </w:tc>
        <w:tc>
          <w:tcPr>
            <w:tcW w:w="785" w:type="dxa"/>
            <w:tcBorders/>
            <w:shd w:fill="C0C0C0" w:val="clear"/>
            <w:vAlign w:val="center"/>
          </w:tcPr>
          <w:p>
            <w:pPr>
              <w:pStyle w:val="TableContents"/>
              <w:bidi w:val="0"/>
              <w:spacing w:before="0" w:after="0"/>
              <w:jc w:val="right"/>
              <w:rPr>
                <w:sz w:val="16"/>
              </w:rPr>
            </w:pPr>
            <w:r>
              <w:rPr>
                <w:sz w:val="16"/>
              </w:rPr>
              <w:t>67.3%</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56</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15</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273.3%</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sz w:val="16"/>
              </w:rPr>
            </w:pPr>
            <w:r>
              <w:rPr>
                <w:sz w:val="16"/>
              </w:rPr>
              <w:t>(AZ, CA, TX)</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77,676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28,140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176.0%</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44,783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25,837 </w:t>
            </w:r>
          </w:p>
        </w:tc>
        <w:tc>
          <w:tcPr>
            <w:tcW w:w="785" w:type="dxa"/>
            <w:tcBorders/>
            <w:shd w:fill="C0C0C0" w:val="clear"/>
            <w:vAlign w:val="center"/>
          </w:tcPr>
          <w:p>
            <w:pPr>
              <w:pStyle w:val="TableContents"/>
              <w:bidi w:val="0"/>
              <w:spacing w:before="0" w:after="0"/>
              <w:jc w:val="right"/>
              <w:rPr>
                <w:sz w:val="16"/>
              </w:rPr>
            </w:pPr>
            <w:r>
              <w:rPr>
                <w:sz w:val="16"/>
              </w:rPr>
              <w:t>73.3%</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42,016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8,607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388.2%</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636,689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551,765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15.4%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546,134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527,286 </w:t>
            </w:r>
          </w:p>
        </w:tc>
        <w:tc>
          <w:tcPr>
            <w:tcW w:w="785" w:type="dxa"/>
            <w:tcBorders/>
            <w:shd w:fill="C0C0C0" w:val="clear"/>
            <w:vAlign w:val="center"/>
          </w:tcPr>
          <w:p>
            <w:pPr>
              <w:pStyle w:val="TableContents"/>
              <w:bidi w:val="0"/>
              <w:spacing w:before="0" w:after="0"/>
              <w:jc w:val="right"/>
              <w:rPr>
                <w:sz w:val="16"/>
              </w:rPr>
            </w:pPr>
            <w:r>
              <w:rPr>
                <w:sz w:val="16"/>
              </w:rPr>
              <w:t>3.6%</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750,286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573,800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30.8%</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 xml:space="preserve">Unconsolidated Joint Ventures </w:t>
            </w:r>
          </w:p>
        </w:tc>
        <w:tc>
          <w:tcPr>
            <w:tcW w:w="755" w:type="dxa"/>
            <w:tcBorders>
              <w:left w:val="single" w:sz="6" w:space="0" w:color="000000"/>
            </w:tcBorders>
            <w:tcMar>
              <w:left w:w="28" w:type="dxa"/>
            </w:tcMar>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top w:val="single" w:sz="6" w:space="0" w:color="000000"/>
              <w:left w:val="single" w:sz="6" w:space="0" w:color="000000"/>
            </w:tcBorders>
            <w:tcMar>
              <w:top w:w="28" w:type="dxa"/>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(Excluding KSA JV)</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582</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631</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(7.8)%</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524</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649</w:t>
            </w:r>
          </w:p>
        </w:tc>
        <w:tc>
          <w:tcPr>
            <w:tcW w:w="785" w:type="dxa"/>
            <w:tcBorders/>
            <w:shd w:fill="C0C0C0" w:val="clear"/>
            <w:vAlign w:val="center"/>
          </w:tcPr>
          <w:p>
            <w:pPr>
              <w:pStyle w:val="TableContents"/>
              <w:bidi w:val="0"/>
              <w:spacing w:before="0" w:after="0"/>
              <w:jc w:val="right"/>
              <w:rPr>
                <w:sz w:val="16"/>
              </w:rPr>
            </w:pPr>
            <w:r>
              <w:rPr>
                <w:sz w:val="16"/>
              </w:rPr>
              <w:t>(19.3)%</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383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387</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b/>
                <w:sz w:val="16"/>
              </w:rPr>
            </w:pPr>
            <w:r>
              <w:rPr>
                <w:b/>
                <w:sz w:val="16"/>
              </w:rPr>
              <w:t>(2) (3) (4) (5)</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398,130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406,316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(2.0)%</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353,872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441,242 </w:t>
            </w:r>
          </w:p>
        </w:tc>
        <w:tc>
          <w:tcPr>
            <w:tcW w:w="785" w:type="dxa"/>
            <w:tcBorders/>
            <w:shd w:fill="C0C0C0" w:val="clear"/>
            <w:vAlign w:val="center"/>
          </w:tcPr>
          <w:p>
            <w:pPr>
              <w:pStyle w:val="TableContents"/>
              <w:bidi w:val="0"/>
              <w:spacing w:before="0" w:after="0"/>
              <w:jc w:val="right"/>
              <w:rPr>
                <w:sz w:val="16"/>
              </w:rPr>
            </w:pPr>
            <w:r>
              <w:rPr>
                <w:sz w:val="16"/>
              </w:rPr>
              <w:t>(19.8)%</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273,861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264,240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3.6%</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684,072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643,924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6.2%</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675,328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679,880 </w:t>
            </w:r>
          </w:p>
        </w:tc>
        <w:tc>
          <w:tcPr>
            <w:tcW w:w="785" w:type="dxa"/>
            <w:tcBorders>
              <w:bottom w:val="single" w:sz="6" w:space="0" w:color="000000"/>
            </w:tcBorders>
            <w:shd w:fill="C0C0C0" w:val="clear"/>
            <w:tcMar>
              <w:bottom w:w="28" w:type="dxa"/>
            </w:tcMar>
            <w:vAlign w:val="center"/>
          </w:tcPr>
          <w:p>
            <w:pPr>
              <w:pStyle w:val="TableContents"/>
              <w:bidi w:val="0"/>
              <w:spacing w:before="0" w:after="0"/>
              <w:jc w:val="right"/>
              <w:rPr>
                <w:sz w:val="16"/>
              </w:rPr>
            </w:pPr>
            <w:r>
              <w:rPr>
                <w:sz w:val="16"/>
              </w:rPr>
              <w:t>(0.7)%</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715,042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682,791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4.7%</w:t>
            </w:r>
          </w:p>
        </w:tc>
      </w:tr>
      <w:tr>
        <w:trPr/>
        <w:tc>
          <w:tcPr>
            <w:tcW w:w="2330" w:type="dxa"/>
            <w:tcBorders/>
            <w:vAlign w:val="center"/>
          </w:tcPr>
          <w:p>
            <w:pPr>
              <w:pStyle w:val="TableContents"/>
              <w:bidi w:val="0"/>
              <w:spacing w:before="0" w:after="0"/>
              <w:jc w:val="right"/>
              <w:rPr/>
            </w:pPr>
            <w:r>
              <w:rPr/>
              <w:t> </w:t>
            </w:r>
          </w:p>
        </w:tc>
        <w:tc>
          <w:tcPr>
            <w:tcW w:w="75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pPr>
            <w:r>
              <w:rPr/>
              <w:t> </w:t>
            </w:r>
          </w:p>
        </w:tc>
        <w:tc>
          <w:tcPr>
            <w:tcW w:w="800" w:type="dxa"/>
            <w:tcBorders/>
            <w:vAlign w:val="center"/>
          </w:tcPr>
          <w:p>
            <w:pPr>
              <w:pStyle w:val="TableContents"/>
              <w:bidi w:val="0"/>
              <w:spacing w:before="0" w:after="0"/>
              <w:jc w:val="right"/>
              <w:rPr/>
            </w:pPr>
            <w:r>
              <w:rPr/>
              <w:t> </w:t>
            </w:r>
          </w:p>
        </w:tc>
      </w:tr>
      <w:tr>
        <w:trPr/>
        <w:tc>
          <w:tcPr>
            <w:tcW w:w="2330" w:type="dxa"/>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b/>
                <w:sz w:val="16"/>
              </w:rPr>
            </w:pPr>
            <w:r>
              <w:rPr>
                <w:b/>
                <w:sz w:val="16"/>
              </w:rPr>
              <w:t>KSA JV Only</w:t>
            </w:r>
          </w:p>
        </w:tc>
        <w:tc>
          <w:tcPr>
            <w:tcW w:w="755"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785" w:type="dxa"/>
            <w:tcBorders>
              <w:top w:val="single" w:sz="6" w:space="0" w:color="000000"/>
            </w:tcBorders>
            <w:shd w:fill="C0C0C0" w:val="clear"/>
            <w:tcMar>
              <w:top w:w="28" w:type="dxa"/>
            </w:tcMar>
            <w:vAlign w:val="center"/>
          </w:tcPr>
          <w:p>
            <w:pPr>
              <w:pStyle w:val="TableContents"/>
              <w:bidi w:val="0"/>
              <w:spacing w:before="0" w:after="0"/>
              <w:jc w:val="right"/>
              <w:rPr/>
            </w:pPr>
            <w:r>
              <w:rPr/>
              <w:t> </w:t>
            </w:r>
          </w:p>
        </w:tc>
        <w:tc>
          <w:tcPr>
            <w:tcW w:w="110" w:type="dxa"/>
            <w:tcBorders>
              <w:top w:val="single" w:sz="6" w:space="0" w:color="000000"/>
              <w:left w:val="single" w:sz="6" w:space="0" w:color="000000"/>
            </w:tcBorders>
            <w:tcMar>
              <w:top w:w="28" w:type="dxa"/>
              <w:left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110" w:type="dxa"/>
            <w:tcBorders>
              <w:top w:val="single" w:sz="6" w:space="0" w:color="000000"/>
            </w:tcBorders>
            <w:tcMar>
              <w:top w:w="28" w:type="dxa"/>
            </w:tcMar>
            <w:vAlign w:val="center"/>
          </w:tcPr>
          <w:p>
            <w:pPr>
              <w:pStyle w:val="TableContents"/>
              <w:bidi w:val="0"/>
              <w:spacing w:before="0" w:after="0"/>
              <w:jc w:val="center"/>
              <w:rPr/>
            </w:pPr>
            <w:r>
              <w:rPr/>
              <w:t> </w:t>
            </w:r>
          </w:p>
        </w:tc>
        <w:tc>
          <w:tcPr>
            <w:tcW w:w="650" w:type="dxa"/>
            <w:tcBorders>
              <w:top w:val="single" w:sz="6" w:space="0" w:color="000000"/>
            </w:tcBorders>
            <w:tcMar>
              <w:top w:w="28" w:type="dxa"/>
            </w:tcMar>
            <w:vAlign w:val="center"/>
          </w:tcPr>
          <w:p>
            <w:pPr>
              <w:pStyle w:val="TableContents"/>
              <w:bidi w:val="0"/>
              <w:spacing w:before="0" w:after="0"/>
              <w:jc w:val="left"/>
              <w:rPr/>
            </w:pPr>
            <w:r>
              <w:rPr/>
              <w:t> </w:t>
            </w:r>
          </w:p>
        </w:tc>
        <w:tc>
          <w:tcPr>
            <w:tcW w:w="800" w:type="dxa"/>
            <w:tcBorders>
              <w:top w:val="single" w:sz="6" w:space="0" w:color="000000"/>
              <w:right w:val="single" w:sz="6" w:space="0" w:color="000000"/>
            </w:tcBorders>
            <w:shd w:fill="C0C0C0" w:val="clear"/>
            <w:tcMar>
              <w:top w:w="28" w:type="dxa"/>
              <w:right w:w="50" w:type="dxa"/>
            </w:tcMar>
            <w:vAlign w:val="center"/>
          </w:tcPr>
          <w:p>
            <w:pPr>
              <w:pStyle w:val="TableContents"/>
              <w:bidi w:val="0"/>
              <w:spacing w:before="0" w:after="0"/>
              <w:jc w:val="right"/>
              <w:rPr/>
            </w:pPr>
            <w:r>
              <w:rPr/>
              <w:t> </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Home</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23</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332</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(93.1)%</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1</w:t>
            </w:r>
          </w:p>
        </w:tc>
        <w:tc>
          <w:tcPr>
            <w:tcW w:w="785" w:type="dxa"/>
            <w:tcBorders/>
            <w:shd w:fill="C0C0C0" w:val="clear"/>
            <w:vAlign w:val="center"/>
          </w:tcPr>
          <w:p>
            <w:pPr>
              <w:pStyle w:val="TableContents"/>
              <w:bidi w:val="0"/>
              <w:spacing w:before="0" w:after="0"/>
              <w:jc w:val="right"/>
              <w:rPr>
                <w:sz w:val="16"/>
              </w:rPr>
            </w:pPr>
            <w:r>
              <w:rPr>
                <w:sz w:val="16"/>
              </w:rPr>
              <w:t>(100.0)%</w:t>
            </w:r>
          </w:p>
        </w:tc>
        <w:tc>
          <w:tcPr>
            <w:tcW w:w="110" w:type="dxa"/>
            <w:tcBorders>
              <w:left w:val="single" w:sz="6" w:space="0" w:color="000000"/>
            </w:tcBorders>
            <w:tcMar>
              <w:left w:w="28" w:type="dxa"/>
            </w:tcMar>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0</w:t>
            </w:r>
          </w:p>
        </w:tc>
        <w:tc>
          <w:tcPr>
            <w:tcW w:w="110" w:type="dxa"/>
            <w:tcBorders/>
            <w:vAlign w:val="center"/>
          </w:tcPr>
          <w:p>
            <w:pPr>
              <w:pStyle w:val="TableContents"/>
              <w:bidi w:val="0"/>
              <w:spacing w:before="0" w:after="0"/>
              <w:jc w:val="center"/>
              <w:rPr/>
            </w:pPr>
            <w:r>
              <w:rPr/>
              <w:t> </w:t>
            </w:r>
          </w:p>
        </w:tc>
        <w:tc>
          <w:tcPr>
            <w:tcW w:w="650" w:type="dxa"/>
            <w:tcBorders/>
            <w:vAlign w:val="center"/>
          </w:tcPr>
          <w:p>
            <w:pPr>
              <w:pStyle w:val="TableContents"/>
              <w:bidi w:val="0"/>
              <w:spacing w:before="0" w:after="0"/>
              <w:jc w:val="right"/>
              <w:rPr>
                <w:sz w:val="16"/>
              </w:rPr>
            </w:pPr>
            <w:r>
              <w:rPr>
                <w:sz w:val="16"/>
              </w:rPr>
              <w:t>607</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330" w:type="dxa"/>
            <w:tcBorders>
              <w:left w:val="single" w:sz="6" w:space="0" w:color="000000"/>
              <w:right w:val="single" w:sz="6" w:space="0" w:color="000000"/>
            </w:tcBorders>
            <w:tcMar>
              <w:left w:w="28" w:type="dxa"/>
              <w:right w:w="28" w:type="dxa"/>
            </w:tcMar>
            <w:vAlign w:val="center"/>
          </w:tcPr>
          <w:p>
            <w:pPr>
              <w:pStyle w:val="TableContents"/>
              <w:bidi w:val="0"/>
              <w:spacing w:before="0" w:after="0"/>
              <w:jc w:val="left"/>
              <w:rPr/>
            </w:pPr>
            <w:r>
              <w:rPr/>
              <w:t> </w:t>
            </w:r>
          </w:p>
        </w:tc>
        <w:tc>
          <w:tcPr>
            <w:tcW w:w="755" w:type="dxa"/>
            <w:tcBorders>
              <w:left w:val="single" w:sz="6" w:space="0" w:color="000000"/>
            </w:tcBorders>
            <w:tcMar>
              <w:left w:w="28" w:type="dxa"/>
            </w:tcMar>
            <w:vAlign w:val="center"/>
          </w:tcPr>
          <w:p>
            <w:pPr>
              <w:pStyle w:val="TableContents"/>
              <w:bidi w:val="0"/>
              <w:spacing w:before="0" w:after="0"/>
              <w:jc w:val="left"/>
              <w:rPr>
                <w:sz w:val="16"/>
              </w:rPr>
            </w:pPr>
            <w:r>
              <w:rPr>
                <w:sz w:val="16"/>
              </w:rPr>
              <w:t>Dollars</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5,690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84,125 </w:t>
            </w:r>
          </w:p>
        </w:tc>
        <w:tc>
          <w:tcPr>
            <w:tcW w:w="785"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(93.2)%</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177 </w:t>
            </w:r>
          </w:p>
        </w:tc>
        <w:tc>
          <w:tcPr>
            <w:tcW w:w="785" w:type="dxa"/>
            <w:tcBorders/>
            <w:shd w:fill="C0C0C0" w:val="clear"/>
            <w:vAlign w:val="center"/>
          </w:tcPr>
          <w:p>
            <w:pPr>
              <w:pStyle w:val="TableContents"/>
              <w:bidi w:val="0"/>
              <w:spacing w:before="0" w:after="0"/>
              <w:jc w:val="right"/>
              <w:rPr>
                <w:sz w:val="16"/>
              </w:rPr>
            </w:pPr>
            <w:r>
              <w:rPr>
                <w:sz w:val="16"/>
              </w:rPr>
              <w:t>(100.0)%</w:t>
            </w:r>
          </w:p>
        </w:tc>
        <w:tc>
          <w:tcPr>
            <w:tcW w:w="110" w:type="dxa"/>
            <w:tcBorders>
              <w:left w:val="single" w:sz="6" w:space="0" w:color="000000"/>
            </w:tcBorders>
            <w:tcMar>
              <w:left w:w="28" w:type="dxa"/>
            </w:tcMar>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0 </w:t>
            </w:r>
          </w:p>
        </w:tc>
        <w:tc>
          <w:tcPr>
            <w:tcW w:w="110" w:type="dxa"/>
            <w:tcBorders/>
            <w:vAlign w:val="center"/>
          </w:tcPr>
          <w:p>
            <w:pPr>
              <w:pStyle w:val="TableContents"/>
              <w:bidi w:val="0"/>
              <w:spacing w:before="0" w:after="0"/>
              <w:jc w:val="center"/>
              <w:rPr>
                <w:sz w:val="16"/>
              </w:rPr>
            </w:pPr>
            <w:r>
              <w:rPr>
                <w:sz w:val="16"/>
              </w:rPr>
              <w:t>$</w:t>
            </w:r>
          </w:p>
        </w:tc>
        <w:tc>
          <w:tcPr>
            <w:tcW w:w="650" w:type="dxa"/>
            <w:tcBorders/>
            <w:vAlign w:val="center"/>
          </w:tcPr>
          <w:p>
            <w:pPr>
              <w:pStyle w:val="TableContents"/>
              <w:bidi w:val="0"/>
              <w:spacing w:before="0" w:after="0"/>
              <w:jc w:val="right"/>
              <w:rPr>
                <w:sz w:val="16"/>
              </w:rPr>
            </w:pPr>
            <w:r>
              <w:rPr>
                <w:sz w:val="16"/>
              </w:rPr>
              <w:t xml:space="preserve">148,308 </w:t>
            </w:r>
          </w:p>
        </w:tc>
        <w:tc>
          <w:tcPr>
            <w:tcW w:w="800" w:type="dxa"/>
            <w:tcBorders>
              <w:right w:val="single" w:sz="6" w:space="0" w:color="000000"/>
            </w:tcBorders>
            <w:shd w:fill="C0C0C0" w:val="clear"/>
            <w:tcMar>
              <w:right w:w="50" w:type="dxa"/>
            </w:tcMar>
            <w:vAlign w:val="center"/>
          </w:tcPr>
          <w:p>
            <w:pPr>
              <w:pStyle w:val="TableContents"/>
              <w:bidi w:val="0"/>
              <w:spacing w:before="0" w:after="0"/>
              <w:jc w:val="right"/>
              <w:rPr>
                <w:sz w:val="16"/>
              </w:rPr>
            </w:pPr>
            <w:r>
              <w:rPr>
                <w:sz w:val="16"/>
              </w:rPr>
              <w:t>(100.0)%</w:t>
            </w:r>
          </w:p>
        </w:tc>
      </w:tr>
      <w:tr>
        <w:trPr/>
        <w:tc>
          <w:tcPr>
            <w:tcW w:w="233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left"/>
              <w:rPr/>
            </w:pPr>
            <w:r>
              <w:rPr/>
              <w:t> </w:t>
            </w:r>
          </w:p>
        </w:tc>
        <w:tc>
          <w:tcPr>
            <w:tcW w:w="755"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left"/>
              <w:rPr>
                <w:sz w:val="16"/>
              </w:rPr>
            </w:pPr>
            <w:r>
              <w:rPr>
                <w:sz w:val="16"/>
              </w:rPr>
              <w:t>Avg. Price</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247,391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253,389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(2.4)%</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177,000 </w:t>
            </w:r>
          </w:p>
        </w:tc>
        <w:tc>
          <w:tcPr>
            <w:tcW w:w="785"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c>
          <w:tcPr>
            <w:tcW w:w="110" w:type="dxa"/>
            <w:tcBorders>
              <w:left w:val="single" w:sz="6" w:space="0" w:color="000000"/>
              <w:bottom w:val="single" w:sz="6" w:space="0" w:color="000000"/>
            </w:tcBorders>
            <w:tcMar>
              <w:left w:w="28" w:type="dxa"/>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0 </w:t>
            </w:r>
          </w:p>
        </w:tc>
        <w:tc>
          <w:tcPr>
            <w:tcW w:w="110" w:type="dxa"/>
            <w:tcBorders>
              <w:bottom w:val="single" w:sz="6" w:space="0" w:color="000000"/>
            </w:tcBorders>
            <w:tcMar>
              <w:bottom w:w="28" w:type="dxa"/>
            </w:tcMar>
            <w:vAlign w:val="center"/>
          </w:tcPr>
          <w:p>
            <w:pPr>
              <w:pStyle w:val="TableContents"/>
              <w:bidi w:val="0"/>
              <w:spacing w:before="0" w:after="0"/>
              <w:jc w:val="center"/>
              <w:rPr>
                <w:sz w:val="16"/>
              </w:rPr>
            </w:pPr>
            <w:r>
              <w:rPr>
                <w:sz w:val="16"/>
              </w:rPr>
              <w:t>$</w:t>
            </w:r>
          </w:p>
        </w:tc>
        <w:tc>
          <w:tcPr>
            <w:tcW w:w="650" w:type="dxa"/>
            <w:tcBorders>
              <w:bottom w:val="single" w:sz="6" w:space="0" w:color="000000"/>
            </w:tcBorders>
            <w:tcMar>
              <w:bottom w:w="28" w:type="dxa"/>
            </w:tcMar>
            <w:vAlign w:val="center"/>
          </w:tcPr>
          <w:p>
            <w:pPr>
              <w:pStyle w:val="TableContents"/>
              <w:bidi w:val="0"/>
              <w:spacing w:before="0" w:after="0"/>
              <w:jc w:val="right"/>
              <w:rPr>
                <w:sz w:val="16"/>
              </w:rPr>
            </w:pPr>
            <w:r>
              <w:rPr>
                <w:sz w:val="16"/>
              </w:rPr>
              <w:t xml:space="preserve">244,329 </w:t>
            </w:r>
          </w:p>
        </w:tc>
        <w:tc>
          <w:tcPr>
            <w:tcW w:w="800" w:type="dxa"/>
            <w:tcBorders>
              <w:bottom w:val="single" w:sz="6" w:space="0" w:color="000000"/>
              <w:right w:val="single" w:sz="6" w:space="0" w:color="000000"/>
            </w:tcBorders>
            <w:shd w:fill="C0C0C0" w:val="clear"/>
            <w:tcMar>
              <w:bottom w:w="28" w:type="dxa"/>
              <w:right w:w="50" w:type="dxa"/>
            </w:tcMar>
            <w:vAlign w:val="center"/>
          </w:tcPr>
          <w:p>
            <w:pPr>
              <w:pStyle w:val="TableContents"/>
              <w:bidi w:val="0"/>
              <w:spacing w:before="0" w:after="0"/>
              <w:jc w:val="right"/>
              <w:rPr>
                <w:sz w:val="16"/>
              </w:rPr>
            </w:pPr>
            <w:r>
              <w:rPr>
                <w:sz w:val="16"/>
              </w:rPr>
              <w:t>(100.0)%</w:t>
            </w:r>
          </w:p>
        </w:tc>
      </w:tr>
      <w:tr>
        <w:trPr/>
        <w:tc>
          <w:tcPr>
            <w:tcW w:w="2330" w:type="dxa"/>
            <w:tcBorders/>
            <w:vAlign w:val="center"/>
          </w:tcPr>
          <w:p>
            <w:pPr>
              <w:pStyle w:val="TableContents"/>
              <w:bidi w:val="0"/>
              <w:spacing w:before="0" w:after="0"/>
              <w:jc w:val="right"/>
              <w:rPr/>
            </w:pPr>
            <w:r>
              <w:rPr/>
              <w:t> </w:t>
            </w:r>
          </w:p>
        </w:tc>
        <w:tc>
          <w:tcPr>
            <w:tcW w:w="75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78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right"/>
              <w:rPr/>
            </w:pPr>
            <w:r>
              <w:rPr/>
              <w:t> </w:t>
            </w:r>
          </w:p>
        </w:tc>
        <w:tc>
          <w:tcPr>
            <w:tcW w:w="650" w:type="dxa"/>
            <w:tcBorders/>
            <w:vAlign w:val="center"/>
          </w:tcPr>
          <w:p>
            <w:pPr>
              <w:pStyle w:val="TableContents"/>
              <w:bidi w:val="0"/>
              <w:spacing w:before="0" w:after="0"/>
              <w:jc w:val="right"/>
              <w:rPr/>
            </w:pPr>
            <w:r>
              <w:rPr/>
              <w:t> </w:t>
            </w:r>
          </w:p>
        </w:tc>
        <w:tc>
          <w:tcPr>
            <w:tcW w:w="800" w:type="dxa"/>
            <w:tcBorders/>
            <w:vAlign w:val="center"/>
          </w:tcPr>
          <w:p>
            <w:pPr>
              <w:pStyle w:val="TableContents"/>
              <w:bidi w:val="0"/>
              <w:spacing w:before="0" w:after="0"/>
              <w:jc w:val="right"/>
              <w:rPr/>
            </w:pPr>
            <w:r>
              <w:rPr/>
              <w:t> </w:t>
            </w:r>
          </w:p>
        </w:tc>
      </w:tr>
      <w:tr>
        <w:trPr/>
        <w:tc>
          <w:tcPr>
            <w:tcW w:w="10015" w:type="dxa"/>
            <w:gridSpan w:val="17"/>
            <w:tcBorders>
              <w:bottom w:val="single" w:sz="6" w:space="0" w:color="000000"/>
            </w:tcBorders>
            <w:tcMar>
              <w:bottom w:w="28" w:type="dxa"/>
            </w:tcMar>
            <w:vAlign w:val="center"/>
          </w:tcPr>
          <w:p>
            <w:pPr>
              <w:pStyle w:val="TableContents"/>
              <w:bidi w:val="0"/>
              <w:spacing w:before="0" w:after="0"/>
              <w:jc w:val="left"/>
              <w:rPr>
                <w:sz w:val="16"/>
              </w:rPr>
            </w:pPr>
            <w:r>
              <w:rPr>
                <w:sz w:val="16"/>
              </w:rPr>
              <w:t>DELIVERIES INCLUDE EXTRAS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8"/>
        <w:gridCol w:w="425"/>
        <w:gridCol w:w="425"/>
        <w:gridCol w:w="425"/>
        <w:gridCol w:w="425"/>
        <w:gridCol w:w="425"/>
        <w:gridCol w:w="425"/>
        <w:gridCol w:w="425"/>
        <w:gridCol w:w="425"/>
        <w:gridCol w:w="425"/>
        <w:gridCol w:w="425"/>
        <w:gridCol w:w="425"/>
        <w:gridCol w:w="425"/>
        <w:gridCol w:w="425"/>
        <w:gridCol w:w="425"/>
        <w:gridCol w:w="425"/>
        <w:gridCol w:w="532"/>
      </w:tblGrid>
      <w:tr>
        <w:trPr/>
        <w:tc>
          <w:tcPr>
            <w:tcW w:w="3298" w:type="dxa"/>
            <w:tcBorders/>
            <w:vAlign w:val="center"/>
          </w:tcPr>
          <w:p>
            <w:pPr>
              <w:pStyle w:val="TableContents"/>
              <w:bidi w:val="0"/>
              <w:spacing w:before="0" w:after="0"/>
              <w:jc w:val="left"/>
              <w:rPr>
                <w:sz w:val="16"/>
              </w:rPr>
            </w:pPr>
            <w:r>
              <w:rPr>
                <w:sz w:val="16"/>
              </w:rPr>
              <w:t>Notes:</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425" w:type="dxa"/>
            <w:tcBorders/>
            <w:vAlign w:val="center"/>
          </w:tcPr>
          <w:p>
            <w:pPr>
              <w:pStyle w:val="TableContents"/>
              <w:bidi w:val="0"/>
              <w:spacing w:before="0" w:after="0"/>
              <w:jc w:val="right"/>
              <w:rPr/>
            </w:pPr>
            <w:r>
              <w:rPr/>
              <w:t> </w:t>
            </w:r>
          </w:p>
        </w:tc>
        <w:tc>
          <w:tcPr>
            <w:tcW w:w="532" w:type="dxa"/>
            <w:tcBorders/>
            <w:vAlign w:val="center"/>
          </w:tcPr>
          <w:p>
            <w:pPr>
              <w:pStyle w:val="TableContents"/>
              <w:bidi w:val="0"/>
              <w:spacing w:before="0" w:after="0"/>
              <w:jc w:val="right"/>
              <w:rPr/>
            </w:pPr>
            <w:r>
              <w:rPr/>
              <w:t> </w:t>
            </w:r>
          </w:p>
        </w:tc>
      </w:tr>
      <w:tr>
        <w:trPr/>
        <w:tc>
          <w:tcPr>
            <w:tcW w:w="10205" w:type="dxa"/>
            <w:gridSpan w:val="17"/>
            <w:tcBorders/>
            <w:vAlign w:val="center"/>
          </w:tcPr>
          <w:p>
            <w:pPr>
              <w:pStyle w:val="TableContents"/>
              <w:bidi w:val="0"/>
              <w:spacing w:before="0" w:after="0"/>
              <w:jc w:val="both"/>
              <w:rPr>
                <w:sz w:val="16"/>
              </w:rPr>
            </w:pPr>
            <w:r>
              <w:rPr>
                <w:sz w:val="16"/>
              </w:rPr>
              <w:t>(1) Contracts are defined as new contracts signed during the period for the purchase of homes, less cancellations of prior contracts.</w:t>
            </w:r>
          </w:p>
        </w:tc>
      </w:tr>
      <w:tr>
        <w:trPr/>
        <w:tc>
          <w:tcPr>
            <w:tcW w:w="10205" w:type="dxa"/>
            <w:gridSpan w:val="17"/>
            <w:tcBorders/>
            <w:vAlign w:val="center"/>
          </w:tcPr>
          <w:p>
            <w:pPr>
              <w:pStyle w:val="TableContents"/>
              <w:bidi w:val="0"/>
              <w:spacing w:before="0" w:after="0"/>
              <w:jc w:val="both"/>
              <w:rPr>
                <w:sz w:val="16"/>
              </w:rPr>
            </w:pPr>
            <w:r>
              <w:rPr>
                <w:sz w:val="16"/>
              </w:rPr>
              <w:t xml:space="preserve">(2) Includes 67 homes and $53.3 million and 3 homes and $1.3 million of contract backlog related to the assets and liabilities in the Northeast and West segments, respectively, that were acquired from a joint venture the Company closed out during the three months ended January 31, 2026. </w:t>
            </w:r>
          </w:p>
          <w:p>
            <w:pPr>
              <w:pStyle w:val="TableContents"/>
              <w:bidi w:val="0"/>
              <w:spacing w:before="0" w:after="0"/>
              <w:jc w:val="both"/>
              <w:rPr>
                <w:sz w:val="16"/>
              </w:rPr>
            </w:pPr>
            <w:r>
              <w:rPr>
                <w:sz w:val="16"/>
              </w:rPr>
              <w:t xml:space="preserve">(3) Includes 71 homes and $54.7 million and 49 homes and $32.9 million of contract backlog related to the assets and liabilities in the Northeast and Southeast segments, respectively, that were contributed to a joint venture the Company entered into during the three months ended January 31, 2026. </w:t>
            </w:r>
          </w:p>
          <w:p>
            <w:pPr>
              <w:pStyle w:val="TableContents"/>
              <w:bidi w:val="0"/>
              <w:spacing w:before="0" w:after="0"/>
              <w:jc w:val="both"/>
              <w:rPr>
                <w:sz w:val="16"/>
              </w:rPr>
            </w:pPr>
            <w:r>
              <w:rPr>
                <w:sz w:val="16"/>
              </w:rPr>
              <w:t>(4) Includes 8 homes and $5.0 million of contract backlog related to the assets and liabilities in the West segment that were contributed to a joint venture the Company entered into during the three months ended January 31, 2025.</w:t>
            </w:r>
          </w:p>
          <w:p>
            <w:pPr>
              <w:pStyle w:val="TableContents"/>
              <w:bidi w:val="0"/>
              <w:spacing w:before="0" w:after="0"/>
              <w:jc w:val="both"/>
              <w:rPr>
                <w:sz w:val="16"/>
              </w:rPr>
            </w:pPr>
            <w:r>
              <w:rPr>
                <w:sz w:val="16"/>
              </w:rPr>
              <w:t>(5) 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“Income from unconsolidated joint ventures”.</w:t>
            </w:r>
          </w:p>
        </w:tc>
      </w:tr>
    </w:tbl>
    <w:p>
      <w:pPr>
        <w:pStyle w:val="TextBody"/>
        <w:bidi w:val="0"/>
        <w:spacing w:before="0" w:after="0"/>
        <w:jc w:val="both"/>
        <w:rPr/>
      </w:pPr>
      <w:r>
        <w:rPr/>
        <w:t> </w:t>
      </w:r>
    </w:p>
    <w:p>
      <w:pPr>
        <w:pStyle w:val="TextBody"/>
        <w:bidi w:val="0"/>
        <w:spacing w:before="0" w:after="0"/>
        <w:jc w:val="center"/>
        <w:rPr>
          <w:sz w:val="20"/>
        </w:rPr>
      </w:pPr>
      <w:r>
        <w:rPr>
          <w:sz w:val="20"/>
        </w:rPr>
        <w:t>15</w:t>
      </w:r>
    </w:p>
    <w:p>
      <w:pPr>
        <w:pStyle w:val="HorizontalLine"/>
        <w:pBdr>
          <w:bottom w:val="double" w:sz="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9250</Words>
  <Characters>49899</Characters>
  <CharactersWithSpaces>60473</CharactersWithSpaces>
  <Paragraphs>4775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