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-230505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-575310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4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-620395</wp:posOffset>
            </wp:positionV>
            <wp:extent cx="57785" cy="6337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3956050</wp:posOffset>
            </wp:positionH>
            <wp:positionV relativeFrom="paragraph">
              <wp:posOffset>-620395</wp:posOffset>
            </wp:positionV>
            <wp:extent cx="57785" cy="6337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735965</wp:posOffset>
            </wp:positionV>
            <wp:extent cx="6995160" cy="4958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958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PAGANO VINCENT JR</w:t>
        </w:r>
      </w:hyperlink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66"/>
        </w:trPr>
        <w:tc>
          <w:tcPr>
            <w:tcW w:w="2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C/O HOVNANIAN ENTERPRISES, INC.</w:t>
            </w:r>
          </w:p>
        </w:tc>
      </w:tr>
      <w:tr>
        <w:trPr>
          <w:trHeight w:val="256"/>
        </w:trPr>
        <w:tc>
          <w:tcPr>
            <w:tcW w:w="2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 MATAWAN ROAD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24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7"/>
        </w:trPr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MATAWAN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07747</w:t>
            </w:r>
          </w:p>
        </w:tc>
      </w:tr>
      <w:tr>
        <w:trPr>
          <w:trHeight w:val="463"/>
        </w:trPr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17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HOVNANIAN ENTERPRISES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HOV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2,014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26,171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1,223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112.895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24,948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42.5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38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2,014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2,014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06/09/2026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-1918970</wp:posOffset>
            </wp:positionV>
            <wp:extent cx="29210" cy="19240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Adjusted for the Issuer's 1-for-25 reverse stock split with respect to the Class A Common Stock, par value $.01 per share, non-cumulative ("Class A Common Stock"), that occurred on March 29, 2019.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Adjusted for the Issuer's 1-for-25 reverse stock split with respect to the Class A Common Stock that occurred on March 29, 2019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fully vested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N/A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D. Tice Attorney-in-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04/03/2026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1"/>
        <w:spacing w:after="0" w:line="3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63558" TargetMode="External"/><Relationship Id="rId14" Type="http://schemas.openxmlformats.org/officeDocument/2006/relationships/hyperlink" Target="http://www.sec.gov/cgi-bin/browse-edgar?action=getcompany&amp;CIK=000035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2026-04-03T14:02:35Z</dcterms:created>
  <dcterms:modified xsi:type="dcterms:W3CDTF">2026-04-03T14:02:35Z</dcterms:modified>
</cp:coreProperties>
</file>