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UNITED STATES</w:t>
      </w:r>
    </w:p>
    <w:p>
      <w:pPr>
        <w:spacing w:after="0" w:line="1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1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10-Q</w:t>
      </w:r>
    </w:p>
    <w:p>
      <w:pPr>
        <w:spacing w:after="0" w:line="18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2" w:lineRule="exact"/>
        <w:rPr>
          <w:sz w:val="24"/>
          <w:szCs w:val="24"/>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quarterly period ended April 30, 2026</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OR</w:t>
      </w:r>
    </w:p>
    <w:p>
      <w:pPr>
        <w:spacing w:after="0" w:line="139" w:lineRule="exact"/>
        <w:rPr>
          <w:sz w:val="24"/>
          <w:szCs w:val="24"/>
          <w:color w:val="auto"/>
        </w:rPr>
      </w:pPr>
    </w:p>
    <w:p>
      <w:pPr>
        <w:ind w:right="4060" w:firstLine="8"/>
        <w:spacing w:after="0" w:line="414" w:lineRule="auto"/>
        <w:tabs>
          <w:tab w:leader="none" w:pos="81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 Commission file number 1-8551</w:t>
      </w:r>
    </w:p>
    <w:p>
      <w:pPr>
        <w:spacing w:after="0" w:line="1" w:lineRule="exact"/>
        <w:rPr>
          <w:rFonts w:ascii="MS PGothic" w:cs="MS PGothic" w:eastAsia="MS PGothic" w:hAnsi="MS PGothic"/>
          <w:sz w:val="18"/>
          <w:szCs w:val="18"/>
          <w:color w:val="auto"/>
        </w:rPr>
      </w:pPr>
    </w:p>
    <w:p>
      <w:pPr>
        <w:ind w:right="5280"/>
        <w:spacing w:after="0" w:line="414" w:lineRule="auto"/>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Hovnanian Enterprises, Inc. (Exact Name of Registrant as Specified in Its Charter) Delaware (State or Other Jurisdiction of Incorporation or Organization)</w:t>
      </w:r>
    </w:p>
    <w:p>
      <w:pPr>
        <w:spacing w:after="0" w:line="1" w:lineRule="exact"/>
        <w:rPr>
          <w:rFonts w:ascii="MS PGothic" w:cs="MS PGothic" w:eastAsia="MS PGothic" w:hAnsi="MS PGothic"/>
          <w:sz w:val="18"/>
          <w:szCs w:val="18"/>
          <w:color w:val="auto"/>
        </w:rPr>
      </w:pPr>
    </w:p>
    <w:p>
      <w:pPr>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22-1851059 (I.R.S. Employer Identification No.)</w:t>
      </w:r>
    </w:p>
    <w:p>
      <w:pPr>
        <w:spacing w:after="0" w:line="157" w:lineRule="exact"/>
        <w:rPr>
          <w:rFonts w:ascii="MS PGothic" w:cs="MS PGothic" w:eastAsia="MS PGothic" w:hAnsi="MS PGothic"/>
          <w:sz w:val="18"/>
          <w:szCs w:val="18"/>
          <w:color w:val="auto"/>
        </w:rPr>
      </w:pPr>
    </w:p>
    <w:p>
      <w:pPr>
        <w:ind w:right="4640"/>
        <w:spacing w:after="0" w:line="461" w:lineRule="auto"/>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90 Matawan Road, 5th Floor, Matawan, NJ 07747 (Address of Principal Executive Offices) 732-747-7800 (Registrant’s Telephone Number, Including Area Code)</w:t>
      </w:r>
    </w:p>
    <w:p>
      <w:pPr>
        <w:spacing w:after="0" w:line="1" w:lineRule="exact"/>
        <w:rPr>
          <w:rFonts w:ascii="MS PGothic" w:cs="MS PGothic" w:eastAsia="MS PGothic" w:hAnsi="MS PGothic"/>
          <w:sz w:val="18"/>
          <w:szCs w:val="18"/>
          <w:color w:val="auto"/>
        </w:rPr>
      </w:pPr>
    </w:p>
    <w:p>
      <w:pPr>
        <w:ind w:right="4560"/>
        <w:spacing w:after="0" w:line="441" w:lineRule="auto"/>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N/A (Former Name, Former Address and Former Fiscal Year, if Changed Since Last Report) Securities registered pursuant to Section 12(b) of the Act:</w:t>
      </w:r>
    </w:p>
    <w:tbl>
      <w:tblPr>
        <w:tblLayout w:type="fixed"/>
        <w:tblInd w:w="10" w:type="dxa"/>
        <w:tblCellMar>
          <w:top w:w="0" w:type="dxa"/>
          <w:left w:w="0" w:type="dxa"/>
          <w:bottom w:w="0" w:type="dxa"/>
          <w:right w:w="0" w:type="dxa"/>
        </w:tblCellMar>
      </w:tblPr>
      <w:tr>
        <w:trPr>
          <w:trHeight w:val="210"/>
        </w:trPr>
        <w:tc>
          <w:tcPr>
            <w:tcW w:w="45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Trading symbol(s)</w:t>
            </w:r>
          </w:p>
        </w:tc>
        <w:tc>
          <w:tcPr>
            <w:tcW w:w="44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c>
          <w:tcPr>
            <w:tcW w:w="0" w:type="dxa"/>
            <w:vAlign w:val="bottom"/>
          </w:tcPr>
          <w:p>
            <w:pPr>
              <w:spacing w:after="0"/>
              <w:rPr>
                <w:sz w:val="1"/>
                <w:szCs w:val="1"/>
                <w:color w:val="auto"/>
              </w:rPr>
            </w:pPr>
          </w:p>
        </w:tc>
      </w:tr>
      <w:tr>
        <w:trPr>
          <w:trHeight w:val="210"/>
        </w:trPr>
        <w:tc>
          <w:tcPr>
            <w:tcW w:w="45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$0.01 par value per share</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HOV</w:t>
            </w:r>
          </w:p>
        </w:tc>
        <w:tc>
          <w:tcPr>
            <w:tcW w:w="4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10"/>
        </w:trPr>
        <w:tc>
          <w:tcPr>
            <w:tcW w:w="45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Preferred Stock Purchase Rights(1)</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4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191"/>
        </w:trPr>
        <w:tc>
          <w:tcPr>
            <w:tcW w:w="452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Depositary Shares each representing 1/1,000th of a share of</w:t>
            </w:r>
          </w:p>
        </w:tc>
        <w:tc>
          <w:tcPr>
            <w:tcW w:w="2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HOVNP</w:t>
            </w:r>
          </w:p>
        </w:tc>
        <w:tc>
          <w:tcPr>
            <w:tcW w:w="4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126"/>
        </w:trPr>
        <w:tc>
          <w:tcPr>
            <w:tcW w:w="45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7.625% Series A Preferred Stock</w:t>
            </w:r>
          </w:p>
        </w:tc>
        <w:tc>
          <w:tcPr>
            <w:tcW w:w="2240" w:type="dxa"/>
            <w:vAlign w:val="bottom"/>
            <w:tcBorders>
              <w:right w:val="single" w:sz="8" w:color="auto"/>
            </w:tcBorders>
            <w:vMerge w:val="continue"/>
          </w:tcPr>
          <w:p>
            <w:pPr>
              <w:spacing w:after="0"/>
              <w:rPr>
                <w:sz w:val="10"/>
                <w:szCs w:val="10"/>
                <w:color w:val="auto"/>
              </w:rPr>
            </w:pPr>
          </w:p>
        </w:tc>
        <w:tc>
          <w:tcPr>
            <w:tcW w:w="44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52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2240" w:type="dxa"/>
            <w:vAlign w:val="bottom"/>
            <w:tcBorders>
              <w:bottom w:val="single" w:sz="8" w:color="auto"/>
              <w:right w:val="single" w:sz="8" w:color="auto"/>
            </w:tcBorders>
          </w:tcPr>
          <w:p>
            <w:pPr>
              <w:spacing w:after="0"/>
              <w:rPr>
                <w:sz w:val="9"/>
                <w:szCs w:val="9"/>
                <w:color w:val="auto"/>
              </w:rPr>
            </w:pPr>
          </w:p>
        </w:tc>
        <w:tc>
          <w:tcPr>
            <w:tcW w:w="44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157" w:lineRule="exact"/>
        <w:rPr>
          <w:sz w:val="24"/>
          <w:szCs w:val="24"/>
          <w:color w:val="auto"/>
        </w:rPr>
      </w:pPr>
    </w:p>
    <w:p>
      <w:pPr>
        <w:jc w:val="both"/>
        <w:ind w:firstLine="8"/>
        <w:spacing w:after="0" w:line="266" w:lineRule="auto"/>
        <w:tabs>
          <w:tab w:leader="none" w:pos="2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Common Stock includes an associated Preferred Stock Purchase Right. Each Preferred Stock Purchase Right initially represents the right, if such Preferred Stock Purchase Right becomes exercisable, to purchase from the Company one ten-thousandth of a share of its Series B Junior Preferred Stock for each share of Common Stock. The Preferred Stock Purchase Rights currently cannot trade separately from the underlying Common Stock.</w:t>
      </w:r>
    </w:p>
    <w:p>
      <w:pPr>
        <w:spacing w:after="0" w:line="149" w:lineRule="exact"/>
        <w:rPr>
          <w:sz w:val="24"/>
          <w:szCs w:val="24"/>
          <w:color w:val="auto"/>
        </w:rPr>
      </w:pPr>
    </w:p>
    <w:p>
      <w:pPr>
        <w:jc w:val="both"/>
        <w:ind w:firstLine="486"/>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jc w:val="both"/>
        <w:ind w:firstLine="486"/>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8" w:lineRule="exact"/>
        <w:rPr>
          <w:sz w:val="24"/>
          <w:szCs w:val="24"/>
          <w:color w:val="auto"/>
        </w:rPr>
      </w:pPr>
    </w:p>
    <w:p>
      <w:pPr>
        <w:spacing w:after="0" w:line="207" w:lineRule="exact"/>
        <w:tabs>
          <w:tab w:leader="none" w:pos="2480" w:val="left"/>
          <w:tab w:leader="none" w:pos="4480" w:val="left"/>
          <w:tab w:leader="none" w:pos="6640" w:val="left"/>
          <w:tab w:leader="none" w:pos="9440" w:val="left"/>
        </w:tabs>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Smaller Reporting Company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Emerging Growth</w:t>
      </w:r>
    </w:p>
    <w:p>
      <w:pPr>
        <w:spacing w:after="0" w:line="63" w:lineRule="exact"/>
        <w:rPr>
          <w:sz w:val="24"/>
          <w:szCs w:val="24"/>
          <w:color w:val="auto"/>
        </w:rPr>
      </w:pPr>
    </w:p>
    <w:p>
      <w:pPr>
        <w:ind w:left="9460"/>
        <w:spacing w:after="0" w:line="207" w:lineRule="exact"/>
        <w:rPr>
          <w:sz w:val="20"/>
          <w:szCs w:val="20"/>
          <w:color w:val="auto"/>
        </w:rPr>
      </w:pPr>
      <w:r>
        <w:rPr>
          <w:rFonts w:ascii="Times New Roman" w:cs="Times New Roman" w:eastAsia="Times New Roman" w:hAnsi="Times New Roman"/>
          <w:sz w:val="18"/>
          <w:szCs w:val="18"/>
          <w:color w:val="auto"/>
        </w:rPr>
        <w:t xml:space="preserve">Company </w:t>
      </w:r>
      <w:r>
        <w:rPr>
          <w:rFonts w:ascii="MS PGothic" w:cs="MS PGothic" w:eastAsia="MS PGothic" w:hAnsi="MS PGothic"/>
          <w:sz w:val="18"/>
          <w:szCs w:val="18"/>
          <w:color w:val="auto"/>
        </w:rPr>
        <w:t>☐</w:t>
      </w:r>
    </w:p>
    <w:p>
      <w:pPr>
        <w:spacing w:after="0" w:line="171" w:lineRule="exact"/>
        <w:rPr>
          <w:sz w:val="24"/>
          <w:szCs w:val="24"/>
          <w:color w:val="auto"/>
        </w:rPr>
      </w:pPr>
    </w:p>
    <w:p>
      <w:pPr>
        <w:ind w:right="20" w:firstLine="486"/>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89" w:lineRule="exact"/>
        <w:rPr>
          <w:sz w:val="24"/>
          <w:szCs w:val="24"/>
          <w:color w:val="auto"/>
        </w:rPr>
      </w:pPr>
    </w:p>
    <w:p>
      <w:pPr>
        <w:ind w:left="50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39" w:lineRule="exact"/>
        <w:rPr>
          <w:sz w:val="24"/>
          <w:szCs w:val="24"/>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 5,071,686 shares of Class A Common Stock and 787,911 shares of Class B Common Stock were outstanding as of May 27, 2026.</w:t>
      </w:r>
    </w:p>
    <w:p>
      <w:pPr>
        <w:sectPr>
          <w:pgSz w:w="11900" w:h="16838" w:orient="portrait"/>
          <w:cols w:equalWidth="0" w:num="1">
            <w:col w:w="11240"/>
          </w:cols>
          <w:pgMar w:left="320" w:top="229" w:right="339" w:bottom="1440" w:gutter="0" w:footer="0" w:header="0"/>
        </w:sectPr>
      </w:pPr>
    </w:p>
    <w:p>
      <w:pPr>
        <w:spacing w:after="0" w:line="1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7486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88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380" w:type="dxa"/>
            <w:vAlign w:val="bottom"/>
          </w:tcPr>
          <w:p>
            <w:pPr>
              <w:spacing w:after="0"/>
              <w:rPr>
                <w:sz w:val="17"/>
                <w:szCs w:val="17"/>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453"/>
        </w:trPr>
        <w:tc>
          <w:tcPr>
            <w:tcW w:w="98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HOVNANIAN ENTERPRISES, INC.</w:t>
            </w:r>
          </w:p>
        </w:tc>
        <w:tc>
          <w:tcPr>
            <w:tcW w:w="1380" w:type="dxa"/>
            <w:vAlign w:val="bottom"/>
          </w:tcPr>
          <w:p>
            <w:pPr>
              <w:spacing w:after="0"/>
              <w:rPr>
                <w:sz w:val="24"/>
                <w:szCs w:val="24"/>
                <w:color w:val="auto"/>
              </w:rPr>
            </w:pPr>
          </w:p>
        </w:tc>
      </w:tr>
      <w:tr>
        <w:trPr>
          <w:trHeight w:val="432"/>
        </w:trPr>
        <w:tc>
          <w:tcPr>
            <w:tcW w:w="98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FORM 10-Q</w:t>
            </w:r>
          </w:p>
        </w:tc>
        <w:tc>
          <w:tcPr>
            <w:tcW w:w="1380" w:type="dxa"/>
            <w:vAlign w:val="bottom"/>
          </w:tcPr>
          <w:p>
            <w:pPr>
              <w:spacing w:after="0"/>
              <w:rPr>
                <w:sz w:val="24"/>
                <w:szCs w:val="24"/>
                <w:color w:val="auto"/>
              </w:rPr>
            </w:pPr>
          </w:p>
        </w:tc>
      </w:tr>
      <w:tr>
        <w:trPr>
          <w:trHeight w:val="400"/>
        </w:trPr>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8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7"/>
              </w:rPr>
              <w:t>PAGE</w:t>
            </w:r>
          </w:p>
        </w:tc>
      </w:tr>
      <w:tr>
        <w:trPr>
          <w:trHeight w:val="234"/>
        </w:trPr>
        <w:tc>
          <w:tcPr>
            <w:tcW w:w="98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INDEX</w:t>
            </w:r>
          </w:p>
        </w:tc>
        <w:tc>
          <w:tcPr>
            <w:tcW w:w="138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8"/>
              </w:rPr>
              <w:t>NUMBER</w:t>
            </w:r>
          </w:p>
        </w:tc>
      </w:tr>
      <w:tr>
        <w:trPr>
          <w:trHeight w:val="405"/>
        </w:trPr>
        <w:tc>
          <w:tcPr>
            <w:tcW w:w="222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8"/>
              </w:rPr>
              <w:t>PART I. Financial Information</w:t>
            </w:r>
          </w:p>
        </w:tc>
        <w:tc>
          <w:tcPr>
            <w:tcW w:w="7660" w:type="dxa"/>
            <w:vAlign w:val="bottom"/>
            <w:gridSpan w:val="10"/>
          </w:tcPr>
          <w:p>
            <w:pPr>
              <w:spacing w:after="0"/>
              <w:rPr>
                <w:sz w:val="24"/>
                <w:szCs w:val="24"/>
                <w:color w:val="auto"/>
              </w:rPr>
            </w:pPr>
          </w:p>
        </w:tc>
        <w:tc>
          <w:tcPr>
            <w:tcW w:w="1380" w:type="dxa"/>
            <w:vAlign w:val="bottom"/>
          </w:tcPr>
          <w:p>
            <w:pPr>
              <w:spacing w:after="0"/>
              <w:rPr>
                <w:sz w:val="24"/>
                <w:szCs w:val="24"/>
                <w:color w:val="auto"/>
              </w:rPr>
            </w:pPr>
          </w:p>
        </w:tc>
      </w:tr>
      <w:tr>
        <w:trPr>
          <w:trHeight w:val="209"/>
        </w:trPr>
        <w:tc>
          <w:tcPr>
            <w:tcW w:w="208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Item l. Financial Statements:</w:t>
            </w:r>
          </w:p>
        </w:tc>
        <w:tc>
          <w:tcPr>
            <w:tcW w:w="7800" w:type="dxa"/>
            <w:vAlign w:val="bottom"/>
            <w:gridSpan w:val="11"/>
          </w:tcPr>
          <w:p>
            <w:pPr>
              <w:spacing w:after="0"/>
              <w:rPr>
                <w:sz w:val="18"/>
                <w:szCs w:val="18"/>
                <w:color w:val="auto"/>
              </w:rPr>
            </w:pPr>
          </w:p>
        </w:tc>
        <w:tc>
          <w:tcPr>
            <w:tcW w:w="1380" w:type="dxa"/>
            <w:vAlign w:val="bottom"/>
          </w:tcPr>
          <w:p>
            <w:pPr>
              <w:spacing w:after="0"/>
              <w:rPr>
                <w:sz w:val="18"/>
                <w:szCs w:val="18"/>
                <w:color w:val="auto"/>
              </w:rPr>
            </w:pPr>
          </w:p>
        </w:tc>
      </w:tr>
      <w:tr>
        <w:trPr>
          <w:trHeight w:val="439"/>
        </w:trPr>
        <w:tc>
          <w:tcPr>
            <w:tcW w:w="692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 (unaudited) as of April 30, 2026 and October 31, 2025</w:t>
            </w:r>
          </w:p>
        </w:tc>
        <w:tc>
          <w:tcPr>
            <w:tcW w:w="2960" w:type="dxa"/>
            <w:vAlign w:val="bottom"/>
            <w:gridSpan w:val="5"/>
          </w:tcPr>
          <w:p>
            <w:pPr>
              <w:spacing w:after="0"/>
              <w:rPr>
                <w:sz w:val="24"/>
                <w:szCs w:val="24"/>
                <w:color w:val="auto"/>
              </w:rPr>
            </w:pPr>
          </w:p>
        </w:tc>
        <w:tc>
          <w:tcPr>
            <w:tcW w:w="138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88"/>
              </w:rPr>
              <w:t>3</w:t>
            </w:r>
          </w:p>
        </w:tc>
      </w:tr>
      <w:tr>
        <w:trPr>
          <w:trHeight w:val="439"/>
        </w:trPr>
        <w:tc>
          <w:tcPr>
            <w:tcW w:w="98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(unaudited) for the three and six months ended April 30, 2026 and 2025</w:t>
            </w:r>
          </w:p>
        </w:tc>
        <w:tc>
          <w:tcPr>
            <w:tcW w:w="138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88"/>
              </w:rPr>
              <w:t>4</w:t>
            </w:r>
          </w:p>
        </w:tc>
      </w:tr>
      <w:tr>
        <w:trPr>
          <w:trHeight w:val="20"/>
        </w:trPr>
        <w:tc>
          <w:tcPr>
            <w:tcW w:w="7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2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439"/>
        </w:trPr>
        <w:tc>
          <w:tcPr>
            <w:tcW w:w="98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Changes in Equity (unaudited) for the three and six months ended April 30, 2026 and 2025</w:t>
            </w:r>
          </w:p>
        </w:tc>
        <w:tc>
          <w:tcPr>
            <w:tcW w:w="138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88"/>
              </w:rPr>
              <w:t>5</w:t>
            </w:r>
          </w:p>
        </w:tc>
      </w:tr>
      <w:tr>
        <w:trPr>
          <w:trHeight w:val="439"/>
        </w:trPr>
        <w:tc>
          <w:tcPr>
            <w:tcW w:w="8240" w:type="dxa"/>
            <w:vAlign w:val="bottom"/>
            <w:tcBorders>
              <w:top w:val="single" w:sz="8" w:color="0000FF"/>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(unaudited) for the six months ended April 30, 2026 and 2025</w:t>
            </w:r>
          </w:p>
        </w:tc>
        <w:tc>
          <w:tcPr>
            <w:tcW w:w="1180" w:type="dxa"/>
            <w:vAlign w:val="bottom"/>
            <w:tcBorders>
              <w:top w:val="single" w:sz="8" w:color="0000FF"/>
            </w:tcBorders>
            <w:gridSpan w:val="2"/>
          </w:tcPr>
          <w:p>
            <w:pPr>
              <w:spacing w:after="0"/>
              <w:rPr>
                <w:sz w:val="24"/>
                <w:szCs w:val="24"/>
                <w:color w:val="auto"/>
              </w:rPr>
            </w:pPr>
          </w:p>
        </w:tc>
        <w:tc>
          <w:tcPr>
            <w:tcW w:w="460" w:type="dxa"/>
            <w:vAlign w:val="bottom"/>
          </w:tcPr>
          <w:p>
            <w:pPr>
              <w:spacing w:after="0"/>
              <w:rPr>
                <w:sz w:val="24"/>
                <w:szCs w:val="24"/>
                <w:color w:val="auto"/>
              </w:rPr>
            </w:pPr>
          </w:p>
        </w:tc>
        <w:tc>
          <w:tcPr>
            <w:tcW w:w="138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88"/>
              </w:rPr>
              <w:t>7</w:t>
            </w:r>
          </w:p>
        </w:tc>
      </w:tr>
      <w:tr>
        <w:trPr>
          <w:trHeight w:val="439"/>
        </w:trPr>
        <w:tc>
          <w:tcPr>
            <w:tcW w:w="488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 (unaudited)</w:t>
            </w:r>
          </w:p>
        </w:tc>
        <w:tc>
          <w:tcPr>
            <w:tcW w:w="5000" w:type="dxa"/>
            <w:vAlign w:val="bottom"/>
            <w:gridSpan w:val="8"/>
          </w:tcPr>
          <w:p>
            <w:pPr>
              <w:spacing w:after="0"/>
              <w:rPr>
                <w:sz w:val="24"/>
                <w:szCs w:val="24"/>
                <w:color w:val="auto"/>
              </w:rPr>
            </w:pPr>
          </w:p>
        </w:tc>
        <w:tc>
          <w:tcPr>
            <w:tcW w:w="138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88"/>
              </w:rPr>
              <w:t>9</w:t>
            </w:r>
          </w:p>
        </w:tc>
      </w:tr>
      <w:tr>
        <w:trPr>
          <w:trHeight w:val="439"/>
        </w:trPr>
        <w:tc>
          <w:tcPr>
            <w:tcW w:w="98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138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30</w:t>
            </w:r>
          </w:p>
        </w:tc>
      </w:tr>
      <w:tr>
        <w:trPr>
          <w:trHeight w:val="439"/>
        </w:trPr>
        <w:tc>
          <w:tcPr>
            <w:tcW w:w="4940" w:type="dxa"/>
            <w:vAlign w:val="bottom"/>
            <w:tcBorders>
              <w:top w:val="single" w:sz="8" w:color="0000FF"/>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Item 3. Quantitative and Qualitative Disclosures About Market Risk</w:t>
            </w:r>
          </w:p>
        </w:tc>
        <w:tc>
          <w:tcPr>
            <w:tcW w:w="2080" w:type="dxa"/>
            <w:vAlign w:val="bottom"/>
            <w:tcBorders>
              <w:top w:val="single" w:sz="8" w:color="0000FF"/>
            </w:tcBorders>
            <w:gridSpan w:val="2"/>
          </w:tcPr>
          <w:p>
            <w:pPr>
              <w:spacing w:after="0"/>
              <w:rPr>
                <w:sz w:val="24"/>
                <w:szCs w:val="24"/>
                <w:color w:val="auto"/>
              </w:rPr>
            </w:pPr>
          </w:p>
        </w:tc>
        <w:tc>
          <w:tcPr>
            <w:tcW w:w="2860" w:type="dxa"/>
            <w:vAlign w:val="bottom"/>
            <w:gridSpan w:val="4"/>
          </w:tcPr>
          <w:p>
            <w:pPr>
              <w:spacing w:after="0"/>
              <w:rPr>
                <w:sz w:val="24"/>
                <w:szCs w:val="24"/>
                <w:color w:val="auto"/>
              </w:rPr>
            </w:pPr>
          </w:p>
        </w:tc>
        <w:tc>
          <w:tcPr>
            <w:tcW w:w="138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46</w:t>
            </w:r>
          </w:p>
        </w:tc>
      </w:tr>
      <w:tr>
        <w:trPr>
          <w:trHeight w:val="439"/>
        </w:trPr>
        <w:tc>
          <w:tcPr>
            <w:tcW w:w="23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Item 4. Controls and Procedures</w:t>
            </w:r>
          </w:p>
        </w:tc>
        <w:tc>
          <w:tcPr>
            <w:tcW w:w="7540" w:type="dxa"/>
            <w:vAlign w:val="bottom"/>
            <w:gridSpan w:val="9"/>
          </w:tcPr>
          <w:p>
            <w:pPr>
              <w:spacing w:after="0"/>
              <w:rPr>
                <w:sz w:val="24"/>
                <w:szCs w:val="24"/>
                <w:color w:val="auto"/>
              </w:rPr>
            </w:pPr>
          </w:p>
        </w:tc>
        <w:tc>
          <w:tcPr>
            <w:tcW w:w="138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46</w:t>
            </w:r>
          </w:p>
        </w:tc>
      </w:tr>
      <w:tr>
        <w:trPr>
          <w:trHeight w:val="439"/>
        </w:trPr>
        <w:tc>
          <w:tcPr>
            <w:tcW w:w="20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PART II. Other Information</w:t>
            </w:r>
          </w:p>
        </w:tc>
        <w:tc>
          <w:tcPr>
            <w:tcW w:w="7860" w:type="dxa"/>
            <w:vAlign w:val="bottom"/>
            <w:gridSpan w:val="12"/>
          </w:tcPr>
          <w:p>
            <w:pPr>
              <w:spacing w:after="0"/>
              <w:rPr>
                <w:sz w:val="24"/>
                <w:szCs w:val="24"/>
                <w:color w:val="auto"/>
              </w:rPr>
            </w:pPr>
          </w:p>
        </w:tc>
        <w:tc>
          <w:tcPr>
            <w:tcW w:w="138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47</w:t>
            </w:r>
          </w:p>
        </w:tc>
      </w:tr>
      <w:tr>
        <w:trPr>
          <w:trHeight w:val="209"/>
        </w:trPr>
        <w:tc>
          <w:tcPr>
            <w:tcW w:w="19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Item 1. Legal Proceedings</w:t>
            </w:r>
          </w:p>
        </w:tc>
        <w:tc>
          <w:tcPr>
            <w:tcW w:w="7980" w:type="dxa"/>
            <w:vAlign w:val="bottom"/>
            <w:gridSpan w:val="13"/>
          </w:tcPr>
          <w:p>
            <w:pPr>
              <w:spacing w:after="0"/>
              <w:rPr>
                <w:sz w:val="18"/>
                <w:szCs w:val="18"/>
                <w:color w:val="auto"/>
              </w:rPr>
            </w:pPr>
          </w:p>
        </w:tc>
        <w:tc>
          <w:tcPr>
            <w:tcW w:w="138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47</w:t>
            </w:r>
          </w:p>
        </w:tc>
      </w:tr>
      <w:tr>
        <w:trPr>
          <w:trHeight w:val="439"/>
        </w:trPr>
        <w:tc>
          <w:tcPr>
            <w:tcW w:w="49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Item 2. Unregistered Sales of Equity Securities and Use of Proceeds</w:t>
            </w:r>
          </w:p>
        </w:tc>
        <w:tc>
          <w:tcPr>
            <w:tcW w:w="4960" w:type="dxa"/>
            <w:vAlign w:val="bottom"/>
            <w:gridSpan w:val="7"/>
          </w:tcPr>
          <w:p>
            <w:pPr>
              <w:spacing w:after="0"/>
              <w:rPr>
                <w:sz w:val="24"/>
                <w:szCs w:val="24"/>
                <w:color w:val="auto"/>
              </w:rPr>
            </w:pPr>
          </w:p>
        </w:tc>
        <w:tc>
          <w:tcPr>
            <w:tcW w:w="138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47</w:t>
            </w:r>
          </w:p>
        </w:tc>
      </w:tr>
      <w:tr>
        <w:trPr>
          <w:trHeight w:val="439"/>
        </w:trPr>
        <w:tc>
          <w:tcPr>
            <w:tcW w:w="18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Item 5. Other Information</w:t>
            </w:r>
          </w:p>
        </w:tc>
        <w:tc>
          <w:tcPr>
            <w:tcW w:w="8000" w:type="dxa"/>
            <w:vAlign w:val="bottom"/>
            <w:gridSpan w:val="14"/>
          </w:tcPr>
          <w:p>
            <w:pPr>
              <w:spacing w:after="0"/>
              <w:rPr>
                <w:sz w:val="24"/>
                <w:szCs w:val="24"/>
                <w:color w:val="auto"/>
              </w:rPr>
            </w:pPr>
          </w:p>
        </w:tc>
        <w:tc>
          <w:tcPr>
            <w:tcW w:w="138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47</w:t>
            </w:r>
          </w:p>
        </w:tc>
      </w:tr>
      <w:tr>
        <w:trPr>
          <w:trHeight w:val="439"/>
        </w:trPr>
        <w:tc>
          <w:tcPr>
            <w:tcW w:w="98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Item 6. Exhibits</w:t>
            </w:r>
          </w:p>
        </w:tc>
        <w:tc>
          <w:tcPr>
            <w:tcW w:w="138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48</w:t>
            </w:r>
          </w:p>
        </w:tc>
      </w:tr>
      <w:tr>
        <w:trPr>
          <w:trHeight w:val="439"/>
        </w:trPr>
        <w:tc>
          <w:tcPr>
            <w:tcW w:w="116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8720" w:type="dxa"/>
            <w:vAlign w:val="bottom"/>
            <w:gridSpan w:val="16"/>
          </w:tcPr>
          <w:p>
            <w:pPr>
              <w:spacing w:after="0"/>
              <w:rPr>
                <w:sz w:val="24"/>
                <w:szCs w:val="24"/>
                <w:color w:val="auto"/>
              </w:rPr>
            </w:pPr>
          </w:p>
        </w:tc>
        <w:tc>
          <w:tcPr>
            <w:tcW w:w="138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50</w:t>
            </w:r>
          </w:p>
        </w:tc>
      </w:tr>
      <w:tr>
        <w:trPr>
          <w:trHeight w:val="466"/>
        </w:trPr>
        <w:tc>
          <w:tcPr>
            <w:tcW w:w="760" w:type="dxa"/>
            <w:vAlign w:val="bottom"/>
            <w:tcBorders>
              <w:top w:val="single" w:sz="8" w:color="0000FF"/>
            </w:tcBorders>
          </w:tcPr>
          <w:p>
            <w:pPr>
              <w:spacing w:after="0"/>
              <w:rPr>
                <w:sz w:val="24"/>
                <w:szCs w:val="24"/>
                <w:color w:val="auto"/>
              </w:rPr>
            </w:pPr>
          </w:p>
        </w:tc>
        <w:tc>
          <w:tcPr>
            <w:tcW w:w="6160" w:type="dxa"/>
            <w:vAlign w:val="bottom"/>
            <w:gridSpan w:val="12"/>
          </w:tcPr>
          <w:p>
            <w:pPr>
              <w:jc w:val="right"/>
              <w:ind w:right="126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23"/>
        </w:trPr>
        <w:tc>
          <w:tcPr>
            <w:tcW w:w="760" w:type="dxa"/>
            <w:vAlign w:val="bottom"/>
            <w:tcBorders>
              <w:bottom w:val="single" w:sz="8" w:color="9A9A9A"/>
            </w:tcBorders>
          </w:tcPr>
          <w:p>
            <w:pPr>
              <w:spacing w:after="0"/>
              <w:rPr>
                <w:sz w:val="19"/>
                <w:szCs w:val="19"/>
                <w:color w:val="auto"/>
              </w:rPr>
            </w:pPr>
          </w:p>
        </w:tc>
        <w:tc>
          <w:tcPr>
            <w:tcW w:w="40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60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60" w:type="dxa"/>
            <w:vAlign w:val="bottom"/>
            <w:tcBorders>
              <w:bottom w:val="single" w:sz="8" w:color="9A9A9A"/>
            </w:tcBorders>
          </w:tcPr>
          <w:p>
            <w:pPr>
              <w:spacing w:after="0"/>
              <w:rPr>
                <w:sz w:val="19"/>
                <w:szCs w:val="19"/>
                <w:color w:val="auto"/>
              </w:rPr>
            </w:pPr>
          </w:p>
        </w:tc>
        <w:tc>
          <w:tcPr>
            <w:tcW w:w="14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2540" w:type="dxa"/>
            <w:vAlign w:val="bottom"/>
            <w:tcBorders>
              <w:bottom w:val="single" w:sz="8" w:color="9A9A9A"/>
            </w:tcBorders>
          </w:tcPr>
          <w:p>
            <w:pPr>
              <w:spacing w:after="0"/>
              <w:rPr>
                <w:sz w:val="19"/>
                <w:szCs w:val="19"/>
                <w:color w:val="auto"/>
              </w:rPr>
            </w:pPr>
          </w:p>
        </w:tc>
        <w:tc>
          <w:tcPr>
            <w:tcW w:w="4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198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1220" w:type="dxa"/>
            <w:vAlign w:val="bottom"/>
            <w:tcBorders>
              <w:bottom w:val="single" w:sz="8" w:color="9A9A9A"/>
            </w:tcBorders>
          </w:tcPr>
          <w:p>
            <w:pPr>
              <w:spacing w:after="0"/>
              <w:rPr>
                <w:sz w:val="19"/>
                <w:szCs w:val="19"/>
                <w:color w:val="auto"/>
              </w:rPr>
            </w:pPr>
          </w:p>
        </w:tc>
        <w:tc>
          <w:tcPr>
            <w:tcW w:w="640" w:type="dxa"/>
            <w:vAlign w:val="bottom"/>
            <w:tcBorders>
              <w:bottom w:val="single" w:sz="8" w:color="9A9A9A"/>
            </w:tcBorders>
          </w:tcPr>
          <w:p>
            <w:pPr>
              <w:spacing w:after="0"/>
              <w:rPr>
                <w:sz w:val="19"/>
                <w:szCs w:val="19"/>
                <w:color w:val="auto"/>
              </w:rPr>
            </w:pPr>
          </w:p>
        </w:tc>
        <w:tc>
          <w:tcPr>
            <w:tcW w:w="540" w:type="dxa"/>
            <w:vAlign w:val="bottom"/>
            <w:tcBorders>
              <w:bottom w:val="single" w:sz="8" w:color="9A9A9A"/>
            </w:tcBorders>
          </w:tcPr>
          <w:p>
            <w:pPr>
              <w:spacing w:after="0"/>
              <w:rPr>
                <w:sz w:val="19"/>
                <w:szCs w:val="19"/>
                <w:color w:val="auto"/>
              </w:rPr>
            </w:pPr>
          </w:p>
        </w:tc>
        <w:tc>
          <w:tcPr>
            <w:tcW w:w="460" w:type="dxa"/>
            <w:vAlign w:val="bottom"/>
            <w:tcBorders>
              <w:bottom w:val="single" w:sz="8" w:color="9A9A9A"/>
            </w:tcBorders>
          </w:tcPr>
          <w:p>
            <w:pPr>
              <w:spacing w:after="0"/>
              <w:rPr>
                <w:sz w:val="19"/>
                <w:szCs w:val="19"/>
                <w:color w:val="auto"/>
              </w:rPr>
            </w:pPr>
          </w:p>
        </w:tc>
        <w:tc>
          <w:tcPr>
            <w:tcW w:w="138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08" w:right="3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448"/>
        </w:trPr>
        <w:tc>
          <w:tcPr>
            <w:tcW w:w="1280" w:type="dxa"/>
            <w:vAlign w:val="bottom"/>
            <w:tcBorders>
              <w:top w:val="single" w:sz="8" w:color="0000EE"/>
            </w:tcBorders>
          </w:tcPr>
          <w:p>
            <w:pPr>
              <w:spacing w:after="0"/>
              <w:rPr>
                <w:sz w:val="24"/>
                <w:szCs w:val="24"/>
                <w:color w:val="auto"/>
              </w:rPr>
            </w:pPr>
          </w:p>
        </w:tc>
        <w:tc>
          <w:tcPr>
            <w:tcW w:w="708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99"/>
              </w:rPr>
              <w:t>HOVNANIAN ENTERPRISES, INC. AND SUBSIDIARIES</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08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CONDENSED CONSOLIDATED BALANCE SHEETS</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7080" w:type="dxa"/>
            <w:vAlign w:val="bottom"/>
          </w:tcPr>
          <w:p>
            <w:pPr>
              <w:jc w:val="center"/>
              <w:ind w:left="1510"/>
              <w:spacing w:after="0"/>
              <w:rPr>
                <w:sz w:val="20"/>
                <w:szCs w:val="20"/>
                <w:color w:val="auto"/>
              </w:rPr>
            </w:pPr>
            <w:r>
              <w:rPr>
                <w:rFonts w:ascii="Times New Roman" w:cs="Times New Roman" w:eastAsia="Times New Roman" w:hAnsi="Times New Roman"/>
                <w:sz w:val="18"/>
                <w:szCs w:val="18"/>
                <w:color w:val="auto"/>
              </w:rPr>
              <w:t>(In thousands, except per share data)</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7080" w:type="dxa"/>
            <w:vAlign w:val="bottom"/>
          </w:tcPr>
          <w:p>
            <w:pPr>
              <w:jc w:val="center"/>
              <w:ind w:left="1510"/>
              <w:spacing w:after="0"/>
              <w:rPr>
                <w:sz w:val="20"/>
                <w:szCs w:val="20"/>
                <w:color w:val="auto"/>
              </w:rPr>
            </w:pPr>
            <w:r>
              <w:rPr>
                <w:rFonts w:ascii="Times New Roman" w:cs="Times New Roman" w:eastAsia="Times New Roman" w:hAnsi="Times New Roman"/>
                <w:sz w:val="18"/>
                <w:szCs w:val="18"/>
                <w:color w:val="auto"/>
              </w:rPr>
              <w:t>(Unaudited)</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24"/>
        </w:trPr>
        <w:tc>
          <w:tcPr>
            <w:tcW w:w="1280" w:type="dxa"/>
            <w:vAlign w:val="bottom"/>
            <w:tcBorders>
              <w:bottom w:val="single" w:sz="8" w:color="auto"/>
            </w:tcBorders>
          </w:tcPr>
          <w:p>
            <w:pPr>
              <w:spacing w:after="0"/>
              <w:rPr>
                <w:sz w:val="24"/>
                <w:szCs w:val="24"/>
                <w:color w:val="auto"/>
              </w:rPr>
            </w:pPr>
          </w:p>
        </w:tc>
        <w:tc>
          <w:tcPr>
            <w:tcW w:w="70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9"/>
              </w:rPr>
              <w:t>April 30, 2026</w:t>
            </w:r>
          </w:p>
        </w:tc>
        <w:tc>
          <w:tcPr>
            <w:tcW w:w="14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w w:val="99"/>
              </w:rPr>
              <w:t>October 31, 2025</w:t>
            </w:r>
          </w:p>
        </w:tc>
      </w:tr>
      <w:tr>
        <w:trPr>
          <w:trHeight w:val="210"/>
        </w:trPr>
        <w:tc>
          <w:tcPr>
            <w:tcW w:w="1280" w:type="dxa"/>
            <w:vAlign w:val="bottom"/>
          </w:tcPr>
          <w:p>
            <w:pPr>
              <w:spacing w:after="0"/>
              <w:rPr>
                <w:sz w:val="18"/>
                <w:szCs w:val="18"/>
                <w:color w:val="auto"/>
              </w:rPr>
            </w:pPr>
          </w:p>
        </w:tc>
        <w:tc>
          <w:tcPr>
            <w:tcW w:w="7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29"/>
        </w:trPr>
        <w:tc>
          <w:tcPr>
            <w:tcW w:w="8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Homebuilding:</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8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310,925</w:t>
            </w:r>
          </w:p>
        </w:tc>
        <w:tc>
          <w:tcPr>
            <w:tcW w:w="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272,772</w:t>
            </w:r>
          </w:p>
        </w:tc>
      </w:tr>
      <w:tr>
        <w:trPr>
          <w:trHeight w:val="229"/>
        </w:trPr>
        <w:tc>
          <w:tcPr>
            <w:tcW w:w="8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Restricted cash and cash equivalents</w:t>
            </w:r>
          </w:p>
        </w:tc>
        <w:tc>
          <w:tcPr>
            <w:tcW w:w="200" w:type="dxa"/>
            <w:vAlign w:val="bottom"/>
          </w:tcPr>
          <w:p>
            <w:pPr>
              <w:spacing w:after="0"/>
              <w:rPr>
                <w:sz w:val="19"/>
                <w:szCs w:val="19"/>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9,935</w:t>
            </w: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12,608</w:t>
            </w:r>
          </w:p>
        </w:tc>
      </w:tr>
      <w:tr>
        <w:trPr>
          <w:trHeight w:val="230"/>
        </w:trPr>
        <w:tc>
          <w:tcPr>
            <w:tcW w:w="8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83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Sold and unsold homes and lots under development</w:t>
            </w:r>
          </w:p>
        </w:tc>
        <w:tc>
          <w:tcPr>
            <w:tcW w:w="200" w:type="dxa"/>
            <w:vAlign w:val="bottom"/>
          </w:tcPr>
          <w:p>
            <w:pPr>
              <w:spacing w:after="0"/>
              <w:rPr>
                <w:sz w:val="19"/>
                <w:szCs w:val="19"/>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1,196,930</w:t>
            </w: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1,132,798</w:t>
            </w:r>
          </w:p>
        </w:tc>
      </w:tr>
      <w:tr>
        <w:trPr>
          <w:trHeight w:val="230"/>
        </w:trPr>
        <w:tc>
          <w:tcPr>
            <w:tcW w:w="83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Land and land options held for future development or sale</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157,536</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171,793</w:t>
            </w:r>
          </w:p>
        </w:tc>
      </w:tr>
      <w:tr>
        <w:trPr>
          <w:trHeight w:val="229"/>
        </w:trPr>
        <w:tc>
          <w:tcPr>
            <w:tcW w:w="836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8"/>
                <w:szCs w:val="18"/>
                <w:color w:val="auto"/>
              </w:rPr>
              <w:t>Consolidated inventory not owned</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369,121</w:t>
            </w: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332,879</w:t>
            </w:r>
          </w:p>
        </w:tc>
      </w:tr>
      <w:tr>
        <w:trPr>
          <w:trHeight w:val="209"/>
        </w:trPr>
        <w:tc>
          <w:tcPr>
            <w:tcW w:w="83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inventories</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1,723,587</w:t>
            </w: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1,637,470</w:t>
            </w:r>
          </w:p>
        </w:tc>
      </w:tr>
      <w:tr>
        <w:trPr>
          <w:trHeight w:val="230"/>
        </w:trPr>
        <w:tc>
          <w:tcPr>
            <w:tcW w:w="8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Investments in and advances to unconsolidated joint ventures</w:t>
            </w:r>
          </w:p>
        </w:tc>
        <w:tc>
          <w:tcPr>
            <w:tcW w:w="200" w:type="dxa"/>
            <w:vAlign w:val="bottom"/>
          </w:tcPr>
          <w:p>
            <w:pPr>
              <w:spacing w:after="0"/>
              <w:rPr>
                <w:sz w:val="19"/>
                <w:szCs w:val="19"/>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148,480</w:t>
            </w: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163,469</w:t>
            </w:r>
          </w:p>
        </w:tc>
      </w:tr>
      <w:tr>
        <w:trPr>
          <w:trHeight w:val="229"/>
        </w:trPr>
        <w:tc>
          <w:tcPr>
            <w:tcW w:w="8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Receivables, deposits and notes, net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47,368</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26,454</w:t>
            </w:r>
          </w:p>
        </w:tc>
      </w:tr>
      <w:tr>
        <w:trPr>
          <w:trHeight w:val="229"/>
        </w:trPr>
        <w:tc>
          <w:tcPr>
            <w:tcW w:w="8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tcPr>
          <w:p>
            <w:pPr>
              <w:spacing w:after="0"/>
              <w:rPr>
                <w:sz w:val="19"/>
                <w:szCs w:val="19"/>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56,011</w:t>
            </w: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50,539</w:t>
            </w:r>
          </w:p>
        </w:tc>
      </w:tr>
      <w:tr>
        <w:trPr>
          <w:trHeight w:val="230"/>
        </w:trPr>
        <w:tc>
          <w:tcPr>
            <w:tcW w:w="8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31,705</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Deferred tax assets, net</w:t>
            </w:r>
          </w:p>
        </w:tc>
        <w:tc>
          <w:tcPr>
            <w:tcW w:w="200" w:type="dxa"/>
            <w:vAlign w:val="bottom"/>
          </w:tcPr>
          <w:p>
            <w:pPr>
              <w:spacing w:after="0"/>
              <w:rPr>
                <w:sz w:val="19"/>
                <w:szCs w:val="19"/>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222,166</w:t>
            </w: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229,617</w:t>
            </w:r>
          </w:p>
        </w:tc>
      </w:tr>
      <w:tr>
        <w:trPr>
          <w:trHeight w:val="230"/>
        </w:trPr>
        <w:tc>
          <w:tcPr>
            <w:tcW w:w="8360" w:type="dxa"/>
            <w:vAlign w:val="bottom"/>
            <w:tcBorders>
              <w:bottom w:val="single" w:sz="8" w:color="auto"/>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120,161</w:t>
            </w:r>
          </w:p>
        </w:tc>
        <w:tc>
          <w:tcPr>
            <w:tcW w:w="4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89,773</w:t>
            </w:r>
          </w:p>
        </w:tc>
      </w:tr>
      <w:tr>
        <w:trPr>
          <w:trHeight w:val="209"/>
        </w:trPr>
        <w:tc>
          <w:tcPr>
            <w:tcW w:w="83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Total homebuilding</w:t>
            </w:r>
          </w:p>
        </w:tc>
        <w:tc>
          <w:tcPr>
            <w:tcW w:w="20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2,670,338</w:t>
            </w:r>
          </w:p>
        </w:tc>
        <w:tc>
          <w:tcPr>
            <w:tcW w:w="4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2,482,702</w:t>
            </w:r>
          </w:p>
        </w:tc>
      </w:tr>
      <w:tr>
        <w:trPr>
          <w:trHeight w:val="229"/>
        </w:trPr>
        <w:tc>
          <w:tcPr>
            <w:tcW w:w="1280" w:type="dxa"/>
            <w:vAlign w:val="bottom"/>
            <w:shd w:val="clear" w:color="auto" w:fill="CCEEFF"/>
          </w:tcPr>
          <w:p>
            <w:pPr>
              <w:spacing w:after="0"/>
              <w:rPr>
                <w:sz w:val="19"/>
                <w:szCs w:val="19"/>
                <w:color w:val="auto"/>
              </w:rPr>
            </w:pPr>
          </w:p>
        </w:tc>
        <w:tc>
          <w:tcPr>
            <w:tcW w:w="7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Financial services</w:t>
            </w:r>
          </w:p>
        </w:tc>
        <w:tc>
          <w:tcPr>
            <w:tcW w:w="200" w:type="dxa"/>
            <w:vAlign w:val="bottom"/>
          </w:tcPr>
          <w:p>
            <w:pPr>
              <w:spacing w:after="0"/>
              <w:rPr>
                <w:sz w:val="19"/>
                <w:szCs w:val="19"/>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158,486</w:t>
            </w: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151,211</w:t>
            </w:r>
          </w:p>
        </w:tc>
      </w:tr>
      <w:tr>
        <w:trPr>
          <w:trHeight w:val="229"/>
        </w:trPr>
        <w:tc>
          <w:tcPr>
            <w:tcW w:w="1280" w:type="dxa"/>
            <w:vAlign w:val="bottom"/>
            <w:tcBorders>
              <w:bottom w:val="single" w:sz="8" w:color="auto"/>
            </w:tcBorders>
            <w:shd w:val="clear" w:color="auto" w:fill="CCEEFF"/>
          </w:tcPr>
          <w:p>
            <w:pPr>
              <w:spacing w:after="0"/>
              <w:rPr>
                <w:sz w:val="19"/>
                <w:szCs w:val="19"/>
                <w:color w:val="auto"/>
              </w:rPr>
            </w:pPr>
          </w:p>
        </w:tc>
        <w:tc>
          <w:tcPr>
            <w:tcW w:w="70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r>
      <w:tr>
        <w:trPr>
          <w:trHeight w:val="249"/>
        </w:trPr>
        <w:tc>
          <w:tcPr>
            <w:tcW w:w="83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2,828,824</w:t>
            </w:r>
          </w:p>
        </w:tc>
        <w:tc>
          <w:tcPr>
            <w:tcW w:w="4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2,633,913</w:t>
            </w:r>
          </w:p>
        </w:tc>
      </w:tr>
      <w:tr>
        <w:trPr>
          <w:trHeight w:val="197"/>
        </w:trPr>
        <w:tc>
          <w:tcPr>
            <w:tcW w:w="1280" w:type="dxa"/>
            <w:vAlign w:val="bottom"/>
            <w:shd w:val="clear" w:color="auto" w:fill="CCEEFF"/>
          </w:tcPr>
          <w:p>
            <w:pPr>
              <w:spacing w:after="0"/>
              <w:rPr>
                <w:sz w:val="17"/>
                <w:szCs w:val="17"/>
                <w:color w:val="auto"/>
              </w:rPr>
            </w:pPr>
          </w:p>
        </w:tc>
        <w:tc>
          <w:tcPr>
            <w:tcW w:w="7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30"/>
        </w:trPr>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8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Homebuilding:</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8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Nonrecourse mortgages secured by inventory, net of debt issuance costs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32,704</w:t>
            </w: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29,494</w:t>
            </w:r>
          </w:p>
        </w:tc>
      </w:tr>
      <w:tr>
        <w:trPr>
          <w:trHeight w:val="229"/>
        </w:trPr>
        <w:tc>
          <w:tcPr>
            <w:tcW w:w="8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 and other liabilities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457,147</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438,920</w:t>
            </w:r>
          </w:p>
        </w:tc>
      </w:tr>
      <w:tr>
        <w:trPr>
          <w:trHeight w:val="230"/>
        </w:trPr>
        <w:tc>
          <w:tcPr>
            <w:tcW w:w="8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Customers’ deposits</w:t>
            </w:r>
          </w:p>
        </w:tc>
        <w:tc>
          <w:tcPr>
            <w:tcW w:w="200" w:type="dxa"/>
            <w:vAlign w:val="bottom"/>
          </w:tcPr>
          <w:p>
            <w:pPr>
              <w:spacing w:after="0"/>
              <w:rPr>
                <w:sz w:val="19"/>
                <w:szCs w:val="19"/>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206,142</w:t>
            </w: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46,376</w:t>
            </w:r>
          </w:p>
        </w:tc>
      </w:tr>
      <w:tr>
        <w:trPr>
          <w:trHeight w:val="230"/>
        </w:trPr>
        <w:tc>
          <w:tcPr>
            <w:tcW w:w="8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Liabilities from inventory not owned, net of debt issuance costs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253,441</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244,723</w:t>
            </w:r>
          </w:p>
        </w:tc>
      </w:tr>
      <w:tr>
        <w:trPr>
          <w:trHeight w:val="230"/>
        </w:trPr>
        <w:tc>
          <w:tcPr>
            <w:tcW w:w="8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Senior notes and credit facilities (net of discounts, premiums and debt issuance costs)</w:t>
            </w:r>
          </w:p>
        </w:tc>
        <w:tc>
          <w:tcPr>
            <w:tcW w:w="200" w:type="dxa"/>
            <w:vAlign w:val="bottom"/>
          </w:tcPr>
          <w:p>
            <w:pPr>
              <w:spacing w:after="0"/>
              <w:rPr>
                <w:sz w:val="19"/>
                <w:szCs w:val="19"/>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901,899</w:t>
            </w: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900,718</w:t>
            </w:r>
          </w:p>
        </w:tc>
      </w:tr>
      <w:tr>
        <w:trPr>
          <w:trHeight w:val="229"/>
        </w:trPr>
        <w:tc>
          <w:tcPr>
            <w:tcW w:w="8360" w:type="dxa"/>
            <w:vAlign w:val="bottom"/>
            <w:tcBorders>
              <w:bottom w:val="single" w:sz="8" w:color="auto"/>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interest</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12,875</w:t>
            </w:r>
          </w:p>
        </w:tc>
        <w:tc>
          <w:tcPr>
            <w:tcW w:w="4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11,874</w:t>
            </w:r>
          </w:p>
        </w:tc>
      </w:tr>
      <w:tr>
        <w:trPr>
          <w:trHeight w:val="210"/>
        </w:trPr>
        <w:tc>
          <w:tcPr>
            <w:tcW w:w="83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Total homebuilding</w:t>
            </w:r>
          </w:p>
        </w:tc>
        <w:tc>
          <w:tcPr>
            <w:tcW w:w="20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1,864,208</w:t>
            </w:r>
          </w:p>
        </w:tc>
        <w:tc>
          <w:tcPr>
            <w:tcW w:w="4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1,672,105</w:t>
            </w:r>
          </w:p>
        </w:tc>
      </w:tr>
      <w:tr>
        <w:trPr>
          <w:trHeight w:val="230"/>
        </w:trPr>
        <w:tc>
          <w:tcPr>
            <w:tcW w:w="1280" w:type="dxa"/>
            <w:vAlign w:val="bottom"/>
            <w:shd w:val="clear" w:color="auto" w:fill="CCEEFF"/>
          </w:tcPr>
          <w:p>
            <w:pPr>
              <w:spacing w:after="0"/>
              <w:rPr>
                <w:sz w:val="19"/>
                <w:szCs w:val="19"/>
                <w:color w:val="auto"/>
              </w:rPr>
            </w:pPr>
          </w:p>
        </w:tc>
        <w:tc>
          <w:tcPr>
            <w:tcW w:w="7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Financial services</w:t>
            </w:r>
          </w:p>
        </w:tc>
        <w:tc>
          <w:tcPr>
            <w:tcW w:w="200" w:type="dxa"/>
            <w:vAlign w:val="bottom"/>
          </w:tcPr>
          <w:p>
            <w:pPr>
              <w:spacing w:after="0"/>
              <w:rPr>
                <w:sz w:val="19"/>
                <w:szCs w:val="19"/>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137,023</w:t>
            </w: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130,873</w:t>
            </w:r>
          </w:p>
        </w:tc>
      </w:tr>
      <w:tr>
        <w:trPr>
          <w:trHeight w:val="229"/>
        </w:trPr>
        <w:tc>
          <w:tcPr>
            <w:tcW w:w="1280" w:type="dxa"/>
            <w:vAlign w:val="bottom"/>
            <w:tcBorders>
              <w:bottom w:val="single" w:sz="8" w:color="auto"/>
            </w:tcBorders>
            <w:shd w:val="clear" w:color="auto" w:fill="CCEEFF"/>
          </w:tcPr>
          <w:p>
            <w:pPr>
              <w:spacing w:after="0"/>
              <w:rPr>
                <w:sz w:val="19"/>
                <w:szCs w:val="19"/>
                <w:color w:val="auto"/>
              </w:rPr>
            </w:pPr>
          </w:p>
        </w:tc>
        <w:tc>
          <w:tcPr>
            <w:tcW w:w="70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r>
      <w:tr>
        <w:trPr>
          <w:trHeight w:val="250"/>
        </w:trPr>
        <w:tc>
          <w:tcPr>
            <w:tcW w:w="83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2,001,231</w:t>
            </w:r>
          </w:p>
        </w:tc>
        <w:tc>
          <w:tcPr>
            <w:tcW w:w="4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1,802,978</w:t>
            </w:r>
          </w:p>
        </w:tc>
      </w:tr>
      <w:tr>
        <w:trPr>
          <w:trHeight w:val="197"/>
        </w:trPr>
        <w:tc>
          <w:tcPr>
            <w:tcW w:w="1280" w:type="dxa"/>
            <w:vAlign w:val="bottom"/>
            <w:shd w:val="clear" w:color="auto" w:fill="CCEEFF"/>
          </w:tcPr>
          <w:p>
            <w:pPr>
              <w:spacing w:after="0"/>
              <w:rPr>
                <w:sz w:val="17"/>
                <w:szCs w:val="17"/>
                <w:color w:val="auto"/>
              </w:rPr>
            </w:pPr>
          </w:p>
        </w:tc>
        <w:tc>
          <w:tcPr>
            <w:tcW w:w="7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30"/>
        </w:trPr>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8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Hovnanian Enterprises, Inc. stockholders' equity:</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198"/>
        </w:trPr>
        <w:tc>
          <w:tcPr>
            <w:tcW w:w="8360" w:type="dxa"/>
            <w:vAlign w:val="bottom"/>
            <w:gridSpan w:val="2"/>
          </w:tcPr>
          <w:p>
            <w:pPr>
              <w:ind w:left="260"/>
              <w:spacing w:after="0" w:line="198" w:lineRule="exact"/>
              <w:rPr>
                <w:sz w:val="20"/>
                <w:szCs w:val="20"/>
                <w:color w:val="auto"/>
              </w:rPr>
            </w:pPr>
            <w:r>
              <w:rPr>
                <w:rFonts w:ascii="Times New Roman" w:cs="Times New Roman" w:eastAsia="Times New Roman" w:hAnsi="Times New Roman"/>
                <w:sz w:val="18"/>
                <w:szCs w:val="18"/>
                <w:color w:val="auto"/>
              </w:rPr>
              <w:t>Preferred stock, $0.01 par value - authorized 100,000 shares; issued and outstanding 5,600 shares with a</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34"/>
        </w:trPr>
        <w:tc>
          <w:tcPr>
            <w:tcW w:w="83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liquidation preference of $140,000 at April 30, 2026 and October 31, 2025</w:t>
            </w:r>
          </w:p>
        </w:tc>
        <w:tc>
          <w:tcPr>
            <w:tcW w:w="200" w:type="dxa"/>
            <w:vAlign w:val="bottom"/>
          </w:tcPr>
          <w:p>
            <w:pPr>
              <w:spacing w:after="0"/>
              <w:rPr>
                <w:sz w:val="20"/>
                <w:szCs w:val="20"/>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135,299</w:t>
            </w:r>
          </w:p>
        </w:tc>
        <w:tc>
          <w:tcPr>
            <w:tcW w:w="4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135,299</w:t>
            </w:r>
          </w:p>
        </w:tc>
      </w:tr>
      <w:tr>
        <w:trPr>
          <w:trHeight w:val="198"/>
        </w:trPr>
        <w:tc>
          <w:tcPr>
            <w:tcW w:w="8360" w:type="dxa"/>
            <w:vAlign w:val="bottom"/>
            <w:gridSpan w:val="2"/>
            <w:shd w:val="clear" w:color="auto" w:fill="CCEEFF"/>
          </w:tcPr>
          <w:p>
            <w:pPr>
              <w:ind w:left="260"/>
              <w:spacing w:after="0" w:line="198" w:lineRule="exact"/>
              <w:rPr>
                <w:sz w:val="20"/>
                <w:szCs w:val="20"/>
                <w:color w:val="auto"/>
              </w:rPr>
            </w:pPr>
            <w:r>
              <w:rPr>
                <w:rFonts w:ascii="Times New Roman" w:cs="Times New Roman" w:eastAsia="Times New Roman" w:hAnsi="Times New Roman"/>
                <w:sz w:val="18"/>
                <w:szCs w:val="18"/>
                <w:color w:val="auto"/>
              </w:rPr>
              <w:t>Common stock, Class A, $0.01 par value - authorized 16,000,000 shares; issued 6,590,318 shares at April 30,</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34"/>
        </w:trPr>
        <w:tc>
          <w:tcPr>
            <w:tcW w:w="83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2026 and 6,503,722 shares at October 31, 2025</w:t>
            </w: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w:t>
            </w:r>
          </w:p>
        </w:tc>
        <w:tc>
          <w:tcPr>
            <w:tcW w:w="4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198"/>
        </w:trPr>
        <w:tc>
          <w:tcPr>
            <w:tcW w:w="8360" w:type="dxa"/>
            <w:vAlign w:val="bottom"/>
            <w:gridSpan w:val="2"/>
          </w:tcPr>
          <w:p>
            <w:pPr>
              <w:ind w:left="260"/>
              <w:spacing w:after="0" w:line="198" w:lineRule="exact"/>
              <w:rPr>
                <w:sz w:val="20"/>
                <w:szCs w:val="20"/>
                <w:color w:val="auto"/>
              </w:rPr>
            </w:pPr>
            <w:r>
              <w:rPr>
                <w:rFonts w:ascii="Times New Roman" w:cs="Times New Roman" w:eastAsia="Times New Roman" w:hAnsi="Times New Roman"/>
                <w:sz w:val="18"/>
                <w:szCs w:val="18"/>
                <w:color w:val="auto"/>
              </w:rPr>
              <w:t>Common stock, Class B, $0.01 par value (convertible to Class A at time of sale) - authorized 2,400,000 shares;</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34"/>
        </w:trPr>
        <w:tc>
          <w:tcPr>
            <w:tcW w:w="83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issued 812,677 shares at April 30, 2026 and 812,410 shares at October 31, 2025</w:t>
            </w:r>
          </w:p>
        </w:tc>
        <w:tc>
          <w:tcPr>
            <w:tcW w:w="200" w:type="dxa"/>
            <w:vAlign w:val="bottom"/>
          </w:tcPr>
          <w:p>
            <w:pPr>
              <w:spacing w:after="0"/>
              <w:rPr>
                <w:sz w:val="20"/>
                <w:szCs w:val="20"/>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4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9"/>
        </w:trPr>
        <w:tc>
          <w:tcPr>
            <w:tcW w:w="8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Paid in capital - common stock</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754,652</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757,391</w:t>
            </w:r>
          </w:p>
        </w:tc>
      </w:tr>
      <w:tr>
        <w:trPr>
          <w:trHeight w:val="230"/>
        </w:trPr>
        <w:tc>
          <w:tcPr>
            <w:tcW w:w="8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200" w:type="dxa"/>
            <w:vAlign w:val="bottom"/>
          </w:tcPr>
          <w:p>
            <w:pPr>
              <w:spacing w:after="0"/>
              <w:rPr>
                <w:sz w:val="19"/>
                <w:szCs w:val="19"/>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142,563</w:t>
            </w: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127,326</w:t>
            </w:r>
          </w:p>
        </w:tc>
      </w:tr>
      <w:tr>
        <w:trPr>
          <w:trHeight w:val="198"/>
        </w:trPr>
        <w:tc>
          <w:tcPr>
            <w:tcW w:w="8360" w:type="dxa"/>
            <w:vAlign w:val="bottom"/>
            <w:gridSpan w:val="2"/>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Treasury stock - at cost – 1,523,992 shares of Class A common stock at April 30, 2026 and 1,348,087 shares at</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34"/>
        </w:trPr>
        <w:tc>
          <w:tcPr>
            <w:tcW w:w="8360" w:type="dxa"/>
            <w:vAlign w:val="bottom"/>
            <w:tcBorders>
              <w:bottom w:val="single" w:sz="8" w:color="auto"/>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October 31, 2025; 27,669 shares of Class B common stock at April 30, 2026 and October 31, 2025</w:t>
            </w:r>
          </w:p>
        </w:tc>
        <w:tc>
          <w:tcPr>
            <w:tcW w:w="20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(207,699)</w:t>
            </w:r>
          </w:p>
        </w:tc>
        <w:tc>
          <w:tcPr>
            <w:tcW w:w="4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(189,154)</w:t>
            </w:r>
          </w:p>
        </w:tc>
      </w:tr>
      <w:tr>
        <w:trPr>
          <w:trHeight w:val="20"/>
        </w:trPr>
        <w:tc>
          <w:tcPr>
            <w:tcW w:w="1280" w:type="dxa"/>
            <w:vAlign w:val="bottom"/>
            <w:tcBorders>
              <w:bottom w:val="single" w:sz="8" w:color="auto"/>
            </w:tcBorders>
          </w:tcPr>
          <w:p>
            <w:pPr>
              <w:spacing w:after="0" w:line="20" w:lineRule="exact"/>
              <w:rPr>
                <w:sz w:val="1"/>
                <w:szCs w:val="1"/>
                <w:color w:val="auto"/>
              </w:rPr>
            </w:pPr>
          </w:p>
        </w:tc>
        <w:tc>
          <w:tcPr>
            <w:tcW w:w="7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37"/>
        </w:trPr>
        <w:tc>
          <w:tcPr>
            <w:tcW w:w="8360" w:type="dxa"/>
            <w:vAlign w:val="bottom"/>
            <w:tcBorders>
              <w:bottom w:val="single" w:sz="8" w:color="auto"/>
            </w:tcBorders>
            <w:gridSpan w:val="2"/>
          </w:tcPr>
          <w:p>
            <w:pPr>
              <w:ind w:left="660"/>
              <w:spacing w:after="0" w:line="196" w:lineRule="exact"/>
              <w:rPr>
                <w:sz w:val="20"/>
                <w:szCs w:val="20"/>
                <w:color w:val="auto"/>
              </w:rPr>
            </w:pPr>
            <w:r>
              <w:rPr>
                <w:rFonts w:ascii="Times New Roman" w:cs="Times New Roman" w:eastAsia="Times New Roman" w:hAnsi="Times New Roman"/>
                <w:sz w:val="18"/>
                <w:szCs w:val="18"/>
                <w:color w:val="auto"/>
              </w:rPr>
              <w:t>Total Hovnanian Enterprises Inc. stockholders’ equity</w:t>
            </w: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824,889</w:t>
            </w:r>
          </w:p>
        </w:tc>
        <w:tc>
          <w:tcPr>
            <w:tcW w:w="4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830,935</w:t>
            </w:r>
          </w:p>
        </w:tc>
      </w:tr>
      <w:tr>
        <w:trPr>
          <w:trHeight w:val="196"/>
        </w:trPr>
        <w:tc>
          <w:tcPr>
            <w:tcW w:w="8360" w:type="dxa"/>
            <w:vAlign w:val="bottom"/>
            <w:tcBorders>
              <w:bottom w:val="single" w:sz="8" w:color="auto"/>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Noncontrolling interest</w:t>
            </w:r>
          </w:p>
        </w:tc>
        <w:tc>
          <w:tcPr>
            <w:tcW w:w="2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2,704</w:t>
            </w:r>
          </w:p>
        </w:tc>
        <w:tc>
          <w:tcPr>
            <w:tcW w:w="4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1280" w:type="dxa"/>
            <w:vAlign w:val="bottom"/>
            <w:tcBorders>
              <w:bottom w:val="single" w:sz="8" w:color="auto"/>
            </w:tcBorders>
          </w:tcPr>
          <w:p>
            <w:pPr>
              <w:spacing w:after="0" w:line="20" w:lineRule="exact"/>
              <w:rPr>
                <w:sz w:val="1"/>
                <w:szCs w:val="1"/>
                <w:color w:val="auto"/>
              </w:rPr>
            </w:pPr>
          </w:p>
        </w:tc>
        <w:tc>
          <w:tcPr>
            <w:tcW w:w="7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36"/>
        </w:trPr>
        <w:tc>
          <w:tcPr>
            <w:tcW w:w="8360" w:type="dxa"/>
            <w:vAlign w:val="bottom"/>
            <w:tcBorders>
              <w:bottom w:val="single" w:sz="8" w:color="auto"/>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rPr>
              <w:t>Total equity</w:t>
            </w: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827,593</w:t>
            </w:r>
          </w:p>
        </w:tc>
        <w:tc>
          <w:tcPr>
            <w:tcW w:w="4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830,935</w:t>
            </w:r>
          </w:p>
        </w:tc>
      </w:tr>
      <w:tr>
        <w:trPr>
          <w:trHeight w:val="196"/>
        </w:trPr>
        <w:tc>
          <w:tcPr>
            <w:tcW w:w="8360" w:type="dxa"/>
            <w:vAlign w:val="bottom"/>
            <w:tcBorders>
              <w:bottom w:val="single" w:sz="8" w:color="auto"/>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Total liabilities and equity</w:t>
            </w:r>
          </w:p>
        </w:tc>
        <w:tc>
          <w:tcPr>
            <w:tcW w:w="2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2,828,824</w:t>
            </w:r>
          </w:p>
        </w:tc>
        <w:tc>
          <w:tcPr>
            <w:tcW w:w="400" w:type="dxa"/>
            <w:vAlign w:val="bottom"/>
            <w:tcBorders>
              <w:bottom w:val="single" w:sz="8" w:color="auto"/>
            </w:tcBorders>
            <w:shd w:val="clear" w:color="auto" w:fill="CCEEFF"/>
          </w:tcPr>
          <w:p>
            <w:pPr>
              <w:ind w:left="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2,633,913</w:t>
            </w:r>
          </w:p>
        </w:tc>
      </w:tr>
      <w:tr>
        <w:trPr>
          <w:trHeight w:val="20"/>
        </w:trPr>
        <w:tc>
          <w:tcPr>
            <w:tcW w:w="1280" w:type="dxa"/>
            <w:vAlign w:val="bottom"/>
            <w:tcBorders>
              <w:bottom w:val="single" w:sz="8" w:color="auto"/>
            </w:tcBorders>
          </w:tcPr>
          <w:p>
            <w:pPr>
              <w:spacing w:after="0" w:line="20" w:lineRule="exact"/>
              <w:rPr>
                <w:sz w:val="1"/>
                <w:szCs w:val="1"/>
                <w:color w:val="auto"/>
              </w:rPr>
            </w:pPr>
          </w:p>
        </w:tc>
        <w:tc>
          <w:tcPr>
            <w:tcW w:w="7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 (unaudited).</w:t>
      </w:r>
    </w:p>
    <w:p>
      <w:pPr>
        <w:sectPr>
          <w:pgSz w:w="11900" w:h="16838" w:orient="portrait"/>
          <w:cols w:equalWidth="0" w:num="1">
            <w:col w:w="11240"/>
          </w:cols>
          <w:pgMar w:left="320" w:top="108" w:right="339"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7486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HOVNANIAN ENTERPRISES,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70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Three Months Ended April 30,</w:t>
            </w:r>
          </w:p>
        </w:tc>
        <w:tc>
          <w:tcPr>
            <w:tcW w:w="260" w:type="dxa"/>
            <w:vAlign w:val="bottom"/>
          </w:tcPr>
          <w:p>
            <w:pPr>
              <w:spacing w:after="0"/>
              <w:rPr>
                <w:sz w:val="19"/>
                <w:szCs w:val="19"/>
                <w:color w:val="auto"/>
              </w:rPr>
            </w:pPr>
          </w:p>
        </w:tc>
        <w:tc>
          <w:tcPr>
            <w:tcW w:w="250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Six Months Ended April 30,</w:t>
            </w:r>
          </w:p>
        </w:tc>
      </w:tr>
      <w:tr>
        <w:trPr>
          <w:trHeight w:val="238"/>
        </w:trPr>
        <w:tc>
          <w:tcPr>
            <w:tcW w:w="50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9"/>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7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30"/>
        </w:trPr>
        <w:tc>
          <w:tcPr>
            <w:tcW w:w="5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Homebuilding:</w:t>
            </w:r>
          </w:p>
        </w:tc>
        <w:tc>
          <w:tcPr>
            <w:tcW w:w="7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 of homes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604,188</w:t>
            </w:r>
          </w:p>
        </w:tc>
        <w:tc>
          <w:tcPr>
            <w:tcW w:w="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650,314</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1,179,947</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1,297,228</w:t>
            </w:r>
          </w:p>
        </w:tc>
      </w:tr>
      <w:tr>
        <w:trPr>
          <w:trHeight w:val="229"/>
        </w:trPr>
        <w:tc>
          <w:tcPr>
            <w:tcW w:w="50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Land sales and other revenues</w:t>
            </w:r>
          </w:p>
        </w:tc>
        <w:tc>
          <w:tcPr>
            <w:tcW w:w="7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40,059</w:t>
            </w: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14,839</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333333"/>
              </w:rPr>
              <w:t>77,244</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24,606</w:t>
            </w:r>
          </w:p>
        </w:tc>
      </w:tr>
      <w:tr>
        <w:trPr>
          <w:trHeight w:val="210"/>
        </w:trPr>
        <w:tc>
          <w:tcPr>
            <w:tcW w:w="5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homebuilding</w:t>
            </w:r>
          </w:p>
        </w:tc>
        <w:tc>
          <w:tcPr>
            <w:tcW w:w="7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644,247</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665,153</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1,257,191</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1,321,834</w:t>
            </w:r>
          </w:p>
        </w:tc>
      </w:tr>
      <w:tr>
        <w:trPr>
          <w:trHeight w:val="229"/>
        </w:trPr>
        <w:tc>
          <w:tcPr>
            <w:tcW w:w="50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Financial services</w:t>
            </w:r>
          </w:p>
        </w:tc>
        <w:tc>
          <w:tcPr>
            <w:tcW w:w="7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23,398</w:t>
            </w: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21,318</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42,406</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38,260</w:t>
            </w:r>
          </w:p>
        </w:tc>
      </w:tr>
      <w:tr>
        <w:trPr>
          <w:trHeight w:val="209"/>
        </w:trPr>
        <w:tc>
          <w:tcPr>
            <w:tcW w:w="506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 revenues</w:t>
            </w:r>
          </w:p>
        </w:tc>
        <w:tc>
          <w:tcPr>
            <w:tcW w:w="7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667,645</w:t>
            </w:r>
          </w:p>
        </w:tc>
        <w:tc>
          <w:tcPr>
            <w:tcW w:w="3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686,471</w:t>
            </w: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1,299,597</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1,360,094</w:t>
            </w:r>
          </w:p>
        </w:tc>
      </w:tr>
      <w:tr>
        <w:trPr>
          <w:trHeight w:val="210"/>
        </w:trPr>
        <w:tc>
          <w:tcPr>
            <w:tcW w:w="50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29"/>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7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5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Homebuilding:</w:t>
            </w:r>
          </w:p>
        </w:tc>
        <w:tc>
          <w:tcPr>
            <w:tcW w:w="7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sales, excluding interest</w:t>
            </w:r>
          </w:p>
        </w:tc>
        <w:tc>
          <w:tcPr>
            <w:tcW w:w="7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531,061</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543,289</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1,040,692</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1,076,579</w:t>
            </w:r>
          </w:p>
        </w:tc>
      </w:tr>
      <w:tr>
        <w:trPr>
          <w:trHeight w:val="229"/>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sales interest</w:t>
            </w:r>
          </w:p>
        </w:tc>
        <w:tc>
          <w:tcPr>
            <w:tcW w:w="720" w:type="dxa"/>
            <w:vAlign w:val="bottom"/>
          </w:tcPr>
          <w:p>
            <w:pPr>
              <w:spacing w:after="0"/>
              <w:rPr>
                <w:sz w:val="19"/>
                <w:szCs w:val="19"/>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15,966</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19,938</w:t>
            </w:r>
          </w:p>
        </w:tc>
        <w:tc>
          <w:tcPr>
            <w:tcW w:w="260" w:type="dxa"/>
            <w:vAlign w:val="bottom"/>
          </w:tcPr>
          <w:p>
            <w:pPr>
              <w:spacing w:after="0"/>
              <w:rPr>
                <w:sz w:val="19"/>
                <w:szCs w:val="19"/>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32,557</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39,294</w:t>
            </w:r>
          </w:p>
        </w:tc>
      </w:tr>
      <w:tr>
        <w:trPr>
          <w:trHeight w:val="230"/>
        </w:trPr>
        <w:tc>
          <w:tcPr>
            <w:tcW w:w="506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Inventory impairments and land option write-offs</w:t>
            </w:r>
          </w:p>
        </w:tc>
        <w:tc>
          <w:tcPr>
            <w:tcW w:w="7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8,750</w:t>
            </w: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3,056</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11,109</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4,096</w:t>
            </w:r>
          </w:p>
        </w:tc>
      </w:tr>
      <w:tr>
        <w:trPr>
          <w:trHeight w:val="209"/>
        </w:trPr>
        <w:tc>
          <w:tcPr>
            <w:tcW w:w="5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cost of sales</w:t>
            </w:r>
          </w:p>
        </w:tc>
        <w:tc>
          <w:tcPr>
            <w:tcW w:w="7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555,777</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566,283</w:t>
            </w:r>
          </w:p>
        </w:tc>
        <w:tc>
          <w:tcPr>
            <w:tcW w:w="26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1,084,358</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1,119,969</w:t>
            </w:r>
          </w:p>
        </w:tc>
      </w:tr>
      <w:tr>
        <w:trPr>
          <w:trHeight w:val="229"/>
        </w:trPr>
        <w:tc>
          <w:tcPr>
            <w:tcW w:w="50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7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56,998</w:t>
            </w: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51,064</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107,279</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105,317</w:t>
            </w:r>
          </w:p>
        </w:tc>
      </w:tr>
      <w:tr>
        <w:trPr>
          <w:trHeight w:val="210"/>
        </w:trPr>
        <w:tc>
          <w:tcPr>
            <w:tcW w:w="5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homebuilding expenses</w:t>
            </w:r>
          </w:p>
        </w:tc>
        <w:tc>
          <w:tcPr>
            <w:tcW w:w="7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612,775</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617,347</w:t>
            </w:r>
          </w:p>
        </w:tc>
        <w:tc>
          <w:tcPr>
            <w:tcW w:w="26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1,191,637</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1,225,286</w:t>
            </w:r>
          </w:p>
        </w:tc>
      </w:tr>
      <w:tr>
        <w:trPr>
          <w:trHeight w:val="229"/>
        </w:trPr>
        <w:tc>
          <w:tcPr>
            <w:tcW w:w="50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5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Financial services</w:t>
            </w:r>
          </w:p>
        </w:tc>
        <w:tc>
          <w:tcPr>
            <w:tcW w:w="720" w:type="dxa"/>
            <w:vAlign w:val="bottom"/>
          </w:tcPr>
          <w:p>
            <w:pPr>
              <w:spacing w:after="0"/>
              <w:rPr>
                <w:sz w:val="19"/>
                <w:szCs w:val="19"/>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13,361</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12,891</w:t>
            </w:r>
          </w:p>
        </w:tc>
        <w:tc>
          <w:tcPr>
            <w:tcW w:w="260" w:type="dxa"/>
            <w:vAlign w:val="bottom"/>
          </w:tcPr>
          <w:p>
            <w:pPr>
              <w:spacing w:after="0"/>
              <w:rPr>
                <w:sz w:val="19"/>
                <w:szCs w:val="19"/>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26,596</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26,328</w:t>
            </w:r>
          </w:p>
        </w:tc>
      </w:tr>
      <w:tr>
        <w:trPr>
          <w:trHeight w:val="229"/>
        </w:trPr>
        <w:tc>
          <w:tcPr>
            <w:tcW w:w="5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Corporate general and administrative</w:t>
            </w:r>
          </w:p>
        </w:tc>
        <w:tc>
          <w:tcPr>
            <w:tcW w:w="7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26,999</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29,500</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60,717</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62,192</w:t>
            </w:r>
          </w:p>
        </w:tc>
      </w:tr>
      <w:tr>
        <w:trPr>
          <w:trHeight w:val="230"/>
        </w:trPr>
        <w:tc>
          <w:tcPr>
            <w:tcW w:w="5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interest</w:t>
            </w:r>
          </w:p>
        </w:tc>
        <w:tc>
          <w:tcPr>
            <w:tcW w:w="720" w:type="dxa"/>
            <w:vAlign w:val="bottom"/>
          </w:tcPr>
          <w:p>
            <w:pPr>
              <w:spacing w:after="0"/>
              <w:rPr>
                <w:sz w:val="19"/>
                <w:szCs w:val="19"/>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12,490</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9,145</w:t>
            </w:r>
          </w:p>
        </w:tc>
        <w:tc>
          <w:tcPr>
            <w:tcW w:w="260" w:type="dxa"/>
            <w:vAlign w:val="bottom"/>
          </w:tcPr>
          <w:p>
            <w:pPr>
              <w:spacing w:after="0"/>
              <w:rPr>
                <w:sz w:val="19"/>
                <w:szCs w:val="19"/>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24,648</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18,662</w:t>
            </w:r>
          </w:p>
        </w:tc>
      </w:tr>
      <w:tr>
        <w:trPr>
          <w:trHeight w:val="230"/>
        </w:trPr>
        <w:tc>
          <w:tcPr>
            <w:tcW w:w="506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expense (income), net (1)</w:t>
            </w:r>
          </w:p>
        </w:tc>
        <w:tc>
          <w:tcPr>
            <w:tcW w:w="7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575</w:t>
            </w: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(30,708)</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(20,120)</w:t>
            </w:r>
          </w:p>
        </w:tc>
      </w:tr>
      <w:tr>
        <w:trPr>
          <w:trHeight w:val="209"/>
        </w:trPr>
        <w:tc>
          <w:tcPr>
            <w:tcW w:w="50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Total expenses</w:t>
            </w:r>
          </w:p>
        </w:tc>
        <w:tc>
          <w:tcPr>
            <w:tcW w:w="7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666,200</w:t>
            </w: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669,383</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1,272,890</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1,312,348</w:t>
            </w:r>
          </w:p>
        </w:tc>
      </w:tr>
      <w:tr>
        <w:trPr>
          <w:trHeight w:val="210"/>
        </w:trPr>
        <w:tc>
          <w:tcPr>
            <w:tcW w:w="50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extinguishment of debt, net</w:t>
            </w:r>
          </w:p>
        </w:tc>
        <w:tc>
          <w:tcPr>
            <w:tcW w:w="7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r>
      <w:tr>
        <w:trPr>
          <w:trHeight w:val="210"/>
        </w:trPr>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(Loss) income from unconsolidated joint ventures</w:t>
            </w:r>
          </w:p>
        </w:tc>
        <w:tc>
          <w:tcPr>
            <w:tcW w:w="7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9,043</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2,334</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18,248</w:t>
            </w:r>
          </w:p>
        </w:tc>
      </w:tr>
      <w:tr>
        <w:trPr>
          <w:trHeight w:val="210"/>
        </w:trPr>
        <w:tc>
          <w:tcPr>
            <w:tcW w:w="50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7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339</w:t>
            </w:r>
          </w:p>
        </w:tc>
        <w:tc>
          <w:tcPr>
            <w:tcW w:w="3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26,530</w:t>
            </w: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29,041</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66,393</w:t>
            </w:r>
          </w:p>
        </w:tc>
      </w:tr>
      <w:tr>
        <w:trPr>
          <w:trHeight w:val="209"/>
        </w:trPr>
        <w:tc>
          <w:tcPr>
            <w:tcW w:w="50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7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934</w:t>
            </w: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6,804</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8,777</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18,476</w:t>
            </w:r>
          </w:p>
        </w:tc>
      </w:tr>
      <w:tr>
        <w:trPr>
          <w:trHeight w:val="210"/>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7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19,726</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20,264</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47,917</w:t>
            </w:r>
          </w:p>
        </w:tc>
      </w:tr>
      <w:tr>
        <w:trPr>
          <w:trHeight w:val="230"/>
        </w:trPr>
        <w:tc>
          <w:tcPr>
            <w:tcW w:w="50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Less: net (loss) income attributable to noncontrolling interest</w:t>
            </w:r>
          </w:p>
        </w:tc>
        <w:tc>
          <w:tcPr>
            <w:tcW w:w="7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 attributable to Hovnanian Enterprises, Inc.</w:t>
            </w:r>
          </w:p>
        </w:tc>
        <w:tc>
          <w:tcPr>
            <w:tcW w:w="7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19,726</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20,575</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47,917</w:t>
            </w:r>
          </w:p>
        </w:tc>
      </w:tr>
      <w:tr>
        <w:trPr>
          <w:trHeight w:val="229"/>
        </w:trPr>
        <w:tc>
          <w:tcPr>
            <w:tcW w:w="50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Less: preferred stock dividends</w:t>
            </w:r>
          </w:p>
        </w:tc>
        <w:tc>
          <w:tcPr>
            <w:tcW w:w="7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2,669</w:t>
            </w: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2,669</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5,338</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5,338</w:t>
            </w:r>
          </w:p>
        </w:tc>
      </w:tr>
      <w:tr>
        <w:trPr>
          <w:trHeight w:val="210"/>
        </w:trPr>
        <w:tc>
          <w:tcPr>
            <w:tcW w:w="50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 available to common stockholders</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(2,953)</w:t>
            </w:r>
          </w:p>
        </w:tc>
        <w:tc>
          <w:tcPr>
            <w:tcW w:w="3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17,057</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15,237</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42,579</w:t>
            </w:r>
          </w:p>
        </w:tc>
      </w:tr>
      <w:tr>
        <w:trPr>
          <w:trHeight w:val="20"/>
        </w:trPr>
        <w:tc>
          <w:tcPr>
            <w:tcW w:w="50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97"/>
        </w:trPr>
        <w:tc>
          <w:tcPr>
            <w:tcW w:w="50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29"/>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Per share data:</w:t>
            </w:r>
          </w:p>
        </w:tc>
        <w:tc>
          <w:tcPr>
            <w:tcW w:w="7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7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506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(loss) income per common share</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3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2.36</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w:t>
            </w:r>
          </w:p>
        </w:tc>
      </w:tr>
      <w:tr>
        <w:trPr>
          <w:trHeight w:val="210"/>
        </w:trPr>
        <w:tc>
          <w:tcPr>
            <w:tcW w:w="50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Weighted-average number of common shares outstanding</w:t>
            </w:r>
          </w:p>
        </w:tc>
        <w:tc>
          <w:tcPr>
            <w:tcW w:w="7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333333"/>
              </w:rPr>
              <w:t>6,416</w:t>
            </w: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333333"/>
              </w:rPr>
              <w:t>6,411</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333333"/>
              </w:rPr>
              <w:t>6,453</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333333"/>
              </w:rPr>
              <w:t>6,464</w:t>
            </w:r>
          </w:p>
        </w:tc>
      </w:tr>
      <w:tr>
        <w:trPr>
          <w:trHeight w:val="209"/>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Assuming dilution:</w:t>
            </w:r>
          </w:p>
        </w:tc>
        <w:tc>
          <w:tcPr>
            <w:tcW w:w="7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30"/>
        </w:trPr>
        <w:tc>
          <w:tcPr>
            <w:tcW w:w="50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Net (loss) income per common share</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3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2.20</w:t>
            </w:r>
          </w:p>
        </w:tc>
        <w:tc>
          <w:tcPr>
            <w:tcW w:w="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w:t>
            </w:r>
          </w:p>
        </w:tc>
      </w:tr>
      <w:tr>
        <w:trPr>
          <w:trHeight w:val="210"/>
        </w:trPr>
        <w:tc>
          <w:tcPr>
            <w:tcW w:w="506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Weighted-average number of common shares outstanding</w:t>
            </w:r>
          </w:p>
        </w:tc>
        <w:tc>
          <w:tcPr>
            <w:tcW w:w="7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6,416</w:t>
            </w:r>
          </w:p>
        </w:tc>
        <w:tc>
          <w:tcPr>
            <w:tcW w:w="3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6,951</w:t>
            </w: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6,909</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7,011</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 (unaudited).</w:t>
      </w:r>
    </w:p>
    <w:p>
      <w:pPr>
        <w:spacing w:after="0" w:line="225" w:lineRule="exact"/>
        <w:rPr>
          <w:sz w:val="20"/>
          <w:szCs w:val="20"/>
          <w:color w:val="auto"/>
        </w:rPr>
      </w:pPr>
    </w:p>
    <w:p>
      <w:pPr>
        <w:ind w:right="80" w:firstLine="8"/>
        <w:spacing w:after="0" w:line="282" w:lineRule="auto"/>
        <w:tabs>
          <w:tab w:leader="none" w:pos="2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$26.8 million gain on consolidation of joint ventures for the six months ended April 30, 2026, and $22.7 million gain on contribution of assets to a joint venture for the six months ended April 30, 2025 (see note 18).</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HOVNANIAN ENTERPRISES,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CHANGES IN EQUITY</w:t>
      </w:r>
    </w:p>
    <w:p>
      <w:pPr>
        <w:spacing w:after="0" w:line="18"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THREE AND SIX MONTH PERIODS ENDED APRIL 30, 2026</w:t>
      </w:r>
    </w:p>
    <w:p>
      <w:pPr>
        <w:spacing w:after="0" w:line="27"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(In thousands, except share data)</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86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A Common Stock</w:t>
            </w:r>
          </w:p>
        </w:tc>
        <w:tc>
          <w:tcPr>
            <w:tcW w:w="1700" w:type="dxa"/>
            <w:vAlign w:val="bottom"/>
            <w:tcBorders>
              <w:bottom w:val="single" w:sz="8" w:color="auto"/>
            </w:tcBorders>
            <w:gridSpan w:val="3"/>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B Common Stock</w:t>
            </w:r>
          </w:p>
        </w:tc>
        <w:tc>
          <w:tcPr>
            <w:tcW w:w="1720" w:type="dxa"/>
            <w:vAlign w:val="bottom"/>
            <w:tcBorders>
              <w:bottom w:val="single" w:sz="8" w:color="auto"/>
            </w:tcBorders>
            <w:gridSpan w:val="3"/>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860" w:type="dxa"/>
            <w:vAlign w:val="bottom"/>
          </w:tcPr>
          <w:p>
            <w:pPr>
              <w:spacing w:after="0"/>
              <w:rPr>
                <w:sz w:val="10"/>
                <w:szCs w:val="10"/>
                <w:color w:val="auto"/>
              </w:rPr>
            </w:pPr>
          </w:p>
        </w:tc>
        <w:tc>
          <w:tcPr>
            <w:tcW w:w="8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Shares</w:t>
            </w: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Shares</w:t>
            </w: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00" w:type="dxa"/>
            <w:vAlign w:val="bottom"/>
          </w:tcPr>
          <w:p>
            <w:pPr>
              <w:jc w:val="right"/>
              <w:ind w:right="149"/>
              <w:spacing w:after="0" w:line="118" w:lineRule="exact"/>
              <w:rPr>
                <w:sz w:val="20"/>
                <w:szCs w:val="20"/>
                <w:color w:val="auto"/>
              </w:rPr>
            </w:pPr>
            <w:r>
              <w:rPr>
                <w:rFonts w:ascii="Times New Roman" w:cs="Times New Roman" w:eastAsia="Times New Roman" w:hAnsi="Times New Roman"/>
                <w:sz w:val="13"/>
                <w:szCs w:val="13"/>
                <w:b w:val="1"/>
                <w:bCs w:val="1"/>
                <w:color w:val="auto"/>
              </w:rPr>
              <w:t>Shares</w:t>
            </w: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0"/>
                <w:szCs w:val="10"/>
                <w:color w:val="auto"/>
              </w:rPr>
            </w:pPr>
          </w:p>
        </w:tc>
        <w:tc>
          <w:tcPr>
            <w:tcW w:w="6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0"/>
                <w:szCs w:val="10"/>
                <w:color w:val="auto"/>
              </w:rPr>
            </w:pPr>
          </w:p>
        </w:tc>
        <w:tc>
          <w:tcPr>
            <w:tcW w:w="6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4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Noncontrolling</w:t>
            </w: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8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Issued and</w:t>
            </w:r>
          </w:p>
        </w:tc>
        <w:tc>
          <w:tcPr>
            <w:tcW w:w="160" w:type="dxa"/>
            <w:vAlign w:val="bottom"/>
          </w:tcPr>
          <w:p>
            <w:pPr>
              <w:spacing w:after="0"/>
              <w:rPr>
                <w:sz w:val="12"/>
                <w:szCs w:val="12"/>
                <w:color w:val="auto"/>
              </w:rPr>
            </w:pPr>
          </w:p>
        </w:tc>
        <w:tc>
          <w:tcPr>
            <w:tcW w:w="6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Issued and</w:t>
            </w:r>
          </w:p>
        </w:tc>
        <w:tc>
          <w:tcPr>
            <w:tcW w:w="160" w:type="dxa"/>
            <w:vAlign w:val="bottom"/>
          </w:tcPr>
          <w:p>
            <w:pPr>
              <w:spacing w:after="0"/>
              <w:rPr>
                <w:sz w:val="12"/>
                <w:szCs w:val="12"/>
                <w:color w:val="auto"/>
              </w:rPr>
            </w:pPr>
          </w:p>
        </w:tc>
        <w:tc>
          <w:tcPr>
            <w:tcW w:w="6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00" w:type="dxa"/>
            <w:vAlign w:val="bottom"/>
          </w:tcPr>
          <w:p>
            <w:pPr>
              <w:jc w:val="right"/>
              <w:ind w:right="29"/>
              <w:spacing w:after="0" w:line="149" w:lineRule="exact"/>
              <w:rPr>
                <w:sz w:val="20"/>
                <w:szCs w:val="20"/>
                <w:color w:val="auto"/>
              </w:rPr>
            </w:pPr>
            <w:r>
              <w:rPr>
                <w:rFonts w:ascii="Times New Roman" w:cs="Times New Roman" w:eastAsia="Times New Roman" w:hAnsi="Times New Roman"/>
                <w:sz w:val="14"/>
                <w:szCs w:val="14"/>
                <w:b w:val="1"/>
                <w:bCs w:val="1"/>
                <w:color w:val="auto"/>
              </w:rPr>
              <w:t>Issued and</w:t>
            </w:r>
          </w:p>
        </w:tc>
        <w:tc>
          <w:tcPr>
            <w:tcW w:w="180" w:type="dxa"/>
            <w:vAlign w:val="bottom"/>
          </w:tcPr>
          <w:p>
            <w:pPr>
              <w:spacing w:after="0"/>
              <w:rPr>
                <w:sz w:val="12"/>
                <w:szCs w:val="12"/>
                <w:color w:val="auto"/>
              </w:rPr>
            </w:pPr>
          </w:p>
        </w:tc>
        <w:tc>
          <w:tcPr>
            <w:tcW w:w="6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6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18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6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October 31, 2025</w:t>
            </w: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5,155,635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9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784,741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9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5,600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135,299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757,391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127,326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(189,154)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333333"/>
              </w:rPr>
              <w:t>830,935</w:t>
            </w:r>
          </w:p>
        </w:tc>
        <w:tc>
          <w:tcPr>
            <w:tcW w:w="0" w:type="dxa"/>
            <w:vAlign w:val="bottom"/>
          </w:tcPr>
          <w:p>
            <w:pPr>
              <w:spacing w:after="0"/>
              <w:rPr>
                <w:sz w:val="1"/>
                <w:szCs w:val="1"/>
                <w:color w:val="auto"/>
              </w:rPr>
            </w:pPr>
          </w:p>
        </w:tc>
      </w:tr>
      <w:tr>
        <w:trPr>
          <w:trHeight w:val="126"/>
        </w:trPr>
        <w:tc>
          <w:tcPr>
            <w:tcW w:w="18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Preferred dividend declared</w:t>
            </w: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(2,669)</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333333"/>
              </w:rPr>
              <w:t>(2,669)</w:t>
            </w:r>
          </w:p>
        </w:tc>
        <w:tc>
          <w:tcPr>
            <w:tcW w:w="0" w:type="dxa"/>
            <w:vAlign w:val="bottom"/>
          </w:tcPr>
          <w:p>
            <w:pPr>
              <w:spacing w:after="0"/>
              <w:rPr>
                <w:sz w:val="1"/>
                <w:szCs w:val="1"/>
                <w:color w:val="auto"/>
              </w:rPr>
            </w:pPr>
          </w:p>
        </w:tc>
      </w:tr>
      <w:tr>
        <w:trPr>
          <w:trHeight w:val="171"/>
        </w:trPr>
        <w:tc>
          <w:tcPr>
            <w:tcW w:w="1860" w:type="dxa"/>
            <w:vAlign w:val="bottom"/>
          </w:tcPr>
          <w:p>
            <w:pPr>
              <w:spacing w:after="0"/>
              <w:rPr>
                <w:sz w:val="20"/>
                <w:szCs w:val="20"/>
                <w:color w:val="auto"/>
              </w:rPr>
            </w:pPr>
            <w:r>
              <w:rPr>
                <w:rFonts w:ascii="Times New Roman" w:cs="Times New Roman" w:eastAsia="Times New Roman" w:hAnsi="Times New Roman"/>
                <w:sz w:val="14"/>
                <w:szCs w:val="14"/>
                <w:color w:val="auto"/>
              </w:rPr>
              <w:t>($476.56 per share)</w:t>
            </w: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8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Restricted stock amortization,</w:t>
            </w:r>
          </w:p>
        </w:tc>
        <w:tc>
          <w:tcPr>
            <w:tcW w:w="8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83,065</w:t>
            </w:r>
          </w:p>
        </w:tc>
        <w:tc>
          <w:tcPr>
            <w:tcW w:w="16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9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(4,387)</w:t>
            </w: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333333"/>
              </w:rPr>
              <w:t>(4,386)</w:t>
            </w:r>
          </w:p>
        </w:tc>
        <w:tc>
          <w:tcPr>
            <w:tcW w:w="0" w:type="dxa"/>
            <w:vAlign w:val="bottom"/>
          </w:tcPr>
          <w:p>
            <w:pPr>
              <w:spacing w:after="0"/>
              <w:rPr>
                <w:sz w:val="1"/>
                <w:szCs w:val="1"/>
                <w:color w:val="auto"/>
              </w:rPr>
            </w:pPr>
          </w:p>
        </w:tc>
      </w:tr>
      <w:tr>
        <w:trPr>
          <w:trHeight w:val="171"/>
        </w:trPr>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issuances and forfeitures</w:t>
            </w:r>
          </w:p>
        </w:tc>
        <w:tc>
          <w:tcPr>
            <w:tcW w:w="86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8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Conversion of Class B to Class</w:t>
            </w:r>
          </w:p>
        </w:tc>
        <w:tc>
          <w:tcPr>
            <w:tcW w:w="8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23</w:t>
            </w: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333333"/>
              </w:rPr>
              <w:t>-</w:t>
            </w:r>
          </w:p>
        </w:tc>
        <w:tc>
          <w:tcPr>
            <w:tcW w:w="0" w:type="dxa"/>
            <w:vAlign w:val="bottom"/>
          </w:tcPr>
          <w:p>
            <w:pPr>
              <w:spacing w:after="0"/>
              <w:rPr>
                <w:sz w:val="1"/>
                <w:szCs w:val="1"/>
                <w:color w:val="auto"/>
              </w:rPr>
            </w:pPr>
          </w:p>
        </w:tc>
      </w:tr>
      <w:tr>
        <w:trPr>
          <w:trHeight w:val="171"/>
        </w:trPr>
        <w:tc>
          <w:tcPr>
            <w:tcW w:w="1860" w:type="dxa"/>
            <w:vAlign w:val="bottom"/>
          </w:tcPr>
          <w:p>
            <w:pPr>
              <w:spacing w:after="0"/>
              <w:rPr>
                <w:sz w:val="20"/>
                <w:szCs w:val="20"/>
                <w:color w:val="auto"/>
              </w:rPr>
            </w:pPr>
            <w:r>
              <w:rPr>
                <w:rFonts w:ascii="Times New Roman" w:cs="Times New Roman" w:eastAsia="Times New Roman" w:hAnsi="Times New Roman"/>
                <w:sz w:val="14"/>
                <w:szCs w:val="14"/>
                <w:color w:val="auto"/>
              </w:rPr>
              <w:t>A common stock</w:t>
            </w:r>
          </w:p>
        </w:tc>
        <w:tc>
          <w:tcPr>
            <w:tcW w:w="8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8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Changes in noncontrolling</w:t>
            </w:r>
          </w:p>
        </w:tc>
        <w:tc>
          <w:tcPr>
            <w:tcW w:w="8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1,895</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333333"/>
              </w:rPr>
              <w:t>1,895</w:t>
            </w:r>
          </w:p>
        </w:tc>
        <w:tc>
          <w:tcPr>
            <w:tcW w:w="0" w:type="dxa"/>
            <w:vAlign w:val="bottom"/>
          </w:tcPr>
          <w:p>
            <w:pPr>
              <w:spacing w:after="0"/>
              <w:rPr>
                <w:sz w:val="1"/>
                <w:szCs w:val="1"/>
                <w:color w:val="auto"/>
              </w:rPr>
            </w:pPr>
          </w:p>
        </w:tc>
      </w:tr>
      <w:tr>
        <w:trPr>
          <w:trHeight w:val="171"/>
        </w:trPr>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w:t>
            </w:r>
          </w:p>
        </w:tc>
        <w:tc>
          <w:tcPr>
            <w:tcW w:w="8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1860" w:type="dxa"/>
            <w:vAlign w:val="bottom"/>
          </w:tcPr>
          <w:p>
            <w:pPr>
              <w:spacing w:after="0"/>
              <w:rPr>
                <w:sz w:val="20"/>
                <w:szCs w:val="20"/>
                <w:color w:val="auto"/>
              </w:rPr>
            </w:pPr>
            <w:r>
              <w:rPr>
                <w:rFonts w:ascii="Times New Roman" w:cs="Times New Roman" w:eastAsia="Times New Roman" w:hAnsi="Times New Roman"/>
                <w:sz w:val="14"/>
                <w:szCs w:val="14"/>
                <w:color w:val="auto"/>
              </w:rPr>
              <w:t>Share repurchases</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(85,398)</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(9,000)</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333333"/>
              </w:rPr>
              <w:t>(9,000)</w:t>
            </w:r>
          </w:p>
        </w:tc>
        <w:tc>
          <w:tcPr>
            <w:tcW w:w="0" w:type="dxa"/>
            <w:vAlign w:val="bottom"/>
          </w:tcPr>
          <w:p>
            <w:pPr>
              <w:spacing w:after="0"/>
              <w:rPr>
                <w:sz w:val="1"/>
                <w:szCs w:val="1"/>
                <w:color w:val="auto"/>
              </w:rPr>
            </w:pPr>
          </w:p>
        </w:tc>
      </w:tr>
      <w:tr>
        <w:trPr>
          <w:trHeight w:val="230"/>
        </w:trPr>
        <w:tc>
          <w:tcPr>
            <w:tcW w:w="18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w:t>
            </w:r>
          </w:p>
        </w:tc>
        <w:tc>
          <w:tcPr>
            <w:tcW w:w="86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20,859</w:t>
            </w: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333333"/>
              </w:rPr>
              <w:t>20,859</w:t>
            </w:r>
          </w:p>
        </w:tc>
        <w:tc>
          <w:tcPr>
            <w:tcW w:w="0" w:type="dxa"/>
            <w:vAlign w:val="bottom"/>
          </w:tcPr>
          <w:p>
            <w:pPr>
              <w:spacing w:after="0"/>
              <w:rPr>
                <w:sz w:val="1"/>
                <w:szCs w:val="1"/>
                <w:color w:val="auto"/>
              </w:rPr>
            </w:pPr>
          </w:p>
        </w:tc>
      </w:tr>
      <w:tr>
        <w:trPr>
          <w:trHeight w:val="236"/>
        </w:trPr>
        <w:tc>
          <w:tcPr>
            <w:tcW w:w="1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Balance, January 31, 2026</w:t>
            </w:r>
          </w:p>
        </w:tc>
        <w:tc>
          <w:tcPr>
            <w:tcW w:w="8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333333"/>
              </w:rPr>
              <w:t>5,153,325</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333333"/>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333333"/>
              </w:rPr>
              <w:t>66</w:t>
            </w:r>
          </w:p>
        </w:tc>
        <w:tc>
          <w:tcPr>
            <w:tcW w:w="9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333333"/>
              </w:rPr>
              <w:t>784,718</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333333"/>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333333"/>
              </w:rPr>
              <w:t>8</w:t>
            </w:r>
          </w:p>
        </w:tc>
        <w:tc>
          <w:tcPr>
            <w:tcW w:w="9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333333"/>
              </w:rPr>
              <w:t>5,600</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333333"/>
              </w:rPr>
              <w:t>$</w:t>
            </w:r>
          </w:p>
        </w:tc>
        <w:tc>
          <w:tcPr>
            <w:tcW w:w="6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333333"/>
              </w:rPr>
              <w:t>135,299</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333333"/>
              </w:rPr>
              <w:t>$</w:t>
            </w:r>
          </w:p>
        </w:tc>
        <w:tc>
          <w:tcPr>
            <w:tcW w:w="6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333333"/>
              </w:rPr>
              <w:t>753,004</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333333"/>
              </w:rPr>
              <w:t>$</w:t>
            </w:r>
          </w:p>
        </w:tc>
        <w:tc>
          <w:tcPr>
            <w:tcW w:w="6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333333"/>
              </w:rPr>
              <w:t>145,516</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333333"/>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333333"/>
              </w:rPr>
              <w:t>(198,154)</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333333"/>
              </w:rPr>
              <w:t>$</w:t>
            </w:r>
          </w:p>
        </w:tc>
        <w:tc>
          <w:tcPr>
            <w:tcW w:w="9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333333"/>
              </w:rPr>
              <w:t>1,895</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333333"/>
              </w:rPr>
              <w:t>$ 837,634</w:t>
            </w:r>
          </w:p>
        </w:tc>
        <w:tc>
          <w:tcPr>
            <w:tcW w:w="0" w:type="dxa"/>
            <w:vAlign w:val="bottom"/>
          </w:tcPr>
          <w:p>
            <w:pPr>
              <w:spacing w:after="0"/>
              <w:rPr>
                <w:sz w:val="1"/>
                <w:szCs w:val="1"/>
                <w:color w:val="auto"/>
              </w:rPr>
            </w:pPr>
          </w:p>
        </w:tc>
      </w:tr>
      <w:tr>
        <w:trPr>
          <w:trHeight w:val="106"/>
        </w:trPr>
        <w:tc>
          <w:tcPr>
            <w:tcW w:w="186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2"/>
                <w:szCs w:val="12"/>
                <w:color w:val="auto"/>
              </w:rPr>
              <w:t>Stock options, amortization and</w:t>
            </w:r>
          </w:p>
        </w:tc>
        <w:tc>
          <w:tcPr>
            <w:tcW w:w="8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333333"/>
              </w:rPr>
              <w:t>1,452</w:t>
            </w:r>
          </w:p>
        </w:tc>
        <w:tc>
          <w:tcPr>
            <w:tcW w:w="1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9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333333"/>
              </w:rPr>
              <w:t>306</w:t>
            </w:r>
          </w:p>
        </w:tc>
        <w:tc>
          <w:tcPr>
            <w:tcW w:w="1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333333"/>
              </w:rPr>
              <w:t>(68)</w:t>
            </w:r>
          </w:p>
        </w:tc>
        <w:tc>
          <w:tcPr>
            <w:tcW w:w="1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333333"/>
              </w:rPr>
              <w:t>(68)</w:t>
            </w:r>
          </w:p>
        </w:tc>
        <w:tc>
          <w:tcPr>
            <w:tcW w:w="0" w:type="dxa"/>
            <w:vAlign w:val="bottom"/>
          </w:tcPr>
          <w:p>
            <w:pPr>
              <w:spacing w:after="0"/>
              <w:rPr>
                <w:sz w:val="1"/>
                <w:szCs w:val="1"/>
                <w:color w:val="auto"/>
              </w:rPr>
            </w:pPr>
          </w:p>
        </w:tc>
      </w:tr>
      <w:tr>
        <w:trPr>
          <w:trHeight w:val="171"/>
        </w:trPr>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issuances</w:t>
            </w:r>
          </w:p>
        </w:tc>
        <w:tc>
          <w:tcPr>
            <w:tcW w:w="86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8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Preferred dividend declared</w:t>
            </w: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(2,669)</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333333"/>
              </w:rPr>
              <w:t>(2,669)</w:t>
            </w:r>
          </w:p>
        </w:tc>
        <w:tc>
          <w:tcPr>
            <w:tcW w:w="0" w:type="dxa"/>
            <w:vAlign w:val="bottom"/>
          </w:tcPr>
          <w:p>
            <w:pPr>
              <w:spacing w:after="0"/>
              <w:rPr>
                <w:sz w:val="1"/>
                <w:szCs w:val="1"/>
                <w:color w:val="auto"/>
              </w:rPr>
            </w:pPr>
          </w:p>
        </w:tc>
      </w:tr>
      <w:tr>
        <w:trPr>
          <w:trHeight w:val="171"/>
        </w:trPr>
        <w:tc>
          <w:tcPr>
            <w:tcW w:w="1860" w:type="dxa"/>
            <w:vAlign w:val="bottom"/>
          </w:tcPr>
          <w:p>
            <w:pPr>
              <w:spacing w:after="0"/>
              <w:rPr>
                <w:sz w:val="20"/>
                <w:szCs w:val="20"/>
                <w:color w:val="auto"/>
              </w:rPr>
            </w:pPr>
            <w:r>
              <w:rPr>
                <w:rFonts w:ascii="Times New Roman" w:cs="Times New Roman" w:eastAsia="Times New Roman" w:hAnsi="Times New Roman"/>
                <w:sz w:val="14"/>
                <w:szCs w:val="14"/>
                <w:color w:val="auto"/>
              </w:rPr>
              <w:t>($476.56 per share)</w:t>
            </w: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8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Restricted stock amortization,</w:t>
            </w:r>
          </w:p>
        </w:tc>
        <w:tc>
          <w:tcPr>
            <w:tcW w:w="8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2,040</w:t>
            </w: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9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1,716</w:t>
            </w: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333333"/>
              </w:rPr>
              <w:t>1,716</w:t>
            </w:r>
          </w:p>
        </w:tc>
        <w:tc>
          <w:tcPr>
            <w:tcW w:w="0" w:type="dxa"/>
            <w:vAlign w:val="bottom"/>
          </w:tcPr>
          <w:p>
            <w:pPr>
              <w:spacing w:after="0"/>
              <w:rPr>
                <w:sz w:val="1"/>
                <w:szCs w:val="1"/>
                <w:color w:val="auto"/>
              </w:rPr>
            </w:pPr>
          </w:p>
        </w:tc>
      </w:tr>
      <w:tr>
        <w:trPr>
          <w:trHeight w:val="171"/>
        </w:trPr>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issuances and forfeitures</w:t>
            </w:r>
          </w:p>
        </w:tc>
        <w:tc>
          <w:tcPr>
            <w:tcW w:w="86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8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Conversion of Class B to Class</w:t>
            </w:r>
          </w:p>
        </w:tc>
        <w:tc>
          <w:tcPr>
            <w:tcW w:w="8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16</w:t>
            </w: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333333"/>
              </w:rPr>
              <w:t>-</w:t>
            </w:r>
          </w:p>
        </w:tc>
        <w:tc>
          <w:tcPr>
            <w:tcW w:w="0" w:type="dxa"/>
            <w:vAlign w:val="bottom"/>
          </w:tcPr>
          <w:p>
            <w:pPr>
              <w:spacing w:after="0"/>
              <w:rPr>
                <w:sz w:val="1"/>
                <w:szCs w:val="1"/>
                <w:color w:val="auto"/>
              </w:rPr>
            </w:pPr>
          </w:p>
        </w:tc>
      </w:tr>
      <w:tr>
        <w:trPr>
          <w:trHeight w:val="171"/>
        </w:trPr>
        <w:tc>
          <w:tcPr>
            <w:tcW w:w="1860" w:type="dxa"/>
            <w:vAlign w:val="bottom"/>
          </w:tcPr>
          <w:p>
            <w:pPr>
              <w:spacing w:after="0"/>
              <w:rPr>
                <w:sz w:val="20"/>
                <w:szCs w:val="20"/>
                <w:color w:val="auto"/>
              </w:rPr>
            </w:pPr>
            <w:r>
              <w:rPr>
                <w:rFonts w:ascii="Times New Roman" w:cs="Times New Roman" w:eastAsia="Times New Roman" w:hAnsi="Times New Roman"/>
                <w:sz w:val="14"/>
                <w:szCs w:val="14"/>
                <w:color w:val="auto"/>
              </w:rPr>
              <w:t>A common stock</w:t>
            </w:r>
          </w:p>
        </w:tc>
        <w:tc>
          <w:tcPr>
            <w:tcW w:w="8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8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Changes in noncontrolling</w:t>
            </w:r>
          </w:p>
        </w:tc>
        <w:tc>
          <w:tcPr>
            <w:tcW w:w="8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9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1,120</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333333"/>
              </w:rPr>
              <w:t>1,120</w:t>
            </w:r>
          </w:p>
        </w:tc>
        <w:tc>
          <w:tcPr>
            <w:tcW w:w="0" w:type="dxa"/>
            <w:vAlign w:val="bottom"/>
          </w:tcPr>
          <w:p>
            <w:pPr>
              <w:spacing w:after="0"/>
              <w:rPr>
                <w:sz w:val="1"/>
                <w:szCs w:val="1"/>
                <w:color w:val="auto"/>
              </w:rPr>
            </w:pPr>
          </w:p>
        </w:tc>
      </w:tr>
      <w:tr>
        <w:trPr>
          <w:trHeight w:val="171"/>
        </w:trPr>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w:t>
            </w:r>
          </w:p>
        </w:tc>
        <w:tc>
          <w:tcPr>
            <w:tcW w:w="8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1860" w:type="dxa"/>
            <w:vAlign w:val="bottom"/>
          </w:tcPr>
          <w:p>
            <w:pPr>
              <w:spacing w:after="0"/>
              <w:rPr>
                <w:sz w:val="20"/>
                <w:szCs w:val="20"/>
                <w:color w:val="auto"/>
              </w:rPr>
            </w:pPr>
            <w:r>
              <w:rPr>
                <w:rFonts w:ascii="Times New Roman" w:cs="Times New Roman" w:eastAsia="Times New Roman" w:hAnsi="Times New Roman"/>
                <w:sz w:val="14"/>
                <w:szCs w:val="14"/>
                <w:color w:val="auto"/>
              </w:rPr>
              <w:t>Share repurchases</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(90,507)</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(9,545)</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333333"/>
              </w:rPr>
              <w:t>(9,545)</w:t>
            </w:r>
          </w:p>
        </w:tc>
        <w:tc>
          <w:tcPr>
            <w:tcW w:w="0" w:type="dxa"/>
            <w:vAlign w:val="bottom"/>
          </w:tcPr>
          <w:p>
            <w:pPr>
              <w:spacing w:after="0"/>
              <w:rPr>
                <w:sz w:val="1"/>
                <w:szCs w:val="1"/>
                <w:color w:val="auto"/>
              </w:rPr>
            </w:pPr>
          </w:p>
        </w:tc>
      </w:tr>
      <w:tr>
        <w:trPr>
          <w:trHeight w:val="229"/>
        </w:trPr>
        <w:tc>
          <w:tcPr>
            <w:tcW w:w="18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w:t>
            </w:r>
          </w:p>
        </w:tc>
        <w:tc>
          <w:tcPr>
            <w:tcW w:w="86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w:t>
            </w: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(311)</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333333"/>
              </w:rPr>
              <w:t>(595)</w:t>
            </w:r>
          </w:p>
        </w:tc>
        <w:tc>
          <w:tcPr>
            <w:tcW w:w="0" w:type="dxa"/>
            <w:vAlign w:val="bottom"/>
          </w:tcPr>
          <w:p>
            <w:pPr>
              <w:spacing w:after="0"/>
              <w:rPr>
                <w:sz w:val="1"/>
                <w:szCs w:val="1"/>
                <w:color w:val="auto"/>
              </w:rPr>
            </w:pPr>
          </w:p>
        </w:tc>
      </w:tr>
      <w:tr>
        <w:trPr>
          <w:trHeight w:val="196"/>
        </w:trPr>
        <w:tc>
          <w:tcPr>
            <w:tcW w:w="1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Balance, April 30, 2026</w:t>
            </w:r>
          </w:p>
        </w:tc>
        <w:tc>
          <w:tcPr>
            <w:tcW w:w="8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333333"/>
              </w:rPr>
              <w:t>5,066,326</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333333"/>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333333"/>
              </w:rPr>
              <w:t>66</w:t>
            </w:r>
          </w:p>
        </w:tc>
        <w:tc>
          <w:tcPr>
            <w:tcW w:w="9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333333"/>
              </w:rPr>
              <w:t>785,008</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333333"/>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333333"/>
              </w:rPr>
              <w:t>8</w:t>
            </w:r>
          </w:p>
        </w:tc>
        <w:tc>
          <w:tcPr>
            <w:tcW w:w="9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333333"/>
              </w:rPr>
              <w:t>5,600</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333333"/>
              </w:rPr>
              <w:t>$</w:t>
            </w:r>
          </w:p>
        </w:tc>
        <w:tc>
          <w:tcPr>
            <w:tcW w:w="6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333333"/>
              </w:rPr>
              <w:t>135,299</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333333"/>
              </w:rPr>
              <w:t>$</w:t>
            </w:r>
          </w:p>
        </w:tc>
        <w:tc>
          <w:tcPr>
            <w:tcW w:w="6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333333"/>
              </w:rPr>
              <w:t>754,652</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333333"/>
              </w:rPr>
              <w:t>$</w:t>
            </w:r>
          </w:p>
        </w:tc>
        <w:tc>
          <w:tcPr>
            <w:tcW w:w="6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333333"/>
              </w:rPr>
              <w:t>142,563</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333333"/>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333333"/>
              </w:rPr>
              <w:t>(207,699)</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333333"/>
              </w:rPr>
              <w:t>$</w:t>
            </w:r>
          </w:p>
        </w:tc>
        <w:tc>
          <w:tcPr>
            <w:tcW w:w="9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333333"/>
              </w:rPr>
              <w:t>2,704</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333333"/>
              </w:rPr>
              <w:t>$ 827,593</w:t>
            </w:r>
          </w:p>
        </w:tc>
        <w:tc>
          <w:tcPr>
            <w:tcW w:w="0" w:type="dxa"/>
            <w:vAlign w:val="bottom"/>
          </w:tcPr>
          <w:p>
            <w:pPr>
              <w:spacing w:after="0"/>
              <w:rPr>
                <w:sz w:val="1"/>
                <w:szCs w:val="1"/>
                <w:color w:val="auto"/>
              </w:rPr>
            </w:pPr>
          </w:p>
        </w:tc>
      </w:tr>
      <w:tr>
        <w:trPr>
          <w:trHeight w:val="20"/>
        </w:trPr>
        <w:tc>
          <w:tcPr>
            <w:tcW w:w="18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 (unaudited).</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HOVNANIAN ENTERPRISES, INC. AND SUBSIDIARIES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CHANGES IN EQUITY</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THREE AND SIX MONTH PERIODS ENDED APRIL 30, 2025</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data)</w:t>
      </w: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58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3"/>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A Common Stock</w:t>
            </w:r>
          </w:p>
        </w:tc>
        <w:tc>
          <w:tcPr>
            <w:tcW w:w="1920" w:type="dxa"/>
            <w:vAlign w:val="bottom"/>
            <w:tcBorders>
              <w:bottom w:val="single" w:sz="8" w:color="auto"/>
            </w:tcBorders>
            <w:gridSpan w:val="3"/>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B Common Stock</w:t>
            </w:r>
          </w:p>
        </w:tc>
        <w:tc>
          <w:tcPr>
            <w:tcW w:w="1900" w:type="dxa"/>
            <w:vAlign w:val="bottom"/>
            <w:tcBorders>
              <w:bottom w:val="single" w:sz="8" w:color="auto"/>
            </w:tcBorders>
            <w:gridSpan w:val="3"/>
          </w:tcPr>
          <w:p>
            <w:pPr>
              <w:ind w:left="48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580" w:type="dxa"/>
            <w:vAlign w:val="bottom"/>
          </w:tcPr>
          <w:p>
            <w:pPr>
              <w:spacing w:after="0"/>
              <w:rPr>
                <w:sz w:val="10"/>
                <w:szCs w:val="10"/>
                <w:color w:val="auto"/>
              </w:rPr>
            </w:pPr>
          </w:p>
        </w:tc>
        <w:tc>
          <w:tcPr>
            <w:tcW w:w="8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Shares</w:t>
            </w: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20" w:type="dxa"/>
            <w:vAlign w:val="bottom"/>
          </w:tcPr>
          <w:p>
            <w:pPr>
              <w:spacing w:after="0"/>
              <w:rPr>
                <w:sz w:val="10"/>
                <w:szCs w:val="10"/>
                <w:color w:val="auto"/>
              </w:rPr>
            </w:pPr>
          </w:p>
        </w:tc>
        <w:tc>
          <w:tcPr>
            <w:tcW w:w="80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00" w:type="dxa"/>
            <w:vAlign w:val="bottom"/>
          </w:tcPr>
          <w:p>
            <w:pPr>
              <w:spacing w:after="0"/>
              <w:rPr>
                <w:sz w:val="10"/>
                <w:szCs w:val="10"/>
                <w:color w:val="auto"/>
              </w:rPr>
            </w:pPr>
          </w:p>
        </w:tc>
        <w:tc>
          <w:tcPr>
            <w:tcW w:w="80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5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Issued and</w:t>
            </w:r>
          </w:p>
        </w:tc>
        <w:tc>
          <w:tcPr>
            <w:tcW w:w="240" w:type="dxa"/>
            <w:vAlign w:val="bottom"/>
          </w:tcPr>
          <w:p>
            <w:pPr>
              <w:spacing w:after="0"/>
              <w:rPr>
                <w:sz w:val="12"/>
                <w:szCs w:val="12"/>
                <w:color w:val="auto"/>
              </w:rPr>
            </w:pPr>
          </w:p>
        </w:tc>
        <w:tc>
          <w:tcPr>
            <w:tcW w:w="7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Issued and</w:t>
            </w:r>
          </w:p>
        </w:tc>
        <w:tc>
          <w:tcPr>
            <w:tcW w:w="220" w:type="dxa"/>
            <w:vAlign w:val="bottom"/>
          </w:tcPr>
          <w:p>
            <w:pPr>
              <w:spacing w:after="0"/>
              <w:rPr>
                <w:sz w:val="12"/>
                <w:szCs w:val="12"/>
                <w:color w:val="auto"/>
              </w:rPr>
            </w:pPr>
          </w:p>
        </w:tc>
        <w:tc>
          <w:tcPr>
            <w:tcW w:w="7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Issued and</w:t>
            </w:r>
          </w:p>
        </w:tc>
        <w:tc>
          <w:tcPr>
            <w:tcW w:w="220" w:type="dxa"/>
            <w:vAlign w:val="bottom"/>
          </w:tcPr>
          <w:p>
            <w:pPr>
              <w:spacing w:after="0"/>
              <w:rPr>
                <w:sz w:val="12"/>
                <w:szCs w:val="12"/>
                <w:color w:val="auto"/>
              </w:rPr>
            </w:pPr>
          </w:p>
        </w:tc>
        <w:tc>
          <w:tcPr>
            <w:tcW w:w="7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15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October 31, 2024</w:t>
            </w: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5,325,615</w:t>
            </w:r>
          </w:p>
        </w:tc>
        <w:tc>
          <w:tcPr>
            <w:tcW w:w="2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64</w:t>
            </w:r>
          </w:p>
        </w:tc>
        <w:tc>
          <w:tcPr>
            <w:tcW w:w="9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729,354</w:t>
            </w:r>
          </w:p>
        </w:tc>
        <w:tc>
          <w:tcPr>
            <w:tcW w:w="2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w:t>
            </w:r>
          </w:p>
        </w:tc>
        <w:tc>
          <w:tcPr>
            <w:tcW w:w="9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5,600</w:t>
            </w:r>
          </w:p>
        </w:tc>
        <w:tc>
          <w:tcPr>
            <w:tcW w:w="2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135,299</w:t>
            </w:r>
          </w:p>
        </w:tc>
        <w:tc>
          <w:tcPr>
            <w:tcW w:w="2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749,752</w:t>
            </w:r>
          </w:p>
        </w:tc>
        <w:tc>
          <w:tcPr>
            <w:tcW w:w="2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74,136</w:t>
            </w:r>
          </w:p>
        </w:tc>
        <w:tc>
          <w:tcPr>
            <w:tcW w:w="2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(158,910)</w:t>
            </w:r>
          </w:p>
        </w:tc>
        <w:tc>
          <w:tcPr>
            <w:tcW w:w="2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333333"/>
              </w:rPr>
              <w:t>800,349</w:t>
            </w:r>
          </w:p>
        </w:tc>
        <w:tc>
          <w:tcPr>
            <w:tcW w:w="0" w:type="dxa"/>
            <w:vAlign w:val="bottom"/>
          </w:tcPr>
          <w:p>
            <w:pPr>
              <w:spacing w:after="0"/>
              <w:rPr>
                <w:sz w:val="1"/>
                <w:szCs w:val="1"/>
                <w:color w:val="auto"/>
              </w:rPr>
            </w:pPr>
          </w:p>
        </w:tc>
      </w:tr>
      <w:tr>
        <w:trPr>
          <w:trHeight w:val="126"/>
        </w:trPr>
        <w:tc>
          <w:tcPr>
            <w:tcW w:w="15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Stock options,</w:t>
            </w:r>
          </w:p>
        </w:tc>
        <w:tc>
          <w:tcPr>
            <w:tcW w:w="8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476</w:t>
            </w: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333333"/>
              </w:rPr>
              <w:t>-</w:t>
            </w:r>
          </w:p>
        </w:tc>
        <w:tc>
          <w:tcPr>
            <w:tcW w:w="0" w:type="dxa"/>
            <w:vAlign w:val="bottom"/>
          </w:tcPr>
          <w:p>
            <w:pPr>
              <w:spacing w:after="0"/>
              <w:rPr>
                <w:sz w:val="1"/>
                <w:szCs w:val="1"/>
                <w:color w:val="auto"/>
              </w:rPr>
            </w:pPr>
          </w:p>
        </w:tc>
      </w:tr>
      <w:tr>
        <w:trPr>
          <w:trHeight w:val="171"/>
        </w:trPr>
        <w:tc>
          <w:tcPr>
            <w:tcW w:w="1580" w:type="dxa"/>
            <w:vAlign w:val="bottom"/>
          </w:tcPr>
          <w:p>
            <w:pPr>
              <w:spacing w:after="0"/>
              <w:rPr>
                <w:sz w:val="20"/>
                <w:szCs w:val="20"/>
                <w:color w:val="auto"/>
              </w:rPr>
            </w:pPr>
            <w:r>
              <w:rPr>
                <w:rFonts w:ascii="Times New Roman" w:cs="Times New Roman" w:eastAsia="Times New Roman" w:hAnsi="Times New Roman"/>
                <w:sz w:val="14"/>
                <w:szCs w:val="14"/>
                <w:color w:val="auto"/>
              </w:rPr>
              <w:t>amortization and issuances</w:t>
            </w:r>
          </w:p>
        </w:tc>
        <w:tc>
          <w:tcPr>
            <w:tcW w:w="8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5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Preferred dividend</w:t>
            </w:r>
          </w:p>
        </w:tc>
        <w:tc>
          <w:tcPr>
            <w:tcW w:w="8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5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declared ($476.56 per</w:t>
            </w:r>
          </w:p>
        </w:tc>
        <w:tc>
          <w:tcPr>
            <w:tcW w:w="8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(2,669)</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333333"/>
              </w:rPr>
              <w:t>(2,669)</w:t>
            </w:r>
          </w:p>
        </w:tc>
        <w:tc>
          <w:tcPr>
            <w:tcW w:w="0" w:type="dxa"/>
            <w:vAlign w:val="bottom"/>
          </w:tcPr>
          <w:p>
            <w:pPr>
              <w:spacing w:after="0"/>
              <w:rPr>
                <w:sz w:val="1"/>
                <w:szCs w:val="1"/>
                <w:color w:val="auto"/>
              </w:rPr>
            </w:pPr>
          </w:p>
        </w:tc>
      </w:tr>
      <w:tr>
        <w:trPr>
          <w:trHeight w:val="171"/>
        </w:trPr>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w:t>
            </w:r>
          </w:p>
        </w:tc>
        <w:tc>
          <w:tcPr>
            <w:tcW w:w="8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5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Restricted stock</w:t>
            </w: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5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amortization, issuances</w:t>
            </w:r>
          </w:p>
        </w:tc>
        <w:tc>
          <w:tcPr>
            <w:tcW w:w="8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666</w:t>
            </w: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3,605</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333333"/>
              </w:rPr>
              <w:t>3,605</w:t>
            </w:r>
          </w:p>
        </w:tc>
        <w:tc>
          <w:tcPr>
            <w:tcW w:w="0" w:type="dxa"/>
            <w:vAlign w:val="bottom"/>
          </w:tcPr>
          <w:p>
            <w:pPr>
              <w:spacing w:after="0"/>
              <w:rPr>
                <w:sz w:val="1"/>
                <w:szCs w:val="1"/>
                <w:color w:val="auto"/>
              </w:rPr>
            </w:pPr>
          </w:p>
        </w:tc>
      </w:tr>
      <w:tr>
        <w:trPr>
          <w:trHeight w:val="171"/>
        </w:trPr>
        <w:tc>
          <w:tcPr>
            <w:tcW w:w="1580" w:type="dxa"/>
            <w:vAlign w:val="bottom"/>
          </w:tcPr>
          <w:p>
            <w:pPr>
              <w:spacing w:after="0"/>
              <w:rPr>
                <w:sz w:val="20"/>
                <w:szCs w:val="20"/>
                <w:color w:val="auto"/>
              </w:rPr>
            </w:pPr>
            <w:r>
              <w:rPr>
                <w:rFonts w:ascii="Times New Roman" w:cs="Times New Roman" w:eastAsia="Times New Roman" w:hAnsi="Times New Roman"/>
                <w:sz w:val="14"/>
                <w:szCs w:val="14"/>
                <w:color w:val="auto"/>
              </w:rPr>
              <w:t>and forfeitures</w:t>
            </w:r>
          </w:p>
        </w:tc>
        <w:tc>
          <w:tcPr>
            <w:tcW w:w="8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5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Conversion of Class B to</w:t>
            </w:r>
          </w:p>
        </w:tc>
        <w:tc>
          <w:tcPr>
            <w:tcW w:w="8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w:t>
            </w:r>
          </w:p>
        </w:tc>
        <w:tc>
          <w:tcPr>
            <w:tcW w:w="2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333333"/>
              </w:rPr>
              <w:t>-</w:t>
            </w:r>
          </w:p>
        </w:tc>
        <w:tc>
          <w:tcPr>
            <w:tcW w:w="0" w:type="dxa"/>
            <w:vAlign w:val="bottom"/>
          </w:tcPr>
          <w:p>
            <w:pPr>
              <w:spacing w:after="0"/>
              <w:rPr>
                <w:sz w:val="1"/>
                <w:szCs w:val="1"/>
                <w:color w:val="auto"/>
              </w:rPr>
            </w:pPr>
          </w:p>
        </w:tc>
      </w:tr>
      <w:tr>
        <w:trPr>
          <w:trHeight w:val="171"/>
        </w:trPr>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Class A common stock</w:t>
            </w:r>
          </w:p>
        </w:tc>
        <w:tc>
          <w:tcPr>
            <w:tcW w:w="86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1580" w:type="dxa"/>
            <w:vAlign w:val="bottom"/>
          </w:tcPr>
          <w:p>
            <w:pPr>
              <w:spacing w:after="0"/>
              <w:rPr>
                <w:sz w:val="20"/>
                <w:szCs w:val="20"/>
                <w:color w:val="auto"/>
              </w:rPr>
            </w:pPr>
            <w:r>
              <w:rPr>
                <w:rFonts w:ascii="Times New Roman" w:cs="Times New Roman" w:eastAsia="Times New Roman" w:hAnsi="Times New Roman"/>
                <w:sz w:val="14"/>
                <w:szCs w:val="14"/>
                <w:color w:val="auto"/>
              </w:rPr>
              <w:t>Share repurchases</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(131,460)</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(18,050)</w:t>
            </w: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333333"/>
              </w:rPr>
              <w:t>(18,050)</w:t>
            </w:r>
          </w:p>
        </w:tc>
        <w:tc>
          <w:tcPr>
            <w:tcW w:w="0" w:type="dxa"/>
            <w:vAlign w:val="bottom"/>
          </w:tcPr>
          <w:p>
            <w:pPr>
              <w:spacing w:after="0"/>
              <w:rPr>
                <w:sz w:val="1"/>
                <w:szCs w:val="1"/>
                <w:color w:val="auto"/>
              </w:rPr>
            </w:pPr>
          </w:p>
        </w:tc>
      </w:tr>
      <w:tr>
        <w:trPr>
          <w:trHeight w:val="229"/>
        </w:trPr>
        <w:tc>
          <w:tcPr>
            <w:tcW w:w="15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w:t>
            </w:r>
          </w:p>
        </w:tc>
        <w:tc>
          <w:tcPr>
            <w:tcW w:w="86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28,191</w:t>
            </w: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333333"/>
              </w:rPr>
              <w:t>28,191</w:t>
            </w:r>
          </w:p>
        </w:tc>
        <w:tc>
          <w:tcPr>
            <w:tcW w:w="0" w:type="dxa"/>
            <w:vAlign w:val="bottom"/>
          </w:tcPr>
          <w:p>
            <w:pPr>
              <w:spacing w:after="0"/>
              <w:rPr>
                <w:sz w:val="1"/>
                <w:szCs w:val="1"/>
                <w:color w:val="auto"/>
              </w:rPr>
            </w:pPr>
          </w:p>
        </w:tc>
      </w:tr>
      <w:tr>
        <w:trPr>
          <w:trHeight w:val="236"/>
        </w:trPr>
        <w:tc>
          <w:tcPr>
            <w:tcW w:w="1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Balance, January 31, 2025</w:t>
            </w:r>
          </w:p>
        </w:tc>
        <w:tc>
          <w:tcPr>
            <w:tcW w:w="8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333333"/>
              </w:rPr>
              <w:t>5,195,302</w:t>
            </w:r>
          </w:p>
        </w:tc>
        <w:tc>
          <w:tcPr>
            <w:tcW w:w="2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333333"/>
              </w:rPr>
              <w:t>$</w:t>
            </w:r>
          </w:p>
        </w:tc>
        <w:tc>
          <w:tcPr>
            <w:tcW w:w="7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333333"/>
              </w:rPr>
              <w:t>64</w:t>
            </w:r>
          </w:p>
        </w:tc>
        <w:tc>
          <w:tcPr>
            <w:tcW w:w="9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333333"/>
              </w:rPr>
              <w:t>729,349</w:t>
            </w:r>
          </w:p>
        </w:tc>
        <w:tc>
          <w:tcPr>
            <w:tcW w:w="2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333333"/>
              </w:rPr>
              <w:t>$</w:t>
            </w:r>
          </w:p>
        </w:tc>
        <w:tc>
          <w:tcPr>
            <w:tcW w:w="7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333333"/>
              </w:rPr>
              <w:t>8</w:t>
            </w:r>
          </w:p>
        </w:tc>
        <w:tc>
          <w:tcPr>
            <w:tcW w:w="9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4"/>
                <w:szCs w:val="14"/>
                <w:color w:val="333333"/>
              </w:rPr>
              <w:t>5,600</w:t>
            </w:r>
          </w:p>
        </w:tc>
        <w:tc>
          <w:tcPr>
            <w:tcW w:w="2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333333"/>
              </w:rPr>
              <w:t>$</w:t>
            </w:r>
          </w:p>
        </w:tc>
        <w:tc>
          <w:tcPr>
            <w:tcW w:w="7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333333"/>
              </w:rPr>
              <w:t>135,299</w:t>
            </w:r>
          </w:p>
        </w:tc>
        <w:tc>
          <w:tcPr>
            <w:tcW w:w="2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333333"/>
              </w:rPr>
              <w:t>$</w:t>
            </w:r>
          </w:p>
        </w:tc>
        <w:tc>
          <w:tcPr>
            <w:tcW w:w="7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333333"/>
              </w:rPr>
              <w:t>753,357</w:t>
            </w:r>
          </w:p>
        </w:tc>
        <w:tc>
          <w:tcPr>
            <w:tcW w:w="2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333333"/>
              </w:rPr>
              <w:t>$</w:t>
            </w:r>
          </w:p>
        </w:tc>
        <w:tc>
          <w:tcPr>
            <w:tcW w:w="8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333333"/>
              </w:rPr>
              <w:t>99,658</w:t>
            </w:r>
          </w:p>
        </w:tc>
        <w:tc>
          <w:tcPr>
            <w:tcW w:w="2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333333"/>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333333"/>
              </w:rPr>
              <w:t>(176,960)</w:t>
            </w:r>
          </w:p>
        </w:tc>
        <w:tc>
          <w:tcPr>
            <w:tcW w:w="2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333333"/>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333333"/>
              </w:rPr>
              <w:t>811,426</w:t>
            </w:r>
          </w:p>
        </w:tc>
        <w:tc>
          <w:tcPr>
            <w:tcW w:w="0" w:type="dxa"/>
            <w:vAlign w:val="bottom"/>
          </w:tcPr>
          <w:p>
            <w:pPr>
              <w:spacing w:after="0"/>
              <w:rPr>
                <w:sz w:val="1"/>
                <w:szCs w:val="1"/>
                <w:color w:val="auto"/>
              </w:rPr>
            </w:pPr>
          </w:p>
        </w:tc>
      </w:tr>
      <w:tr>
        <w:trPr>
          <w:trHeight w:val="106"/>
        </w:trPr>
        <w:tc>
          <w:tcPr>
            <w:tcW w:w="158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2"/>
                <w:szCs w:val="12"/>
                <w:color w:val="auto"/>
              </w:rPr>
              <w:t>Stock options,</w:t>
            </w:r>
          </w:p>
        </w:tc>
        <w:tc>
          <w:tcPr>
            <w:tcW w:w="8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333333"/>
              </w:rPr>
              <w:t>-</w:t>
            </w:r>
          </w:p>
        </w:tc>
        <w:tc>
          <w:tcPr>
            <w:tcW w:w="0" w:type="dxa"/>
            <w:vAlign w:val="bottom"/>
          </w:tcPr>
          <w:p>
            <w:pPr>
              <w:spacing w:after="0"/>
              <w:rPr>
                <w:sz w:val="1"/>
                <w:szCs w:val="1"/>
                <w:color w:val="auto"/>
              </w:rPr>
            </w:pPr>
          </w:p>
        </w:tc>
      </w:tr>
      <w:tr>
        <w:trPr>
          <w:trHeight w:val="171"/>
        </w:trPr>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amortization and issuances</w:t>
            </w:r>
          </w:p>
        </w:tc>
        <w:tc>
          <w:tcPr>
            <w:tcW w:w="8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5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Preferred dividend</w:t>
            </w: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5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declared ($476.56 per</w:t>
            </w: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(2,669)</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333333"/>
              </w:rPr>
              <w:t>(2,669)</w:t>
            </w:r>
          </w:p>
        </w:tc>
        <w:tc>
          <w:tcPr>
            <w:tcW w:w="0" w:type="dxa"/>
            <w:vAlign w:val="bottom"/>
          </w:tcPr>
          <w:p>
            <w:pPr>
              <w:spacing w:after="0"/>
              <w:rPr>
                <w:sz w:val="1"/>
                <w:szCs w:val="1"/>
                <w:color w:val="auto"/>
              </w:rPr>
            </w:pPr>
          </w:p>
        </w:tc>
      </w:tr>
      <w:tr>
        <w:trPr>
          <w:trHeight w:val="171"/>
        </w:trPr>
        <w:tc>
          <w:tcPr>
            <w:tcW w:w="1580" w:type="dxa"/>
            <w:vAlign w:val="bottom"/>
          </w:tcPr>
          <w:p>
            <w:pPr>
              <w:spacing w:after="0"/>
              <w:rPr>
                <w:sz w:val="20"/>
                <w:szCs w:val="20"/>
                <w:color w:val="auto"/>
              </w:rPr>
            </w:pPr>
            <w:r>
              <w:rPr>
                <w:rFonts w:ascii="Times New Roman" w:cs="Times New Roman" w:eastAsia="Times New Roman" w:hAnsi="Times New Roman"/>
                <w:sz w:val="14"/>
                <w:szCs w:val="14"/>
                <w:color w:val="auto"/>
              </w:rPr>
              <w:t>share)</w:t>
            </w: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5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Restricted stock</w:t>
            </w:r>
          </w:p>
        </w:tc>
        <w:tc>
          <w:tcPr>
            <w:tcW w:w="8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5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amortization, issuances</w:t>
            </w:r>
          </w:p>
        </w:tc>
        <w:tc>
          <w:tcPr>
            <w:tcW w:w="8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4,233</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333333"/>
              </w:rPr>
              <w:t>4,233</w:t>
            </w:r>
          </w:p>
        </w:tc>
        <w:tc>
          <w:tcPr>
            <w:tcW w:w="0" w:type="dxa"/>
            <w:vAlign w:val="bottom"/>
          </w:tcPr>
          <w:p>
            <w:pPr>
              <w:spacing w:after="0"/>
              <w:rPr>
                <w:sz w:val="1"/>
                <w:szCs w:val="1"/>
                <w:color w:val="auto"/>
              </w:rPr>
            </w:pPr>
          </w:p>
        </w:tc>
      </w:tr>
      <w:tr>
        <w:trPr>
          <w:trHeight w:val="171"/>
        </w:trPr>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and forfeitures</w:t>
            </w:r>
          </w:p>
        </w:tc>
        <w:tc>
          <w:tcPr>
            <w:tcW w:w="8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5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Conversion of Class B to</w:t>
            </w:r>
          </w:p>
        </w:tc>
        <w:tc>
          <w:tcPr>
            <w:tcW w:w="8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4</w:t>
            </w: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333333"/>
              </w:rPr>
              <w:t>-</w:t>
            </w:r>
          </w:p>
        </w:tc>
        <w:tc>
          <w:tcPr>
            <w:tcW w:w="0" w:type="dxa"/>
            <w:vAlign w:val="bottom"/>
          </w:tcPr>
          <w:p>
            <w:pPr>
              <w:spacing w:after="0"/>
              <w:rPr>
                <w:sz w:val="1"/>
                <w:szCs w:val="1"/>
                <w:color w:val="auto"/>
              </w:rPr>
            </w:pPr>
          </w:p>
        </w:tc>
      </w:tr>
      <w:tr>
        <w:trPr>
          <w:trHeight w:val="171"/>
        </w:trPr>
        <w:tc>
          <w:tcPr>
            <w:tcW w:w="1580" w:type="dxa"/>
            <w:vAlign w:val="bottom"/>
          </w:tcPr>
          <w:p>
            <w:pPr>
              <w:spacing w:after="0"/>
              <w:rPr>
                <w:sz w:val="20"/>
                <w:szCs w:val="20"/>
                <w:color w:val="auto"/>
              </w:rPr>
            </w:pPr>
            <w:r>
              <w:rPr>
                <w:rFonts w:ascii="Times New Roman" w:cs="Times New Roman" w:eastAsia="Times New Roman" w:hAnsi="Times New Roman"/>
                <w:sz w:val="14"/>
                <w:szCs w:val="14"/>
                <w:color w:val="auto"/>
              </w:rPr>
              <w:t>Class A common stock</w:t>
            </w:r>
          </w:p>
        </w:tc>
        <w:tc>
          <w:tcPr>
            <w:tcW w:w="8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 repurchases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(126,448)</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(12,346)</w:t>
            </w: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333333"/>
              </w:rPr>
              <w:t>(12,346)</w:t>
            </w:r>
          </w:p>
        </w:tc>
        <w:tc>
          <w:tcPr>
            <w:tcW w:w="0" w:type="dxa"/>
            <w:vAlign w:val="bottom"/>
          </w:tcPr>
          <w:p>
            <w:pPr>
              <w:spacing w:after="0"/>
              <w:rPr>
                <w:sz w:val="1"/>
                <w:szCs w:val="1"/>
                <w:color w:val="auto"/>
              </w:rPr>
            </w:pPr>
          </w:p>
        </w:tc>
      </w:tr>
      <w:tr>
        <w:trPr>
          <w:trHeight w:val="230"/>
        </w:trPr>
        <w:tc>
          <w:tcPr>
            <w:tcW w:w="1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Net income</w:t>
            </w:r>
          </w:p>
        </w:tc>
        <w:tc>
          <w:tcPr>
            <w:tcW w:w="8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19,726</w:t>
            </w: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333333"/>
              </w:rPr>
              <w:t>19,726</w:t>
            </w:r>
          </w:p>
        </w:tc>
        <w:tc>
          <w:tcPr>
            <w:tcW w:w="0" w:type="dxa"/>
            <w:vAlign w:val="bottom"/>
          </w:tcPr>
          <w:p>
            <w:pPr>
              <w:spacing w:after="0"/>
              <w:rPr>
                <w:sz w:val="1"/>
                <w:szCs w:val="1"/>
                <w:color w:val="auto"/>
              </w:rPr>
            </w:pPr>
          </w:p>
        </w:tc>
      </w:tr>
      <w:tr>
        <w:trPr>
          <w:trHeight w:val="196"/>
        </w:trPr>
        <w:tc>
          <w:tcPr>
            <w:tcW w:w="15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April 30, 2025</w:t>
            </w: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333333"/>
              </w:rPr>
              <w:t>5,068,858</w:t>
            </w:r>
          </w:p>
        </w:tc>
        <w:tc>
          <w:tcPr>
            <w:tcW w:w="2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333333"/>
              </w:rPr>
              <w:t>$</w:t>
            </w: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333333"/>
              </w:rPr>
              <w:t>64</w:t>
            </w:r>
          </w:p>
        </w:tc>
        <w:tc>
          <w:tcPr>
            <w:tcW w:w="94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333333"/>
              </w:rPr>
              <w:t>729,345</w:t>
            </w:r>
          </w:p>
        </w:tc>
        <w:tc>
          <w:tcPr>
            <w:tcW w:w="2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333333"/>
              </w:rPr>
              <w:t>$</w:t>
            </w: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333333"/>
              </w:rPr>
              <w:t>8</w:t>
            </w:r>
          </w:p>
        </w:tc>
        <w:tc>
          <w:tcPr>
            <w:tcW w:w="92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333333"/>
              </w:rPr>
              <w:t>5,600</w:t>
            </w:r>
          </w:p>
        </w:tc>
        <w:tc>
          <w:tcPr>
            <w:tcW w:w="2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333333"/>
              </w:rPr>
              <w:t>$</w:t>
            </w: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333333"/>
              </w:rPr>
              <w:t>135,299</w:t>
            </w:r>
          </w:p>
        </w:tc>
        <w:tc>
          <w:tcPr>
            <w:tcW w:w="2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333333"/>
              </w:rPr>
              <w:t>$</w:t>
            </w: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333333"/>
              </w:rPr>
              <w:t>757,590</w:t>
            </w:r>
          </w:p>
        </w:tc>
        <w:tc>
          <w:tcPr>
            <w:tcW w:w="2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333333"/>
              </w:rPr>
              <w:t>$</w:t>
            </w: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333333"/>
              </w:rPr>
              <w:t>116,715</w:t>
            </w:r>
          </w:p>
        </w:tc>
        <w:tc>
          <w:tcPr>
            <w:tcW w:w="2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333333"/>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333333"/>
              </w:rPr>
              <w:t>(189,306)</w:t>
            </w:r>
          </w:p>
        </w:tc>
        <w:tc>
          <w:tcPr>
            <w:tcW w:w="26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333333"/>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333333"/>
              </w:rPr>
              <w:t>820,370</w:t>
            </w:r>
          </w:p>
        </w:tc>
        <w:tc>
          <w:tcPr>
            <w:tcW w:w="0" w:type="dxa"/>
            <w:vAlign w:val="bottom"/>
          </w:tcPr>
          <w:p>
            <w:pPr>
              <w:spacing w:after="0"/>
              <w:rPr>
                <w:sz w:val="1"/>
                <w:szCs w:val="1"/>
                <w:color w:val="auto"/>
              </w:rPr>
            </w:pPr>
          </w:p>
        </w:tc>
      </w:tr>
      <w:tr>
        <w:trPr>
          <w:trHeight w:val="20"/>
        </w:trPr>
        <w:tc>
          <w:tcPr>
            <w:tcW w:w="1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 (unaudited).</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HOVNANIAN ENTERPRISES,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68" w:lineRule="exact"/>
        <w:rPr>
          <w:sz w:val="20"/>
          <w:szCs w:val="20"/>
          <w:color w:val="auto"/>
        </w:rPr>
      </w:pPr>
    </w:p>
    <w:p>
      <w:pPr>
        <w:jc w:val="center"/>
        <w:ind w:left="8420"/>
        <w:spacing w:after="0"/>
        <w:rPr>
          <w:sz w:val="20"/>
          <w:szCs w:val="20"/>
          <w:color w:val="auto"/>
        </w:rPr>
      </w:pPr>
      <w:r>
        <w:rPr>
          <w:rFonts w:ascii="Times New Roman" w:cs="Times New Roman" w:eastAsia="Times New Roman" w:hAnsi="Times New Roman"/>
          <w:sz w:val="18"/>
          <w:szCs w:val="18"/>
          <w:b w:val="1"/>
          <w:bCs w:val="1"/>
          <w:color w:val="auto"/>
        </w:rPr>
        <w:t>Six Months Ended</w:t>
      </w:r>
    </w:p>
    <w:p>
      <w:pPr>
        <w:spacing w:after="0" w:line="31" w:lineRule="exact"/>
        <w:rPr>
          <w:sz w:val="20"/>
          <w:szCs w:val="20"/>
          <w:color w:val="auto"/>
        </w:rPr>
      </w:pPr>
    </w:p>
    <w:p>
      <w:pPr>
        <w:jc w:val="center"/>
        <w:ind w:left="8420"/>
        <w:spacing w:after="0"/>
        <w:rPr>
          <w:sz w:val="20"/>
          <w:szCs w:val="20"/>
          <w:color w:val="auto"/>
        </w:rPr>
      </w:pPr>
      <w:r>
        <w:rPr>
          <w:rFonts w:ascii="Times New Roman" w:cs="Times New Roman" w:eastAsia="Times New Roman" w:hAnsi="Times New Roman"/>
          <w:sz w:val="18"/>
          <w:szCs w:val="18"/>
          <w:b w:val="1"/>
          <w:bCs w:val="1"/>
          <w:color w:val="auto"/>
        </w:rPr>
        <w:t>April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6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0"/>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333333"/>
              </w:rPr>
              <w:t>20,264</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33333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47,917</w:t>
            </w:r>
          </w:p>
        </w:tc>
      </w:tr>
      <w:tr>
        <w:trPr>
          <w:trHeight w:val="216"/>
        </w:trPr>
        <w:tc>
          <w:tcPr>
            <w:tcW w:w="7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(used in) operating activities:</w:t>
            </w:r>
          </w:p>
        </w:tc>
        <w:tc>
          <w:tcPr>
            <w:tcW w:w="10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7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w:t>
            </w:r>
          </w:p>
        </w:tc>
        <w:tc>
          <w:tcPr>
            <w:tcW w:w="10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6,813</w:t>
            </w: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5,321</w:t>
            </w:r>
          </w:p>
        </w:tc>
      </w:tr>
      <w:tr>
        <w:trPr>
          <w:trHeight w:val="216"/>
        </w:trPr>
        <w:tc>
          <w:tcPr>
            <w:tcW w:w="7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3,401</w:t>
            </w: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7,881</w:t>
            </w:r>
          </w:p>
        </w:tc>
      </w:tr>
      <w:tr>
        <w:trPr>
          <w:trHeight w:val="216"/>
        </w:trPr>
        <w:tc>
          <w:tcPr>
            <w:tcW w:w="7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debt discounts, premiums and deferred financing costs</w:t>
            </w:r>
          </w:p>
        </w:tc>
        <w:tc>
          <w:tcPr>
            <w:tcW w:w="10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4,750</w:t>
            </w: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(1,384)</w:t>
            </w:r>
          </w:p>
        </w:tc>
      </w:tr>
      <w:tr>
        <w:trPr>
          <w:trHeight w:val="216"/>
        </w:trPr>
        <w:tc>
          <w:tcPr>
            <w:tcW w:w="7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 on sale of property and assets</w:t>
            </w:r>
          </w:p>
        </w:tc>
        <w:tc>
          <w:tcPr>
            <w:tcW w:w="10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(3,732)</w:t>
            </w: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w:t>
            </w:r>
          </w:p>
        </w:tc>
      </w:tr>
      <w:tr>
        <w:trPr>
          <w:trHeight w:val="216"/>
        </w:trPr>
        <w:tc>
          <w:tcPr>
            <w:tcW w:w="7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Gain on consolidation of joint venture</w:t>
            </w:r>
          </w:p>
        </w:tc>
        <w:tc>
          <w:tcPr>
            <w:tcW w:w="10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(26,830)</w:t>
            </w: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 on assets contributed to joint venture</w:t>
            </w:r>
          </w:p>
        </w:tc>
        <w:tc>
          <w:tcPr>
            <w:tcW w:w="10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(22,683)</w:t>
            </w:r>
          </w:p>
        </w:tc>
      </w:tr>
      <w:tr>
        <w:trPr>
          <w:trHeight w:val="216"/>
        </w:trPr>
        <w:tc>
          <w:tcPr>
            <w:tcW w:w="7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from unconsolidated joint ventures</w:t>
            </w:r>
          </w:p>
        </w:tc>
        <w:tc>
          <w:tcPr>
            <w:tcW w:w="10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(2,334)</w:t>
            </w: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(18,248)</w:t>
            </w:r>
          </w:p>
        </w:tc>
      </w:tr>
      <w:tr>
        <w:trPr>
          <w:trHeight w:val="216"/>
        </w:trPr>
        <w:tc>
          <w:tcPr>
            <w:tcW w:w="7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Distributions of earnings from unconsolidated joint ventures</w:t>
            </w:r>
          </w:p>
        </w:tc>
        <w:tc>
          <w:tcPr>
            <w:tcW w:w="10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2,160</w:t>
            </w:r>
          </w:p>
        </w:tc>
      </w:tr>
      <w:tr>
        <w:trPr>
          <w:trHeight w:val="216"/>
        </w:trPr>
        <w:tc>
          <w:tcPr>
            <w:tcW w:w="7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Gain on extinguishment of debt</w:t>
            </w:r>
          </w:p>
        </w:tc>
        <w:tc>
          <w:tcPr>
            <w:tcW w:w="10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r>
      <w:tr>
        <w:trPr>
          <w:trHeight w:val="216"/>
        </w:trPr>
        <w:tc>
          <w:tcPr>
            <w:tcW w:w="76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Inventory impairments and land option write-offs</w:t>
            </w:r>
          </w:p>
        </w:tc>
        <w:tc>
          <w:tcPr>
            <w:tcW w:w="10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11,109</w:t>
            </w: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4,096</w:t>
            </w:r>
          </w:p>
        </w:tc>
      </w:tr>
      <w:tr>
        <w:trPr>
          <w:trHeight w:val="216"/>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Decrease (increase) in assets:</w:t>
            </w: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76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Inventories</w:t>
            </w:r>
          </w:p>
        </w:tc>
        <w:tc>
          <w:tcPr>
            <w:tcW w:w="10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96,296</w:t>
            </w: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(80,574)</w:t>
            </w:r>
          </w:p>
        </w:tc>
      </w:tr>
      <w:tr>
        <w:trPr>
          <w:trHeight w:val="216"/>
        </w:trPr>
        <w:tc>
          <w:tcPr>
            <w:tcW w:w="7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Receivables, deposits and notes</w:t>
            </w:r>
          </w:p>
        </w:tc>
        <w:tc>
          <w:tcPr>
            <w:tcW w:w="10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(27,021)</w:t>
            </w: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3,475</w:t>
            </w:r>
          </w:p>
        </w:tc>
      </w:tr>
      <w:tr>
        <w:trPr>
          <w:trHeight w:val="216"/>
        </w:trPr>
        <w:tc>
          <w:tcPr>
            <w:tcW w:w="76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Origination of mortgage loans</w:t>
            </w:r>
          </w:p>
        </w:tc>
        <w:tc>
          <w:tcPr>
            <w:tcW w:w="10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(738,270)</w:t>
            </w: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(778,632)</w:t>
            </w:r>
          </w:p>
        </w:tc>
      </w:tr>
      <w:tr>
        <w:trPr>
          <w:trHeight w:val="216"/>
        </w:trPr>
        <w:tc>
          <w:tcPr>
            <w:tcW w:w="7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Sale of mortgage loans</w:t>
            </w:r>
          </w:p>
        </w:tc>
        <w:tc>
          <w:tcPr>
            <w:tcW w:w="10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727,576</w:t>
            </w: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809,548</w:t>
            </w:r>
          </w:p>
        </w:tc>
      </w:tr>
      <w:tr>
        <w:trPr>
          <w:trHeight w:val="216"/>
        </w:trPr>
        <w:tc>
          <w:tcPr>
            <w:tcW w:w="76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Deferred tax assets</w:t>
            </w:r>
          </w:p>
        </w:tc>
        <w:tc>
          <w:tcPr>
            <w:tcW w:w="10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7,451</w:t>
            </w: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16,521</w:t>
            </w:r>
          </w:p>
        </w:tc>
      </w:tr>
      <w:tr>
        <w:trPr>
          <w:trHeight w:val="216"/>
        </w:trPr>
        <w:tc>
          <w:tcPr>
            <w:tcW w:w="76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(Decrease) increase in liabilities:</w:t>
            </w: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76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Accounts payable, accrued interest and other liabilities</w:t>
            </w:r>
          </w:p>
        </w:tc>
        <w:tc>
          <w:tcPr>
            <w:tcW w:w="10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(30,500)</w:t>
            </w: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(31,646)</w:t>
            </w:r>
          </w:p>
        </w:tc>
      </w:tr>
      <w:tr>
        <w:trPr>
          <w:trHeight w:val="216"/>
        </w:trPr>
        <w:tc>
          <w:tcPr>
            <w:tcW w:w="766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Customers’ deposits</w:t>
            </w:r>
          </w:p>
        </w:tc>
        <w:tc>
          <w:tcPr>
            <w:tcW w:w="10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24,816</w:t>
            </w: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4,023</w:t>
            </w:r>
          </w:p>
        </w:tc>
      </w:tr>
      <w:tr>
        <w:trPr>
          <w:trHeight w:val="209"/>
        </w:trPr>
        <w:tc>
          <w:tcPr>
            <w:tcW w:w="7660" w:type="dxa"/>
            <w:vAlign w:val="bottom"/>
            <w:tcBorders>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0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333333"/>
              </w:rPr>
              <w:t>73,789</w:t>
            </w:r>
          </w:p>
        </w:tc>
        <w:tc>
          <w:tcPr>
            <w:tcW w:w="3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(33,576)</w:t>
            </w:r>
          </w:p>
        </w:tc>
      </w:tr>
      <w:tr>
        <w:trPr>
          <w:trHeight w:val="209"/>
        </w:trPr>
        <w:tc>
          <w:tcPr>
            <w:tcW w:w="7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7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Proceeds from sale of property and assets</w:t>
            </w:r>
          </w:p>
        </w:tc>
        <w:tc>
          <w:tcPr>
            <w:tcW w:w="10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4,192</w:t>
            </w: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w:t>
            </w:r>
          </w:p>
        </w:tc>
      </w:tr>
      <w:tr>
        <w:trPr>
          <w:trHeight w:val="216"/>
        </w:trPr>
        <w:tc>
          <w:tcPr>
            <w:tcW w:w="7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property, equipment, and other fixed assets</w:t>
            </w:r>
          </w:p>
        </w:tc>
        <w:tc>
          <w:tcPr>
            <w:tcW w:w="10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(12,122)</w:t>
            </w: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(10,004)</w:t>
            </w:r>
          </w:p>
        </w:tc>
      </w:tr>
      <w:tr>
        <w:trPr>
          <w:trHeight w:val="216"/>
        </w:trPr>
        <w:tc>
          <w:tcPr>
            <w:tcW w:w="7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Investment in and advances to unconsolidated joint ventures, net of reimbursements</w:t>
            </w:r>
          </w:p>
        </w:tc>
        <w:tc>
          <w:tcPr>
            <w:tcW w:w="10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(54,858)</w:t>
            </w: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(28,889)</w:t>
            </w:r>
          </w:p>
        </w:tc>
      </w:tr>
      <w:tr>
        <w:trPr>
          <w:trHeight w:val="216"/>
        </w:trPr>
        <w:tc>
          <w:tcPr>
            <w:tcW w:w="7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Distributions of capital from unconsolidated joint ventures</w:t>
            </w:r>
          </w:p>
        </w:tc>
        <w:tc>
          <w:tcPr>
            <w:tcW w:w="10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4,425</w:t>
            </w:r>
          </w:p>
        </w:tc>
      </w:tr>
      <w:tr>
        <w:trPr>
          <w:trHeight w:val="216"/>
        </w:trPr>
        <w:tc>
          <w:tcPr>
            <w:tcW w:w="766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Acquisitions of business, net of cash acquired</w:t>
            </w:r>
          </w:p>
        </w:tc>
        <w:tc>
          <w:tcPr>
            <w:tcW w:w="10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31,517</w:t>
            </w:r>
          </w:p>
        </w:tc>
        <w:tc>
          <w:tcPr>
            <w:tcW w:w="3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ectPr>
          <w:pgSz w:w="11900" w:h="16877" w:orient="portrait"/>
          <w:cols w:equalWidth="0" w:num="1">
            <w:col w:w="11240"/>
          </w:cols>
          <w:pgMar w:left="320" w:top="121" w:right="339"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0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333333"/>
              </w:rPr>
              <w:t>(31,271)</w:t>
            </w:r>
          </w:p>
        </w:tc>
        <w:tc>
          <w:tcPr>
            <w:tcW w:w="4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333333"/>
              </w:rPr>
              <w:t>(32,946)</w:t>
            </w:r>
          </w:p>
        </w:tc>
      </w:tr>
      <w:tr>
        <w:trPr>
          <w:trHeight w:val="209"/>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7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Proceeds from mortgages and notes</w:t>
            </w:r>
          </w:p>
        </w:tc>
        <w:tc>
          <w:tcPr>
            <w:tcW w:w="11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48,799</w:t>
            </w: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105,552</w:t>
            </w:r>
          </w:p>
        </w:tc>
      </w:tr>
      <w:tr>
        <w:trPr>
          <w:trHeight w:val="216"/>
        </w:trPr>
        <w:tc>
          <w:tcPr>
            <w:tcW w:w="7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Payments related to mortgages and notes</w:t>
            </w:r>
          </w:p>
        </w:tc>
        <w:tc>
          <w:tcPr>
            <w:tcW w:w="1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(50,843)</w:t>
            </w: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(119,069)</w:t>
            </w:r>
          </w:p>
        </w:tc>
      </w:tr>
      <w:tr>
        <w:trPr>
          <w:trHeight w:val="216"/>
        </w:trPr>
        <w:tc>
          <w:tcPr>
            <w:tcW w:w="7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Proceeds from model sale leaseback financing programs</w:t>
            </w:r>
          </w:p>
        </w:tc>
        <w:tc>
          <w:tcPr>
            <w:tcW w:w="11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11,933</w:t>
            </w: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25,914</w:t>
            </w:r>
          </w:p>
        </w:tc>
      </w:tr>
      <w:tr>
        <w:trPr>
          <w:trHeight w:val="216"/>
        </w:trPr>
        <w:tc>
          <w:tcPr>
            <w:tcW w:w="7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Payments related to model sale leaseback financing programs</w:t>
            </w:r>
          </w:p>
        </w:tc>
        <w:tc>
          <w:tcPr>
            <w:tcW w:w="1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(15,080)</w:t>
            </w: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(7,105)</w:t>
            </w:r>
          </w:p>
        </w:tc>
      </w:tr>
      <w:tr>
        <w:trPr>
          <w:trHeight w:val="216"/>
        </w:trPr>
        <w:tc>
          <w:tcPr>
            <w:tcW w:w="7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Proceeds from land bank financing programs</w:t>
            </w:r>
          </w:p>
        </w:tc>
        <w:tc>
          <w:tcPr>
            <w:tcW w:w="11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66,306</w:t>
            </w: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55,215</w:t>
            </w:r>
          </w:p>
        </w:tc>
      </w:tr>
      <w:tr>
        <w:trPr>
          <w:trHeight w:val="216"/>
        </w:trPr>
        <w:tc>
          <w:tcPr>
            <w:tcW w:w="7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Payments related to land bank financing programs</w:t>
            </w:r>
          </w:p>
        </w:tc>
        <w:tc>
          <w:tcPr>
            <w:tcW w:w="1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(55,225)</w:t>
            </w: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(40,671)</w:t>
            </w:r>
          </w:p>
        </w:tc>
      </w:tr>
      <w:tr>
        <w:trPr>
          <w:trHeight w:val="216"/>
        </w:trPr>
        <w:tc>
          <w:tcPr>
            <w:tcW w:w="7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proceeds (payments) related to mortgage warehouse lines of credit</w:t>
            </w:r>
          </w:p>
        </w:tc>
        <w:tc>
          <w:tcPr>
            <w:tcW w:w="11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7,232</w:t>
            </w: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(36,830)</w:t>
            </w:r>
          </w:p>
        </w:tc>
      </w:tr>
      <w:tr>
        <w:trPr>
          <w:trHeight w:val="216"/>
        </w:trPr>
        <w:tc>
          <w:tcPr>
            <w:tcW w:w="7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Payments related to senior notes, senior secured notes and senior unsecured term loan</w:t>
            </w:r>
          </w:p>
        </w:tc>
        <w:tc>
          <w:tcPr>
            <w:tcW w:w="1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(26,588)</w:t>
            </w:r>
          </w:p>
        </w:tc>
      </w:tr>
      <w:tr>
        <w:trPr>
          <w:trHeight w:val="216"/>
        </w:trPr>
        <w:tc>
          <w:tcPr>
            <w:tcW w:w="7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Contributions from noncontrolling interest</w:t>
            </w:r>
          </w:p>
        </w:tc>
        <w:tc>
          <w:tcPr>
            <w:tcW w:w="11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1,120</w:t>
            </w: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Preferred dividends paid</w:t>
            </w:r>
          </w:p>
        </w:tc>
        <w:tc>
          <w:tcPr>
            <w:tcW w:w="1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(5,338)</w:t>
            </w: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(5,338)</w:t>
            </w:r>
          </w:p>
        </w:tc>
      </w:tr>
      <w:tr>
        <w:trPr>
          <w:trHeight w:val="216"/>
        </w:trPr>
        <w:tc>
          <w:tcPr>
            <w:tcW w:w="7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Treasury stock purchases</w:t>
            </w:r>
          </w:p>
        </w:tc>
        <w:tc>
          <w:tcPr>
            <w:tcW w:w="1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(18,545)</w:t>
            </w: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(30,396)</w:t>
            </w:r>
          </w:p>
        </w:tc>
      </w:tr>
      <w:tr>
        <w:trPr>
          <w:trHeight w:val="216"/>
        </w:trPr>
        <w:tc>
          <w:tcPr>
            <w:tcW w:w="770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Deferred financing costs from land banking financing programs and note issuances</w:t>
            </w:r>
          </w:p>
        </w:tc>
        <w:tc>
          <w:tcPr>
            <w:tcW w:w="1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4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w:t>
            </w:r>
          </w:p>
        </w:tc>
      </w:tr>
      <w:tr>
        <w:trPr>
          <w:trHeight w:val="210"/>
        </w:trPr>
        <w:tc>
          <w:tcPr>
            <w:tcW w:w="770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333333"/>
              </w:rPr>
              <w:t>(10,778)</w:t>
            </w:r>
          </w:p>
        </w:tc>
        <w:tc>
          <w:tcPr>
            <w:tcW w:w="4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333333"/>
              </w:rPr>
              <w:t>(81,021)</w:t>
            </w:r>
          </w:p>
        </w:tc>
      </w:tr>
      <w:tr>
        <w:trPr>
          <w:trHeight w:val="209"/>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 and restricted cash and cash equivalents</w:t>
            </w:r>
          </w:p>
        </w:tc>
        <w:tc>
          <w:tcPr>
            <w:tcW w:w="1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333333"/>
              </w:rPr>
              <w:t>31,740</w:t>
            </w: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(147,543)</w:t>
            </w:r>
          </w:p>
        </w:tc>
      </w:tr>
      <w:tr>
        <w:trPr>
          <w:trHeight w:val="216"/>
        </w:trPr>
        <w:tc>
          <w:tcPr>
            <w:tcW w:w="7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Cash and cash equivalents, and restricted cash and cash equivalents balance, beginning of period</w:t>
            </w:r>
          </w:p>
        </w:tc>
        <w:tc>
          <w:tcPr>
            <w:tcW w:w="1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318,647</w:t>
            </w:r>
          </w:p>
        </w:tc>
        <w:tc>
          <w:tcPr>
            <w:tcW w:w="4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266,761</w:t>
            </w:r>
          </w:p>
        </w:tc>
      </w:tr>
      <w:tr>
        <w:trPr>
          <w:trHeight w:val="210"/>
        </w:trPr>
        <w:tc>
          <w:tcPr>
            <w:tcW w:w="77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and restricted cash and cash equivalents balance, end of period</w:t>
            </w:r>
          </w:p>
        </w:tc>
        <w:tc>
          <w:tcPr>
            <w:tcW w:w="114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333333"/>
              </w:rPr>
              <w:t>350,387</w:t>
            </w:r>
          </w:p>
        </w:tc>
        <w:tc>
          <w:tcPr>
            <w:tcW w:w="4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33333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119,218</w:t>
            </w:r>
          </w:p>
        </w:tc>
      </w:tr>
      <w:tr>
        <w:trPr>
          <w:trHeight w:val="20"/>
        </w:trPr>
        <w:tc>
          <w:tcPr>
            <w:tcW w:w="77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96"/>
        </w:trPr>
        <w:tc>
          <w:tcPr>
            <w:tcW w:w="77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6"/>
        </w:trPr>
        <w:tc>
          <w:tcPr>
            <w:tcW w:w="77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Reconciliation of Cash, cash equivalents and restricted cash</w:t>
            </w:r>
          </w:p>
        </w:tc>
        <w:tc>
          <w:tcPr>
            <w:tcW w:w="1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r>
      <w:tr>
        <w:trPr>
          <w:trHeight w:val="210"/>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Homebuilding: Cash and cash equivalents</w:t>
            </w:r>
          </w:p>
        </w:tc>
        <w:tc>
          <w:tcPr>
            <w:tcW w:w="11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310,925</w:t>
            </w:r>
          </w:p>
        </w:tc>
        <w:tc>
          <w:tcPr>
            <w:tcW w:w="4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73,980</w:t>
            </w:r>
          </w:p>
        </w:tc>
      </w:tr>
      <w:tr>
        <w:trPr>
          <w:trHeight w:val="216"/>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Homebuilding: Restricted cash and cash equivalents</w:t>
            </w:r>
          </w:p>
        </w:tc>
        <w:tc>
          <w:tcPr>
            <w:tcW w:w="1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9,935</w:t>
            </w: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9,031</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Financial Services: Cash and cash equivalents, included in financial services assets</w:t>
            </w:r>
          </w:p>
        </w:tc>
        <w:tc>
          <w:tcPr>
            <w:tcW w:w="11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5,065</w:t>
            </w: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4,705</w:t>
            </w:r>
          </w:p>
        </w:tc>
      </w:tr>
      <w:tr>
        <w:trPr>
          <w:trHeight w:val="216"/>
        </w:trPr>
        <w:tc>
          <w:tcPr>
            <w:tcW w:w="77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Services: Restricted cash and cash equivalents, included in financial services assets</w:t>
            </w:r>
          </w:p>
        </w:tc>
        <w:tc>
          <w:tcPr>
            <w:tcW w:w="1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24,462</w:t>
            </w:r>
          </w:p>
        </w:tc>
        <w:tc>
          <w:tcPr>
            <w:tcW w:w="4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31,502</w:t>
            </w:r>
          </w:p>
        </w:tc>
      </w:tr>
      <w:tr>
        <w:trPr>
          <w:trHeight w:val="210"/>
        </w:trPr>
        <w:tc>
          <w:tcPr>
            <w:tcW w:w="7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 shown in the statements of cash flows</w:t>
            </w:r>
          </w:p>
        </w:tc>
        <w:tc>
          <w:tcPr>
            <w:tcW w:w="11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333333"/>
              </w:rPr>
              <w:t>350,387</w:t>
            </w:r>
          </w:p>
        </w:tc>
        <w:tc>
          <w:tcPr>
            <w:tcW w:w="4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333333"/>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333333"/>
              </w:rPr>
              <w:t>119,218</w:t>
            </w:r>
          </w:p>
        </w:tc>
      </w:tr>
      <w:tr>
        <w:trPr>
          <w:trHeight w:val="20"/>
        </w:trPr>
        <w:tc>
          <w:tcPr>
            <w:tcW w:w="77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413"/>
        </w:trPr>
        <w:tc>
          <w:tcPr>
            <w:tcW w:w="770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7</w:t>
            </w: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748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HOVNANIAN ENTERPRISES,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p>
      <w:pPr>
        <w:spacing w:after="0" w:line="22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In the first quarter of fiscal 2026, we consolidated the remaining assets and liabilities of one of our unconsolidated joint ventures, resulting in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decrease in our investment of $72.2 million and an increase of $87.9 million to inventory, $2.7 million to other assets, $14.0 million to accounts payable,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$2.6 million to customer deposits, $5.2 million to nonrecourse mortgages and notes, net of debt issuance costs and $0.4 million of liabilities from inventory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owned.</w:t>
      </w:r>
    </w:p>
    <w:p>
      <w:pPr>
        <w:spacing w:after="0" w:line="207" w:lineRule="exact"/>
        <w:rPr>
          <w:sz w:val="20"/>
          <w:szCs w:val="20"/>
          <w:color w:val="auto"/>
        </w:rPr>
      </w:pPr>
    </w:p>
    <w:p>
      <w:pPr>
        <w:ind w:right="180" w:firstLine="810"/>
        <w:spacing w:after="0" w:line="261" w:lineRule="auto"/>
        <w:rPr>
          <w:sz w:val="20"/>
          <w:szCs w:val="20"/>
          <w:color w:val="auto"/>
        </w:rPr>
      </w:pPr>
      <w:r>
        <w:rPr>
          <w:rFonts w:ascii="Times New Roman" w:cs="Times New Roman" w:eastAsia="Times New Roman" w:hAnsi="Times New Roman"/>
          <w:sz w:val="18"/>
          <w:szCs w:val="18"/>
          <w:color w:val="auto"/>
        </w:rPr>
        <w:t>In the first quarter of fiscal 2026, we acquired a controlling financial interest in a previously unconsolidated joint venture in the Kingdom of Saudi Arabia ("KSA"). As part of the transaction, we consolidated the assets and liabilities of KSA, resulting in an increase of $88.3 million to inventory, $24.0 million to other assets, $0.5 million to property and equipment, $132.4 million to customer deposits and $28.4 million to accounts payable, along with $1.9 million in noncontrolling interest.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HOVNANIAN ENTERPRISES, INC. AND SUBSIDIARIES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CONDENSED CONSOLIDATED FINANCIAL STATEMENTS - UNAUDITED</w:t>
      </w:r>
    </w:p>
    <w:p>
      <w:pPr>
        <w:spacing w:after="0" w:line="203"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ind w:firstLine="810"/>
        <w:spacing w:after="0" w:line="266" w:lineRule="auto"/>
        <w:rPr>
          <w:sz w:val="20"/>
          <w:szCs w:val="20"/>
          <w:color w:val="auto"/>
        </w:rPr>
      </w:pPr>
      <w:r>
        <w:rPr>
          <w:rFonts w:ascii="Times New Roman" w:cs="Times New Roman" w:eastAsia="Times New Roman" w:hAnsi="Times New Roman"/>
          <w:sz w:val="18"/>
          <w:szCs w:val="18"/>
          <w:color w:val="auto"/>
        </w:rPr>
        <w:t>Hovnanian Enterprises, Inc. (“HEI”) conducts all of its homebuilding and financial services operations through its subsidiaries (references herein to the “Company,” “we,” “us” or “our” refer to HEI and its consolidated subsidiaries and should be understood to reflect the consolidated business of HEI’s subsidiaries).</w:t>
      </w:r>
    </w:p>
    <w:p>
      <w:pPr>
        <w:spacing w:after="0" w:line="176" w:lineRule="exact"/>
        <w:rPr>
          <w:sz w:val="20"/>
          <w:szCs w:val="20"/>
          <w:color w:val="auto"/>
        </w:rPr>
      </w:pPr>
    </w:p>
    <w:p>
      <w:pPr>
        <w:ind w:right="440" w:firstLine="810"/>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include HEI's accounts and those of all of its consolidated subsidiaries after elimination of all intercompany balances and transactions. Noncontrolling interest represents the proportionate equity interest in a consolidated subsidiary that is not 100% owned by the Company directly or indirectly. On January 1, 2026, we acquired a controlling interest in a previously unconsolidated joint venture in the Kingdom of Saudi Arabia ("KSA"), that operates and markets itself under the trade name HOV Global. Beginning in the first quarter of fiscal 2026, the results from KSA are included in our consolidated financial statements.</w:t>
      </w:r>
    </w:p>
    <w:p>
      <w:pPr>
        <w:spacing w:after="0" w:line="183" w:lineRule="exact"/>
        <w:rPr>
          <w:sz w:val="20"/>
          <w:szCs w:val="20"/>
          <w:color w:val="auto"/>
        </w:rPr>
      </w:pPr>
    </w:p>
    <w:p>
      <w:pPr>
        <w:ind w:right="80" w:firstLine="810"/>
        <w:spacing w:after="0" w:line="253"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United States of America (“U.S. GAAP”) for interim financial information and with the instructions to Form 10-Q and Article 10 of Regulation S-X, and accordingly, they do not include all of the information and footnotes required by U.S. GAAP for complete financial statements. These Condensed Consolidated Financial Statements should be read in conjunction with the Consolidated Financial Statements and notes thereto included in our Annual Report on Form 10-K for the fiscal year ended October 31, 2025. In the opinion of management, all adjustments for interim periods presented have been made, which include normal recurring accruals and deferrals necessary for a fair presentation of our condensed consolidated financial position, results of operations and cash flows. 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and these differences could have a significant impact on the Condensed Consolidated Financial Statements. Results for interim periods are not necessarily indicative of the results which might be expected for a full year.</w:t>
      </w:r>
    </w:p>
    <w:p>
      <w:pPr>
        <w:spacing w:after="0" w:line="188"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 Compensation</w:t>
      </w:r>
    </w:p>
    <w:p>
      <w:pPr>
        <w:spacing w:after="0" w:line="229" w:lineRule="exact"/>
        <w:rPr>
          <w:sz w:val="20"/>
          <w:szCs w:val="20"/>
          <w:color w:val="auto"/>
        </w:rPr>
      </w:pPr>
    </w:p>
    <w:p>
      <w:pPr>
        <w:ind w:right="60" w:firstLine="810"/>
        <w:spacing w:after="0" w:line="258" w:lineRule="auto"/>
        <w:rPr>
          <w:sz w:val="20"/>
          <w:szCs w:val="20"/>
          <w:color w:val="auto"/>
        </w:rPr>
      </w:pPr>
      <w:r>
        <w:rPr>
          <w:rFonts w:ascii="Times New Roman" w:cs="Times New Roman" w:eastAsia="Times New Roman" w:hAnsi="Times New Roman"/>
          <w:sz w:val="18"/>
          <w:szCs w:val="18"/>
          <w:color w:val="auto"/>
        </w:rPr>
        <w:t>During the first quarter of fiscal 2026, the Board of Directors (the "Board") approved certain grants under a new Long-Term Incentive Program (the "2026 LTIP") that contain performance-based vesting conditions. The performance period for the 2026 LTIP commenced on November 1, 2025 and will end on October 31, 2028. At the end of the performance period, approximately 50% of the awards, if any, are payable in shares of Company stock, subject to a mandatory two-year post-vesting hold period and approximately 50% of the awards, if any, are paid in cash based on the earned phantom stock units.</w:t>
      </w:r>
    </w:p>
    <w:p>
      <w:pPr>
        <w:spacing w:after="0" w:line="183"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18"/>
          <w:szCs w:val="18"/>
          <w:color w:val="auto"/>
        </w:rPr>
        <w:t>For the three and six months ended April 30, 2026, stock-based compensation expense was $1.8 million ($1.8 million net of</w:t>
      </w:r>
    </w:p>
    <w:p>
      <w:pPr>
        <w:spacing w:after="0" w:line="27" w:lineRule="exact"/>
        <w:rPr>
          <w:sz w:val="20"/>
          <w:szCs w:val="20"/>
          <w:color w:val="auto"/>
        </w:rPr>
      </w:pPr>
    </w:p>
    <w:p>
      <w:pPr>
        <w:ind w:right="680"/>
        <w:spacing w:after="0" w:line="260" w:lineRule="auto"/>
        <w:rPr>
          <w:sz w:val="20"/>
          <w:szCs w:val="20"/>
          <w:color w:val="auto"/>
        </w:rPr>
      </w:pPr>
      <w:r>
        <w:rPr>
          <w:rFonts w:ascii="Times New Roman" w:cs="Times New Roman" w:eastAsia="Times New Roman" w:hAnsi="Times New Roman"/>
          <w:sz w:val="18"/>
          <w:szCs w:val="18"/>
          <w:color w:val="auto"/>
        </w:rPr>
        <w:t>tax) and $3.4 million ($2.4 million net of tax), respectively. For the three and six months ended April 30, 2025, stock-based compensation expense was $4.2 million ($3.1 million net of tax) and $7.9 million ($5.7 million net of tax), respectively.</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466"/>
        </w:trPr>
        <w:tc>
          <w:tcPr>
            <w:tcW w:w="1280" w:type="dxa"/>
            <w:vAlign w:val="bottom"/>
            <w:tcBorders>
              <w:top w:val="single" w:sz="8" w:color="0000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3.  Interest</w:t>
            </w:r>
          </w:p>
        </w:tc>
        <w:tc>
          <w:tcPr>
            <w:tcW w:w="4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19"/>
        </w:trPr>
        <w:tc>
          <w:tcPr>
            <w:tcW w:w="574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Interest costs incurred, expensed and capitalized were as follows:</w:t>
            </w: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380" w:type="dxa"/>
            <w:vAlign w:val="bottom"/>
            <w:gridSpan w:val="3"/>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20" w:type="dxa"/>
            <w:vAlign w:val="bottom"/>
          </w:tcPr>
          <w:p>
            <w:pPr>
              <w:spacing w:after="0"/>
              <w:rPr>
                <w:sz w:val="24"/>
                <w:szCs w:val="24"/>
                <w:color w:val="auto"/>
              </w:rPr>
            </w:pPr>
          </w:p>
        </w:tc>
        <w:tc>
          <w:tcPr>
            <w:tcW w:w="2300" w:type="dxa"/>
            <w:vAlign w:val="bottom"/>
            <w:gridSpan w:val="3"/>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57"/>
        </w:trPr>
        <w:tc>
          <w:tcPr>
            <w:tcW w:w="1280" w:type="dxa"/>
            <w:vAlign w:val="bottom"/>
            <w:tcBorders>
              <w:bottom w:val="single" w:sz="8" w:color="auto"/>
            </w:tcBorders>
          </w:tcPr>
          <w:p>
            <w:pPr>
              <w:spacing w:after="0"/>
              <w:rPr>
                <w:sz w:val="22"/>
                <w:szCs w:val="22"/>
                <w:color w:val="auto"/>
              </w:rPr>
            </w:pPr>
          </w:p>
        </w:tc>
        <w:tc>
          <w:tcPr>
            <w:tcW w:w="446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94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860" w:type="dxa"/>
            <w:vAlign w:val="bottom"/>
            <w:tcBorders>
              <w:bottom w:val="single" w:sz="8" w:color="auto"/>
            </w:tcBorders>
          </w:tcPr>
          <w:p>
            <w:pPr>
              <w:spacing w:after="0"/>
              <w:rPr>
                <w:sz w:val="22"/>
                <w:szCs w:val="22"/>
                <w:color w:val="auto"/>
              </w:rPr>
            </w:pPr>
          </w:p>
        </w:tc>
      </w:tr>
      <w:tr>
        <w:trPr>
          <w:trHeight w:val="236"/>
        </w:trPr>
        <w:tc>
          <w:tcPr>
            <w:tcW w:w="5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5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0"/>
        </w:trPr>
        <w:tc>
          <w:tcPr>
            <w:tcW w:w="5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capitalized at beginning of period</w:t>
            </w:r>
          </w:p>
        </w:tc>
        <w:tc>
          <w:tcPr>
            <w:tcW w:w="5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43,397</w:t>
            </w:r>
          </w:p>
        </w:tc>
        <w:tc>
          <w:tcPr>
            <w:tcW w:w="4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52,884</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43,263</w:t>
            </w:r>
          </w:p>
        </w:tc>
        <w:tc>
          <w:tcPr>
            <w:tcW w:w="4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57,671</w:t>
            </w:r>
          </w:p>
        </w:tc>
      </w:tr>
      <w:tr>
        <w:trPr>
          <w:trHeight w:val="256"/>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Plus interest incurred(1)</w:t>
            </w:r>
          </w:p>
        </w:tc>
        <w:tc>
          <w:tcPr>
            <w:tcW w:w="500" w:type="dxa"/>
            <w:vAlign w:val="bottom"/>
          </w:tcPr>
          <w:p>
            <w:pPr>
              <w:spacing w:after="0"/>
              <w:rPr>
                <w:sz w:val="22"/>
                <w:szCs w:val="22"/>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31,795</w:t>
            </w:r>
          </w:p>
        </w:tc>
        <w:tc>
          <w:tcPr>
            <w:tcW w:w="400" w:type="dxa"/>
            <w:vAlign w:val="bottom"/>
          </w:tcPr>
          <w:p>
            <w:pPr>
              <w:spacing w:after="0"/>
              <w:rPr>
                <w:sz w:val="22"/>
                <w:szCs w:val="22"/>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29,832</w:t>
            </w:r>
          </w:p>
        </w:tc>
        <w:tc>
          <w:tcPr>
            <w:tcW w:w="320" w:type="dxa"/>
            <w:vAlign w:val="bottom"/>
          </w:tcPr>
          <w:p>
            <w:pPr>
              <w:spacing w:after="0"/>
              <w:rPr>
                <w:sz w:val="22"/>
                <w:szCs w:val="22"/>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61,362</w:t>
            </w:r>
          </w:p>
        </w:tc>
        <w:tc>
          <w:tcPr>
            <w:tcW w:w="4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59,687</w:t>
            </w:r>
          </w:p>
        </w:tc>
      </w:tr>
      <w:tr>
        <w:trPr>
          <w:trHeight w:val="256"/>
        </w:trPr>
        <w:tc>
          <w:tcPr>
            <w:tcW w:w="5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cost of sales interest expensed</w:t>
            </w:r>
          </w:p>
        </w:tc>
        <w:tc>
          <w:tcPr>
            <w:tcW w:w="5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(15,966)</w:t>
            </w:r>
          </w:p>
        </w:tc>
        <w:tc>
          <w:tcPr>
            <w:tcW w:w="4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(19,938)</w:t>
            </w: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(32,557)</w:t>
            </w:r>
          </w:p>
        </w:tc>
        <w:tc>
          <w:tcPr>
            <w:tcW w:w="42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(39,294)</w:t>
            </w:r>
          </w:p>
        </w:tc>
      </w:tr>
      <w:tr>
        <w:trPr>
          <w:trHeight w:val="256"/>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other interest expensed(2)</w:t>
            </w:r>
          </w:p>
        </w:tc>
        <w:tc>
          <w:tcPr>
            <w:tcW w:w="5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(12,490)</w:t>
            </w:r>
          </w:p>
        </w:tc>
        <w:tc>
          <w:tcPr>
            <w:tcW w:w="4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(9,145)</w:t>
            </w: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(24,648)</w:t>
            </w:r>
          </w:p>
        </w:tc>
        <w:tc>
          <w:tcPr>
            <w:tcW w:w="4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(18,662)</w:t>
            </w:r>
          </w:p>
        </w:tc>
      </w:tr>
      <w:tr>
        <w:trPr>
          <w:trHeight w:val="256"/>
        </w:trPr>
        <w:tc>
          <w:tcPr>
            <w:tcW w:w="5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interest contributed to unconsolidated joint ventures(3)</w:t>
            </w:r>
          </w:p>
        </w:tc>
        <w:tc>
          <w:tcPr>
            <w:tcW w:w="5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42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(5,769)</w:t>
            </w:r>
          </w:p>
        </w:tc>
      </w:tr>
      <w:tr>
        <w:trPr>
          <w:trHeight w:val="256"/>
        </w:trPr>
        <w:tc>
          <w:tcPr>
            <w:tcW w:w="5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Plus interest acquired from unconsolidated joint ventures(4)</w:t>
            </w:r>
          </w:p>
        </w:tc>
        <w:tc>
          <w:tcPr>
            <w:tcW w:w="5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425</w:t>
            </w:r>
          </w:p>
        </w:tc>
        <w:tc>
          <w:tcPr>
            <w:tcW w:w="4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574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capitalized at end of period(5)</w:t>
            </w:r>
          </w:p>
        </w:tc>
        <w:tc>
          <w:tcPr>
            <w:tcW w:w="5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333333"/>
              </w:rPr>
              <w:t>46,736</w:t>
            </w:r>
          </w:p>
        </w:tc>
        <w:tc>
          <w:tcPr>
            <w:tcW w:w="4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333333"/>
              </w:rPr>
              <w:t>53,633</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333333"/>
              </w:rPr>
              <w:t>46,736</w:t>
            </w:r>
          </w:p>
        </w:tc>
        <w:tc>
          <w:tcPr>
            <w:tcW w:w="42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53,633</w:t>
            </w:r>
          </w:p>
        </w:tc>
      </w:tr>
      <w:tr>
        <w:trPr>
          <w:trHeight w:val="20"/>
        </w:trPr>
        <w:tc>
          <w:tcPr>
            <w:tcW w:w="1280" w:type="dxa"/>
            <w:vAlign w:val="bottom"/>
            <w:tcBorders>
              <w:bottom w:val="single" w:sz="8" w:color="auto"/>
            </w:tcBorders>
          </w:tcPr>
          <w:p>
            <w:pPr>
              <w:spacing w:after="0" w:line="20" w:lineRule="exact"/>
              <w:rPr>
                <w:sz w:val="1"/>
                <w:szCs w:val="1"/>
                <w:color w:val="auto"/>
              </w:rPr>
            </w:pPr>
          </w:p>
        </w:tc>
        <w:tc>
          <w:tcPr>
            <w:tcW w:w="44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260" w:hanging="250"/>
        <w:spacing w:after="0"/>
        <w:tabs>
          <w:tab w:leader="none" w:pos="260"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Amounts do not include interest incurred by our mortgage and finance subsidiaries.</w:t>
      </w:r>
    </w:p>
    <w:p>
      <w:pPr>
        <w:spacing w:after="0" w:line="17" w:lineRule="exact"/>
        <w:rPr>
          <w:rFonts w:ascii="Times New Roman" w:cs="Times New Roman" w:eastAsia="Times New Roman" w:hAnsi="Times New Roman"/>
          <w:sz w:val="18"/>
          <w:szCs w:val="18"/>
          <w:i w:val="1"/>
          <w:iCs w:val="1"/>
          <w:color w:val="auto"/>
        </w:rPr>
      </w:pPr>
    </w:p>
    <w:p>
      <w:pPr>
        <w:jc w:val="both"/>
        <w:ind w:left="260" w:right="140" w:hanging="250"/>
        <w:spacing w:after="0" w:line="229" w:lineRule="auto"/>
        <w:tabs>
          <w:tab w:leader="none" w:pos="260"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During the three and six months ended April 30, 2026 and 2025, respectively, our inventory under development exceeded our debt, therefore, all of the related interest incurred qualified for interest capitalization. Other interest includes interest on completed homes, land in planning and fully developed lots without homes under construction, which does not qualify for capitalization, and therefore, is expensed as incurred.</w:t>
      </w:r>
    </w:p>
    <w:p>
      <w:pPr>
        <w:spacing w:after="0" w:line="1" w:lineRule="exact"/>
        <w:rPr>
          <w:rFonts w:ascii="Times New Roman" w:cs="Times New Roman" w:eastAsia="Times New Roman" w:hAnsi="Times New Roman"/>
          <w:sz w:val="18"/>
          <w:szCs w:val="18"/>
          <w:i w:val="1"/>
          <w:iCs w:val="1"/>
          <w:color w:val="auto"/>
        </w:rPr>
      </w:pPr>
    </w:p>
    <w:p>
      <w:pPr>
        <w:ind w:left="260" w:right="220" w:hanging="252"/>
        <w:spacing w:after="0" w:line="226" w:lineRule="auto"/>
        <w:tabs>
          <w:tab w:leader="none" w:pos="260"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Represents capitalized interest which was included as part of the assets contributed to joint ventures, as discussed in Note 18. There was no impact to the Condensed Consolidated Statement of Operations as a result of these capitalized interest transactions.</w:t>
      </w:r>
    </w:p>
    <w:p>
      <w:pPr>
        <w:spacing w:after="0" w:line="1" w:lineRule="exact"/>
        <w:rPr>
          <w:rFonts w:ascii="Times New Roman" w:cs="Times New Roman" w:eastAsia="Times New Roman" w:hAnsi="Times New Roman"/>
          <w:sz w:val="18"/>
          <w:szCs w:val="18"/>
          <w:i w:val="1"/>
          <w:iCs w:val="1"/>
          <w:color w:val="auto"/>
        </w:rPr>
      </w:pPr>
    </w:p>
    <w:p>
      <w:pPr>
        <w:ind w:left="260" w:right="220" w:hanging="252"/>
        <w:spacing w:after="0" w:line="234" w:lineRule="auto"/>
        <w:tabs>
          <w:tab w:leader="none" w:pos="260"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Represents capitalized interest which was included as part of the assets acquired from joint ventures, as discussed in Note 18. There was no impact to the Condensed Consolidated Statement of Operations as a result of these capitalized interest transactions.</w:t>
      </w:r>
    </w:p>
    <w:p>
      <w:pPr>
        <w:spacing w:after="0" w:line="1" w:lineRule="exact"/>
        <w:rPr>
          <w:rFonts w:ascii="Times New Roman" w:cs="Times New Roman" w:eastAsia="Times New Roman" w:hAnsi="Times New Roman"/>
          <w:sz w:val="18"/>
          <w:szCs w:val="18"/>
          <w:i w:val="1"/>
          <w:iCs w:val="1"/>
          <w:color w:val="auto"/>
        </w:rPr>
      </w:pPr>
    </w:p>
    <w:p>
      <w:pPr>
        <w:ind w:left="260" w:hanging="252"/>
        <w:spacing w:after="0"/>
        <w:tabs>
          <w:tab w:leader="none" w:pos="260"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Capitalized interest amounts are shown gross before allocating a portion of impairments, if any, to capitalized interest.</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sectPr>
      </w:pPr>
    </w:p>
    <w:p>
      <w:pPr>
        <w:spacing w:after="0" w:line="200" w:lineRule="exact"/>
        <w:rPr>
          <w:sz w:val="20"/>
          <w:szCs w:val="20"/>
          <w:color w:val="auto"/>
        </w:rPr>
      </w:pPr>
    </w:p>
    <w:p>
      <w:pPr>
        <w:spacing w:after="0" w:line="278" w:lineRule="exact"/>
        <w:rPr>
          <w:sz w:val="20"/>
          <w:szCs w:val="20"/>
          <w:color w:val="auto"/>
        </w:rPr>
      </w:pPr>
    </w:p>
    <w:p>
      <w:pPr>
        <w:ind w:left="380" w:hanging="354"/>
        <w:spacing w:after="0"/>
        <w:tabs>
          <w:tab w:leader="none" w:pos="380" w:val="left"/>
        </w:tabs>
        <w:numPr>
          <w:ilvl w:val="0"/>
          <w:numId w:val="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Reduction of Inventory to Fair Value</w:t>
      </w:r>
    </w:p>
    <w:p>
      <w:pPr>
        <w:sectPr>
          <w:pgSz w:w="11900" w:h="16838" w:orient="portrait"/>
          <w:cols w:equalWidth="0" w:num="1">
            <w:col w:w="11240"/>
          </w:cols>
          <w:pgMar w:left="320" w:top="121" w:right="339" w:bottom="0" w:gutter="0" w:footer="0" w:header="0"/>
          <w:type w:val="continuous"/>
        </w:sectPr>
      </w:pPr>
    </w:p>
    <w:bookmarkStart w:id="8" w:name="page9"/>
    <w:bookmarkEnd w:id="8"/>
    <w:p>
      <w:pPr>
        <w:ind w:right="60" w:firstLine="816"/>
        <w:spacing w:after="0" w:line="254" w:lineRule="auto"/>
        <w:rPr>
          <w:sz w:val="20"/>
          <w:szCs w:val="20"/>
          <w:color w:val="auto"/>
        </w:rPr>
      </w:pPr>
      <w:r>
        <w:rPr>
          <w:rFonts w:ascii="Times New Roman" w:cs="Times New Roman" w:eastAsia="Times New Roman" w:hAnsi="Times New Roman"/>
          <w:sz w:val="18"/>
          <w:szCs w:val="18"/>
          <w:color w:val="auto"/>
        </w:rPr>
        <w:t>We had 416 and 482 communities under development and held for future development or sale at April 30, 2026 and 2025, respectively, which we evaluated for impairment indicators (i.e., those with a projected operating loss). We performed undiscounted future cash flow analyses during the three and six months ended April 30, 2026 for six communities, with an aggregate carrying value of $32.5 million. As a result of our analyses, we identified impairment indicators in four of those communities in our Southeast and West segments, with an aggregate carrying value of $21.7 million during both the three and six months ended April 30, 2026. The impairment analyses resulted in an impairment of $5.3 million, included within "Inventory impairments and land option write-offs" in the Condensed Consolidated Statement of Operations and deducted from inventory. We identified impairment indicators in one community in our Northeast segment with an aggregate carrying value of $5.4 million during both the three and six months ended April 30, 2025. The impairment analysis resulted in an impairment of $1.2 million during the period, included within "Inventory impairments and land option write-offs" in the Condensed Consolidated Statement of Operations and deducted from inventory.</w:t>
      </w:r>
    </w:p>
    <w:p>
      <w:pPr>
        <w:spacing w:after="0" w:line="188" w:lineRule="exact"/>
        <w:rPr>
          <w:sz w:val="20"/>
          <w:szCs w:val="20"/>
          <w:color w:val="auto"/>
        </w:rPr>
      </w:pPr>
    </w:p>
    <w:p>
      <w:pPr>
        <w:ind w:right="60" w:firstLine="810"/>
        <w:spacing w:after="0" w:line="254" w:lineRule="auto"/>
        <w:rPr>
          <w:sz w:val="20"/>
          <w:szCs w:val="20"/>
          <w:color w:val="auto"/>
        </w:rPr>
      </w:pPr>
      <w:r>
        <w:rPr>
          <w:rFonts w:ascii="Times New Roman" w:cs="Times New Roman" w:eastAsia="Times New Roman" w:hAnsi="Times New Roman"/>
          <w:sz w:val="18"/>
          <w:szCs w:val="18"/>
          <w:color w:val="auto"/>
        </w:rPr>
        <w:t>Write-offs of options, engineering and capitalized interest costs are recorded in "Inventory impairments and land option write-offs" when we redesign communities, abandon certain engineering costs or do not exercise options in various locations because the pro forma profitability is not projected to produce adequate returns on investment commensurate with the risk. Total aggregate write-offs related to these items were $3.4 million and $1.9 million for the three months ended April 30, 2026 and 2025, respectively, and $5.8 million and $2.9 million for the six months ended April 30, 2026 and 2025, respectively. The number of lots walked away from during the three months ended April 30, 2026 and 2025 were 2,015 and 2,463, respectively,</w:t>
      </w:r>
    </w:p>
    <w:p>
      <w:pPr>
        <w:spacing w:after="0" w:line="3" w:lineRule="exact"/>
        <w:rPr>
          <w:sz w:val="20"/>
          <w:szCs w:val="20"/>
          <w:color w:val="auto"/>
        </w:rPr>
      </w:pPr>
    </w:p>
    <w:p>
      <w:pPr>
        <w:ind w:right="480"/>
        <w:spacing w:after="0" w:line="260" w:lineRule="auto"/>
        <w:rPr>
          <w:sz w:val="20"/>
          <w:szCs w:val="20"/>
          <w:color w:val="auto"/>
        </w:rPr>
      </w:pPr>
      <w:r>
        <w:rPr>
          <w:rFonts w:ascii="Times New Roman" w:cs="Times New Roman" w:eastAsia="Times New Roman" w:hAnsi="Times New Roman"/>
          <w:sz w:val="18"/>
          <w:szCs w:val="18"/>
          <w:color w:val="auto"/>
        </w:rPr>
        <w:t>and 2,750 and 4,897 during the six months ended April 30, 2026 and 2025, respectively. The walk-aways during the first half of fiscal 2026 and 2025 occurred across each of our reportable segments.</w:t>
      </w:r>
    </w:p>
    <w:p>
      <w:pPr>
        <w:spacing w:after="0" w:line="181" w:lineRule="exact"/>
        <w:rPr>
          <w:sz w:val="20"/>
          <w:szCs w:val="20"/>
          <w:color w:val="auto"/>
        </w:rPr>
      </w:pPr>
    </w:p>
    <w:p>
      <w:pPr>
        <w:ind w:right="60" w:firstLine="810"/>
        <w:spacing w:after="0" w:line="256" w:lineRule="auto"/>
        <w:rPr>
          <w:sz w:val="20"/>
          <w:szCs w:val="20"/>
          <w:color w:val="auto"/>
        </w:rPr>
      </w:pPr>
      <w:r>
        <w:rPr>
          <w:rFonts w:ascii="Times New Roman" w:cs="Times New Roman" w:eastAsia="Times New Roman" w:hAnsi="Times New Roman"/>
          <w:sz w:val="18"/>
          <w:szCs w:val="18"/>
          <w:color w:val="auto"/>
        </w:rPr>
        <w:t>We sell and lease back certain of our model homes with the right to participate in the potential profit when each home is sold to a third-party at the end of the respective lease. As a result of our continued involvement and the ability to repurchase model homes with below market options, for accounting purposes in accordance with ASC 606, these sale and leaseback transactions are considered a financing rather than a sale. Our Condensed Consolidated Balance Sheets as of April 30, 2026 and October 31, 2025, included inventory of $73.0 million and $74.3 million, respectively, recorded to “Consolidated inventory not owned” with a corresponding amount of $73.2 million and $75.6 million (net of debt issuance costs), respectively, recorded to “Liabilities from inventory not owned” for the amount of net cash received from the transactions.</w:t>
      </w:r>
    </w:p>
    <w:p>
      <w:pPr>
        <w:spacing w:after="0" w:line="187" w:lineRule="exact"/>
        <w:rPr>
          <w:sz w:val="20"/>
          <w:szCs w:val="20"/>
          <w:color w:val="auto"/>
        </w:rPr>
      </w:pPr>
    </w:p>
    <w:p>
      <w:pPr>
        <w:ind w:right="20" w:firstLine="810"/>
        <w:spacing w:after="0" w:line="256" w:lineRule="auto"/>
        <w:rPr>
          <w:sz w:val="20"/>
          <w:szCs w:val="20"/>
          <w:color w:val="auto"/>
        </w:rPr>
      </w:pPr>
      <w:r>
        <w:rPr>
          <w:rFonts w:ascii="Times New Roman" w:cs="Times New Roman" w:eastAsia="Times New Roman" w:hAnsi="Times New Roman"/>
          <w:sz w:val="18"/>
          <w:szCs w:val="18"/>
          <w:color w:val="auto"/>
        </w:rPr>
        <w:t>We have land banking arrangements, whereby we sell our land parcels to a land banker and they provide us an option to purchase back finished lots on a predetermined schedule. Because of our options to repurchase these parcels, for accounting purposes in accordance with ASC 606, these transactions are considered a financing rather than a sale. Our Condensed Consolidated Balance Sheets as of April 30, 2026 and October 31, 2025, included inventory of $296.1 million and $258.6 million, respectively, recorded to “Consolidated inventory not owned” with a corresponding amount of $180.2 million and $169.1 million (net of debt issuance costs), respectively, recorded to “Liabilities from inventory not owned” for the amount of net cash received from the transactions.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35" w:lineRule="exact"/>
        <w:rPr>
          <w:sz w:val="20"/>
          <w:szCs w:val="20"/>
          <w:color w:val="auto"/>
        </w:rPr>
      </w:pPr>
    </w:p>
    <w:p>
      <w:pPr>
        <w:ind w:left="380" w:hanging="354"/>
        <w:spacing w:after="0"/>
        <w:tabs>
          <w:tab w:leader="none" w:pos="3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Variable Interest Entities</w:t>
      </w:r>
    </w:p>
    <w:p>
      <w:pPr>
        <w:spacing w:after="0" w:line="216" w:lineRule="exact"/>
        <w:rPr>
          <w:sz w:val="20"/>
          <w:szCs w:val="20"/>
          <w:color w:val="auto"/>
        </w:rPr>
      </w:pPr>
    </w:p>
    <w:p>
      <w:pPr>
        <w:ind w:firstLine="855"/>
        <w:spacing w:after="0" w:line="256" w:lineRule="auto"/>
        <w:rPr>
          <w:sz w:val="20"/>
          <w:szCs w:val="20"/>
          <w:color w:val="auto"/>
        </w:rPr>
      </w:pPr>
      <w:r>
        <w:rPr>
          <w:rFonts w:ascii="Times New Roman" w:cs="Times New Roman" w:eastAsia="Times New Roman" w:hAnsi="Times New Roman"/>
          <w:sz w:val="18"/>
          <w:szCs w:val="18"/>
          <w:color w:val="auto"/>
        </w:rPr>
        <w:t>ASC 810 requires the assessment of whether an entity is a variable interest entity ("VIE") and, if so, if we are the primary beneficiary at the inception of the entity or at a reconsideration event. We are required to consolidate a VIE if we determine that we have a controlling financial interest in the VIE. Controlling financial interests will have both of the following characteristics: (a) the power to direct the activities of a VIE that most significantly impact the VIE's economic performance and (b) the obligation to absorb losses of the VIE that could potentially be significant to the VIE or the right to receive benefits from the VIE that could potentially be significant to the VIE. Our variable interest in VIEs are in the form of joint ventures and land and lot option purchase contracts.</w:t>
      </w:r>
    </w:p>
    <w:p>
      <w:pPr>
        <w:spacing w:after="0" w:line="147" w:lineRule="exact"/>
        <w:rPr>
          <w:sz w:val="20"/>
          <w:szCs w:val="20"/>
          <w:color w:val="auto"/>
        </w:rPr>
      </w:pPr>
    </w:p>
    <w:p>
      <w:pPr>
        <w:ind w:right="20" w:firstLine="810"/>
        <w:spacing w:after="0" w:line="258" w:lineRule="auto"/>
        <w:rPr>
          <w:sz w:val="20"/>
          <w:szCs w:val="20"/>
          <w:color w:val="auto"/>
        </w:rPr>
      </w:pPr>
      <w:r>
        <w:rPr>
          <w:rFonts w:ascii="Times New Roman" w:cs="Times New Roman" w:eastAsia="Times New Roman" w:hAnsi="Times New Roman"/>
          <w:sz w:val="18"/>
          <w:szCs w:val="18"/>
          <w:color w:val="auto"/>
        </w:rPr>
        <w:t>We examine specific criteria and use our judgment when determining if we are the primary beneficiary of a VIE and have a controlling financial interest. The significant factors we consider in determining whether we are the primary beneficiary include risk and reward sharing, experience and financial condition of other partner(s), voting rights, involvement in day-to-day capital and operating decisions, representation on a VIE's executive committee, existence of unilateral kick-out rights or voting rights, level of economic disproportionality between us and the other partner(s) and contracts to purchase property from the VIEs.</w:t>
      </w:r>
    </w:p>
    <w:p>
      <w:pPr>
        <w:spacing w:after="0" w:line="143" w:lineRule="exact"/>
        <w:rPr>
          <w:sz w:val="20"/>
          <w:szCs w:val="20"/>
          <w:color w:val="auto"/>
        </w:rPr>
      </w:pPr>
    </w:p>
    <w:p>
      <w:pPr>
        <w:ind w:right="140" w:firstLine="810"/>
        <w:spacing w:after="0" w:line="261" w:lineRule="auto"/>
        <w:rPr>
          <w:sz w:val="20"/>
          <w:szCs w:val="20"/>
          <w:color w:val="auto"/>
        </w:rPr>
      </w:pPr>
      <w:r>
        <w:rPr>
          <w:rFonts w:ascii="Times New Roman" w:cs="Times New Roman" w:eastAsia="Times New Roman" w:hAnsi="Times New Roman"/>
          <w:sz w:val="18"/>
          <w:szCs w:val="18"/>
          <w:color w:val="auto"/>
        </w:rPr>
        <w:t>We also enter into land and lot option purchase contracts to procure land or lots for the construction of homes. Under these contracts, the Company will fund a stated deposit in consideration for the right, but not the obligation, to purchase land or lots at a future point in time with predetermined terms. Under the terms of the option purchase contracts, many of the option deposits are not refundable at the Company's discretion. Under the requirements of ASC 810, certain option purchase contracts may result in the creation of a VIE that owns the land parcel under option.</w:t>
      </w:r>
    </w:p>
    <w:p>
      <w:pPr>
        <w:spacing w:after="0" w:line="207" w:lineRule="exact"/>
        <w:rPr>
          <w:sz w:val="20"/>
          <w:szCs w:val="20"/>
          <w:color w:val="auto"/>
        </w:rPr>
      </w:pPr>
    </w:p>
    <w:p>
      <w:pPr>
        <w:ind w:right="160" w:firstLine="810"/>
        <w:spacing w:after="0" w:line="282" w:lineRule="auto"/>
        <w:rPr>
          <w:sz w:val="20"/>
          <w:szCs w:val="20"/>
          <w:color w:val="auto"/>
        </w:rPr>
      </w:pPr>
      <w:r>
        <w:rPr>
          <w:rFonts w:ascii="Times New Roman" w:cs="Times New Roman" w:eastAsia="Times New Roman" w:hAnsi="Times New Roman"/>
          <w:sz w:val="18"/>
          <w:szCs w:val="18"/>
          <w:color w:val="auto"/>
        </w:rPr>
        <w:t>As a result of our analyses, we have concluded we are not the primary beneficiary and do not have a controlling financial interest of any of the land or lots under option purchase contracts at either April 30, 2026 or October 31, 2025.</w:t>
      </w:r>
    </w:p>
    <w:p>
      <w:pPr>
        <w:spacing w:after="0" w:line="162" w:lineRule="exact"/>
        <w:rPr>
          <w:sz w:val="20"/>
          <w:szCs w:val="20"/>
          <w:color w:val="auto"/>
        </w:rPr>
      </w:pPr>
    </w:p>
    <w:p>
      <w:pPr>
        <w:ind w:right="60" w:firstLine="810"/>
        <w:spacing w:after="0" w:line="261" w:lineRule="auto"/>
        <w:rPr>
          <w:sz w:val="20"/>
          <w:szCs w:val="20"/>
          <w:color w:val="auto"/>
        </w:rPr>
      </w:pPr>
      <w:r>
        <w:rPr>
          <w:rFonts w:ascii="Times New Roman" w:cs="Times New Roman" w:eastAsia="Times New Roman" w:hAnsi="Times New Roman"/>
          <w:sz w:val="18"/>
          <w:szCs w:val="18"/>
          <w:color w:val="auto"/>
        </w:rPr>
        <w:t>As of April 30, 2026 and October 31, 2025, we had total cash deposits amounting to $340.8 million and $333.2 million, respectively, to purchase land and lots with a total purchase price of $3.4 billion and $2.8 billion, respectively. The maximum exposure to loss with respect to our land and lot options is limited to the deposits plus any pre-development costs invested in the property. On rare occasions some deposits are refundable at our request or refundable if certain conditions are not met.</w:t>
      </w:r>
    </w:p>
    <w:p>
      <w:pPr>
        <w:spacing w:after="0" w:line="180" w:lineRule="exact"/>
        <w:rPr>
          <w:sz w:val="20"/>
          <w:szCs w:val="20"/>
          <w:color w:val="auto"/>
        </w:rPr>
      </w:pPr>
    </w:p>
    <w:p>
      <w:pPr>
        <w:ind w:right="60" w:firstLine="810"/>
        <w:spacing w:after="0" w:line="256" w:lineRule="auto"/>
        <w:rPr>
          <w:sz w:val="20"/>
          <w:szCs w:val="20"/>
          <w:color w:val="auto"/>
        </w:rPr>
      </w:pPr>
      <w:r>
        <w:rPr>
          <w:rFonts w:ascii="Times New Roman" w:cs="Times New Roman" w:eastAsia="Times New Roman" w:hAnsi="Times New Roman"/>
          <w:sz w:val="18"/>
          <w:szCs w:val="18"/>
          <w:color w:val="auto"/>
        </w:rPr>
        <w:t>Our investments in homebuilding and land development joint ventures consist of equity interests that, in total, provide us with partner investment returns and management fees. All major decision making in our joint ventures is shared among all partner(s). In particular, business plans and budgets are generally required to be unanimously approved by all partner(s). Usually, management and other fees earned by us are nominal and believed to be at market and there is no significant economic disproportionality between us and our partner(s). As a result of our analyses, we have concluded we are not the primary beneficiary and do not have a controlling financial interest of any of our homebuilding and land development joint ventures at either April 30, 2026 or October 31, 2025.</w:t>
      </w:r>
    </w:p>
    <w:p>
      <w:pPr>
        <w:spacing w:after="0" w:line="210"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Warranty Costs</w:t>
      </w:r>
    </w:p>
    <w:p>
      <w:pPr>
        <w:sectPr>
          <w:pgSz w:w="11900" w:h="16838" w:orient="portrait"/>
          <w:cols w:equalWidth="0" w:num="1">
            <w:col w:w="11240"/>
          </w:cols>
          <w:pgMar w:left="320" w:top="297" w:right="339" w:bottom="222" w:gutter="0" w:footer="0" w:header="0"/>
        </w:sectPr>
      </w:pPr>
    </w:p>
    <w:bookmarkStart w:id="9" w:name="page10"/>
    <w:bookmarkEnd w:id="9"/>
    <w:p>
      <w:pPr>
        <w:ind w:right="20" w:firstLine="810"/>
        <w:spacing w:after="0" w:line="254" w:lineRule="auto"/>
        <w:rPr>
          <w:sz w:val="20"/>
          <w:szCs w:val="20"/>
          <w:color w:val="auto"/>
        </w:rPr>
      </w:pPr>
      <w:r>
        <w:rPr>
          <w:rFonts w:ascii="Times New Roman" w:cs="Times New Roman" w:eastAsia="Times New Roman" w:hAnsi="Times New Roman"/>
          <w:sz w:val="18"/>
          <w:szCs w:val="18"/>
          <w:color w:val="auto"/>
        </w:rPr>
        <w:t>We accrue for warranty costs that are covered under our existing general liability and construction defect policy as part of our general liability insurance deductible. For homes to be delivered in fiscal 2026 and previously delivered in 2025, our annual deductible under our general liability insurance is or was $40.0 million and $30.0 million, respectively, aggregated for construction defect and warranty claims. For bodily injury claims, our deductible per occurrence in fiscal 2026 is $0.5 million and in fiscal 2025 was $0.25 million, with $0.5 million for action over claims and a $30.0 million limit in both fiscal 2026 and 2025. In addition, we establish a warranty accrual for lower cost-related issues to cover home repairs, community amenities and land development infrastructure that are not covered under our general liability and construction defect policy. We accrue an estimate for these warranty costs at the time each home is closed and control is transferred to the homebuyer. Additions, charges and changes in the warranty reserve and general liability reserve for the three and six months ended April 30, 2026 and 2025 were as follows: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5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457"/>
        </w:trPr>
        <w:tc>
          <w:tcPr>
            <w:tcW w:w="1280" w:type="dxa"/>
            <w:vAlign w:val="bottom"/>
            <w:tcBorders>
              <w:top w:val="single" w:sz="8" w:color="0000FF"/>
            </w:tcBorders>
          </w:tcPr>
          <w:p>
            <w:pPr>
              <w:spacing w:after="0"/>
              <w:rPr>
                <w:sz w:val="24"/>
                <w:szCs w:val="24"/>
                <w:color w:val="auto"/>
              </w:rPr>
            </w:pPr>
          </w:p>
        </w:tc>
        <w:tc>
          <w:tcPr>
            <w:tcW w:w="34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380" w:type="dxa"/>
            <w:vAlign w:val="bottom"/>
            <w:gridSpan w:val="3"/>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20" w:type="dxa"/>
            <w:vAlign w:val="bottom"/>
          </w:tcPr>
          <w:p>
            <w:pPr>
              <w:spacing w:after="0"/>
              <w:rPr>
                <w:sz w:val="24"/>
                <w:szCs w:val="24"/>
                <w:color w:val="auto"/>
              </w:rPr>
            </w:pPr>
          </w:p>
        </w:tc>
        <w:tc>
          <w:tcPr>
            <w:tcW w:w="2300" w:type="dxa"/>
            <w:vAlign w:val="bottom"/>
            <w:gridSpan w:val="3"/>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128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9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860" w:type="dxa"/>
            <w:vAlign w:val="bottom"/>
            <w:tcBorders>
              <w:bottom w:val="single" w:sz="8" w:color="auto"/>
            </w:tcBorders>
          </w:tcPr>
          <w:p>
            <w:pPr>
              <w:spacing w:after="0"/>
              <w:rPr>
                <w:sz w:val="20"/>
                <w:szCs w:val="20"/>
                <w:color w:val="auto"/>
              </w:rPr>
            </w:pPr>
          </w:p>
        </w:tc>
      </w:tr>
      <w:tr>
        <w:trPr>
          <w:trHeight w:val="210"/>
        </w:trPr>
        <w:tc>
          <w:tcPr>
            <w:tcW w:w="46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5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9"/>
        </w:trPr>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5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105,482</w:t>
            </w:r>
          </w:p>
        </w:tc>
        <w:tc>
          <w:tcPr>
            <w:tcW w:w="4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90,790</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103,824</w:t>
            </w:r>
          </w:p>
        </w:tc>
        <w:tc>
          <w:tcPr>
            <w:tcW w:w="4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89,391</w:t>
            </w:r>
          </w:p>
        </w:tc>
      </w:tr>
      <w:tr>
        <w:trPr>
          <w:trHeight w:val="229"/>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Additions – Selling, general and administrative</w:t>
            </w:r>
          </w:p>
        </w:tc>
        <w:tc>
          <w:tcPr>
            <w:tcW w:w="156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2,150</w:t>
            </w:r>
          </w:p>
        </w:tc>
        <w:tc>
          <w:tcPr>
            <w:tcW w:w="40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2,547</w:t>
            </w:r>
          </w:p>
        </w:tc>
        <w:tc>
          <w:tcPr>
            <w:tcW w:w="32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4,189</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5,094</w:t>
            </w:r>
          </w:p>
        </w:tc>
      </w:tr>
      <w:tr>
        <w:trPr>
          <w:trHeight w:val="230"/>
        </w:trPr>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 Cost of sales</w:t>
            </w:r>
          </w:p>
        </w:tc>
        <w:tc>
          <w:tcPr>
            <w:tcW w:w="15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1,410</w:t>
            </w: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2,116</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2,783</w:t>
            </w: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4,218</w:t>
            </w:r>
          </w:p>
        </w:tc>
      </w:tr>
      <w:tr>
        <w:trPr>
          <w:trHeight w:val="229"/>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Charges incurred during the period</w:t>
            </w:r>
          </w:p>
        </w:tc>
        <w:tc>
          <w:tcPr>
            <w:tcW w:w="15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(3,912)</w:t>
            </w: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(3,479)</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(7,338)</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(6,355)</w:t>
            </w:r>
          </w:p>
        </w:tc>
      </w:tr>
      <w:tr>
        <w:trPr>
          <w:trHeight w:val="230"/>
        </w:trPr>
        <w:tc>
          <w:tcPr>
            <w:tcW w:w="468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to pre-existing reserves (1)</w:t>
            </w:r>
          </w:p>
        </w:tc>
        <w:tc>
          <w:tcPr>
            <w:tcW w:w="15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181</w:t>
            </w:r>
          </w:p>
        </w:tc>
        <w:tc>
          <w:tcPr>
            <w:tcW w:w="4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r>
      <w:tr>
        <w:trPr>
          <w:trHeight w:val="209"/>
        </w:trPr>
        <w:tc>
          <w:tcPr>
            <w:tcW w:w="46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15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333333"/>
              </w:rPr>
              <w:t>103,639</w:t>
            </w:r>
          </w:p>
        </w:tc>
        <w:tc>
          <w:tcPr>
            <w:tcW w:w="4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333333"/>
              </w:rPr>
              <w:t>91,800</w:t>
            </w:r>
          </w:p>
        </w:tc>
        <w:tc>
          <w:tcPr>
            <w:tcW w:w="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333333"/>
              </w:rPr>
              <w:t>103,639</w:t>
            </w:r>
          </w:p>
        </w:tc>
        <w:tc>
          <w:tcPr>
            <w:tcW w:w="4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333333"/>
              </w:rPr>
              <w:t>91,800</w:t>
            </w:r>
          </w:p>
        </w:tc>
      </w:tr>
      <w:tr>
        <w:trPr>
          <w:trHeight w:val="20"/>
        </w:trPr>
        <w:tc>
          <w:tcPr>
            <w:tcW w:w="1280" w:type="dxa"/>
            <w:vAlign w:val="bottom"/>
            <w:tcBorders>
              <w:bottom w:val="single" w:sz="8" w:color="auto"/>
            </w:tcBorders>
          </w:tcPr>
          <w:p>
            <w:pPr>
              <w:spacing w:after="0" w:line="20" w:lineRule="exact"/>
              <w:rPr>
                <w:sz w:val="1"/>
                <w:szCs w:val="1"/>
                <w:color w:val="auto"/>
              </w:rPr>
            </w:pPr>
          </w:p>
        </w:tc>
        <w:tc>
          <w:tcPr>
            <w:tcW w:w="34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 Includes reserve balances acquired from unconsolidated joint ventures, as discussed in Note 18</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Contingent Liabilities</w:t>
      </w:r>
    </w:p>
    <w:p>
      <w:pPr>
        <w:spacing w:after="0" w:line="229" w:lineRule="exact"/>
        <w:rPr>
          <w:sz w:val="20"/>
          <w:szCs w:val="20"/>
          <w:color w:val="auto"/>
        </w:rPr>
      </w:pPr>
    </w:p>
    <w:p>
      <w:pPr>
        <w:ind w:right="60" w:firstLine="810"/>
        <w:spacing w:after="0" w:line="261" w:lineRule="auto"/>
        <w:rPr>
          <w:sz w:val="20"/>
          <w:szCs w:val="20"/>
          <w:color w:val="auto"/>
        </w:rPr>
      </w:pPr>
      <w:r>
        <w:rPr>
          <w:rFonts w:ascii="Times New Roman" w:cs="Times New Roman" w:eastAsia="Times New Roman" w:hAnsi="Times New Roman"/>
          <w:sz w:val="18"/>
          <w:szCs w:val="18"/>
          <w:color w:val="auto"/>
        </w:rPr>
        <w:t>We are involved in litigation, claims and other proceedings arising in the ordinary course of business. The significant majority of our litigation matters are related to construction defect claims. Our estimated losses from construction defect litigation matters, if any, are included in our construction defect reserves. While the outcome of such contingencies cannot be predicted with certainty, we do not believe that the resolution of such matters will have a material adverse impact on our financial position, results of operations or cash flows.</w:t>
      </w:r>
    </w:p>
    <w:p>
      <w:pPr>
        <w:spacing w:after="0" w:line="180" w:lineRule="exact"/>
        <w:rPr>
          <w:sz w:val="20"/>
          <w:szCs w:val="20"/>
          <w:color w:val="auto"/>
        </w:rPr>
      </w:pPr>
    </w:p>
    <w:p>
      <w:pPr>
        <w:ind w:right="140" w:firstLine="810"/>
        <w:spacing w:after="0" w:line="253" w:lineRule="auto"/>
        <w:rPr>
          <w:sz w:val="20"/>
          <w:szCs w:val="20"/>
          <w:color w:val="auto"/>
        </w:rPr>
      </w:pPr>
      <w:r>
        <w:rPr>
          <w:rFonts w:ascii="Times New Roman" w:cs="Times New Roman" w:eastAsia="Times New Roman" w:hAnsi="Times New Roman"/>
          <w:sz w:val="18"/>
          <w:szCs w:val="18"/>
          <w:color w:val="auto"/>
        </w:rPr>
        <w:t>In December 2020, the New Jersey Department of Environmental Protection (“NJDEP”) and the Administrator of the New Jersey Spill Compensation Fund (the “Spill Fund”) filed a lawsuit in the Superior Court of New Jersey, Law Division, Union County against Hovnanian Enterprises, Inc., in addition to other unrelated parties, in connection with contamination at Hickory Manor, a residential condominium development. Alleged predecessors of certain defendants had used the Hickory Manor property for decades for manufacturing purposes. In 1998 (when one of our affiliates purchased the property and began conducting the remediation), NJDEP confirmed that groundwater at this site was impacted from an off-site source. The site was later remediated, resulting in the NJDEP issuing an unconditional site-wide No Further Action (“NFA”) determination letter and Covenant Not to Sue in 1999. Subsequently, one of our affiliates was involved in redeveloping the property as a residential community. The complaint asserts claims under the New Jersey Spill Act and other state law claims and alleges that the NJDEP and the Spill Fund have incurred over $5.3 million since 2009 to investigate vapor intrusion at the development and to install vapor mitigation systems. Among other things, the complaint seeks recovery of the costs incurred, an order that defendants perform additional required remediation and disgorgement of profits on our affiliate’s sales of the homes in the development. Discovery has commenced. Hovnanian Enterprises, Inc. intends to defend these claims vigorously.</w:t>
      </w:r>
    </w:p>
    <w:p>
      <w:pPr>
        <w:spacing w:after="0" w:line="188" w:lineRule="exact"/>
        <w:rPr>
          <w:sz w:val="20"/>
          <w:szCs w:val="20"/>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Cash Equivalents, Restricted Cash and Customers' Deposits</w:t>
      </w:r>
    </w:p>
    <w:p>
      <w:pPr>
        <w:spacing w:after="0" w:line="243" w:lineRule="exact"/>
        <w:rPr>
          <w:sz w:val="20"/>
          <w:szCs w:val="20"/>
          <w:color w:val="auto"/>
        </w:rPr>
      </w:pPr>
    </w:p>
    <w:p>
      <w:pPr>
        <w:ind w:right="40" w:firstLine="810"/>
        <w:spacing w:after="0" w:line="261" w:lineRule="auto"/>
        <w:rPr>
          <w:sz w:val="20"/>
          <w:szCs w:val="20"/>
          <w:color w:val="auto"/>
        </w:rPr>
      </w:pPr>
      <w:r>
        <w:rPr>
          <w:rFonts w:ascii="Times New Roman" w:cs="Times New Roman" w:eastAsia="Times New Roman" w:hAnsi="Times New Roman"/>
          <w:sz w:val="18"/>
          <w:szCs w:val="18"/>
          <w:color w:val="auto"/>
        </w:rPr>
        <w:t>Cash equivalents include certificates of deposit, U.S. Treasury bills and government money–market funds with maturities of 90 days or less when purchased. Our cash balances are held at a few financial institutions and may, at times, exceed insurable amounts. We believe we help to mitigate this risk by depositing our cash in major high credit quality financial institutions. As of April 30, 2026 and October 31, 2025, $8.8 million and $11.9 million, respectively, of our total cash and cash equivalents was in cash equivalents and restricted cash equivalents.</w:t>
      </w:r>
    </w:p>
    <w:p>
      <w:pPr>
        <w:spacing w:after="0" w:line="180" w:lineRule="exact"/>
        <w:rPr>
          <w:sz w:val="20"/>
          <w:szCs w:val="20"/>
          <w:color w:val="auto"/>
        </w:rPr>
      </w:pPr>
    </w:p>
    <w:p>
      <w:pPr>
        <w:ind w:right="20" w:firstLine="810"/>
        <w:spacing w:after="0" w:line="266" w:lineRule="auto"/>
        <w:rPr>
          <w:sz w:val="20"/>
          <w:szCs w:val="20"/>
          <w:color w:val="auto"/>
        </w:rPr>
      </w:pPr>
      <w:r>
        <w:rPr>
          <w:rFonts w:ascii="Times New Roman" w:cs="Times New Roman" w:eastAsia="Times New Roman" w:hAnsi="Times New Roman"/>
          <w:sz w:val="18"/>
          <w:szCs w:val="18"/>
          <w:color w:val="auto"/>
        </w:rPr>
        <w:t>Homebuilding "Restricted cash and cash equivalents" on the Condensed Consolidated Balance Sheets totaled $9.9 million and $12.6 million as of April 30, 2026 and October 31, 2025, respectively, which primarily consists of cash collateralizing our letter of credit agreements and facilities (see Note 12).</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5" w:lineRule="exact"/>
        <w:rPr>
          <w:sz w:val="20"/>
          <w:szCs w:val="20"/>
          <w:color w:val="auto"/>
        </w:rPr>
      </w:pPr>
    </w:p>
    <w:p>
      <w:pPr>
        <w:ind w:right="40" w:firstLine="810"/>
        <w:spacing w:after="0" w:line="258" w:lineRule="auto"/>
        <w:rPr>
          <w:sz w:val="20"/>
          <w:szCs w:val="20"/>
          <w:color w:val="auto"/>
        </w:rPr>
      </w:pPr>
      <w:r>
        <w:rPr>
          <w:rFonts w:ascii="Times New Roman" w:cs="Times New Roman" w:eastAsia="Times New Roman" w:hAnsi="Times New Roman"/>
          <w:sz w:val="18"/>
          <w:szCs w:val="18"/>
          <w:color w:val="auto"/>
        </w:rPr>
        <w:t>Financial services restricted cash and cash equivalents, which are included in "Financial services" assets on the Condensed Consolidated Balance Sheets, totaled $24.5 million and $27.7 million as of April 30, 2026 and October 31, 2025, respectively. Included in these balances were (1) financial services customers’ deposits of $22.2 million and $25.4 million at April 30, 2026 and October 31, 2025, respectively, which are subject to restrictions on our use, and (2) restricted cash under the terms of our mortgage warehouse lines of credit of $2.3 million at both April 30, 2026 and October 31, 2025.</w:t>
      </w:r>
    </w:p>
    <w:p>
      <w:pPr>
        <w:spacing w:after="0" w:line="183" w:lineRule="exact"/>
        <w:rPr>
          <w:sz w:val="20"/>
          <w:szCs w:val="20"/>
          <w:color w:val="auto"/>
        </w:rPr>
      </w:pPr>
    </w:p>
    <w:p>
      <w:pPr>
        <w:jc w:val="both"/>
        <w:ind w:right="100" w:firstLine="810"/>
        <w:spacing w:after="0" w:line="266" w:lineRule="auto"/>
        <w:rPr>
          <w:sz w:val="20"/>
          <w:szCs w:val="20"/>
          <w:color w:val="auto"/>
        </w:rPr>
      </w:pPr>
      <w:r>
        <w:rPr>
          <w:rFonts w:ascii="Times New Roman" w:cs="Times New Roman" w:eastAsia="Times New Roman" w:hAnsi="Times New Roman"/>
          <w:sz w:val="18"/>
          <w:szCs w:val="18"/>
          <w:color w:val="auto"/>
        </w:rPr>
        <w:t>Homebuilding "Customers' deposits" are shown as a liability on the Condensed Consolidated Balance Sheets. These liabilities are significantly more than the applicable periods’ restricted cash balances because in some states the deposits are not restricted from use and, in other states, we are able to release the majority of these customer deposits to cash by pledging letters of credit or surety bonds.</w:t>
      </w:r>
    </w:p>
    <w:p>
      <w:pPr>
        <w:spacing w:after="0" w:line="172" w:lineRule="exact"/>
        <w:rPr>
          <w:sz w:val="20"/>
          <w:szCs w:val="20"/>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ind w:right="140" w:firstLine="810"/>
        <w:spacing w:after="0" w:line="282" w:lineRule="auto"/>
        <w:rPr>
          <w:sz w:val="20"/>
          <w:szCs w:val="20"/>
          <w:color w:val="auto"/>
        </w:rPr>
      </w:pPr>
      <w:r>
        <w:rPr>
          <w:rFonts w:ascii="Times New Roman" w:cs="Times New Roman" w:eastAsia="Times New Roman" w:hAnsi="Times New Roman"/>
          <w:sz w:val="18"/>
          <w:szCs w:val="18"/>
          <w:color w:val="auto"/>
        </w:rPr>
        <w:t>We rent certain office space for use in our operations. Our lease population at April 30, 2026 is comprised of operating leases where we are the lessee, primarily for our corporate office and division offices.</w:t>
      </w:r>
    </w:p>
    <w:p>
      <w:pPr>
        <w:spacing w:after="0" w:line="162" w:lineRule="exact"/>
        <w:rPr>
          <w:sz w:val="20"/>
          <w:szCs w:val="20"/>
          <w:color w:val="auto"/>
        </w:rPr>
      </w:pPr>
    </w:p>
    <w:p>
      <w:pPr>
        <w:ind w:right="860" w:firstLine="810"/>
        <w:spacing w:after="0" w:line="282" w:lineRule="auto"/>
        <w:rPr>
          <w:sz w:val="20"/>
          <w:szCs w:val="20"/>
          <w:color w:val="auto"/>
        </w:rPr>
      </w:pPr>
      <w:r>
        <w:rPr>
          <w:rFonts w:ascii="Times New Roman" w:cs="Times New Roman" w:eastAsia="Times New Roman" w:hAnsi="Times New Roman"/>
          <w:sz w:val="18"/>
          <w:szCs w:val="18"/>
          <w:color w:val="auto"/>
        </w:rPr>
        <w:t>Lease costs are included in our Condensed Consolidated Statements of Operations, primarily in "Selling, general and administrative" homebuilding expenses, and payments on our lease liabilities are presented in the table below.</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2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360" w:type="dxa"/>
            <w:vAlign w:val="bottom"/>
            <w:gridSpan w:val="3"/>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40" w:type="dxa"/>
            <w:vAlign w:val="bottom"/>
          </w:tcPr>
          <w:p>
            <w:pPr>
              <w:spacing w:after="0"/>
              <w:rPr>
                <w:sz w:val="19"/>
                <w:szCs w:val="19"/>
                <w:color w:val="auto"/>
              </w:rPr>
            </w:pPr>
          </w:p>
        </w:tc>
        <w:tc>
          <w:tcPr>
            <w:tcW w:w="2300" w:type="dxa"/>
            <w:vAlign w:val="bottom"/>
            <w:gridSpan w:val="3"/>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420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9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860" w:type="dxa"/>
            <w:vAlign w:val="bottom"/>
            <w:tcBorders>
              <w:bottom w:val="single" w:sz="8" w:color="auto"/>
            </w:tcBorders>
          </w:tcPr>
          <w:p>
            <w:pPr>
              <w:spacing w:after="0"/>
              <w:rPr>
                <w:sz w:val="20"/>
                <w:szCs w:val="20"/>
                <w:color w:val="auto"/>
              </w:rPr>
            </w:pPr>
          </w:p>
        </w:tc>
      </w:tr>
      <w:tr>
        <w:trPr>
          <w:trHeight w:val="209"/>
        </w:trPr>
        <w:tc>
          <w:tcPr>
            <w:tcW w:w="4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0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0"/>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costs</w:t>
            </w:r>
          </w:p>
        </w:tc>
        <w:tc>
          <w:tcPr>
            <w:tcW w:w="20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3,252</w:t>
            </w:r>
          </w:p>
        </w:tc>
        <w:tc>
          <w:tcPr>
            <w:tcW w:w="4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2,837</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6,125</w:t>
            </w:r>
          </w:p>
        </w:tc>
        <w:tc>
          <w:tcPr>
            <w:tcW w:w="4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5,832</w:t>
            </w:r>
          </w:p>
        </w:tc>
      </w:tr>
      <w:tr>
        <w:trPr>
          <w:trHeight w:val="234"/>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Cash payments on lease liabilities</w:t>
            </w:r>
          </w:p>
        </w:tc>
        <w:tc>
          <w:tcPr>
            <w:tcW w:w="2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2,916</w:t>
            </w:r>
          </w:p>
        </w:tc>
        <w:tc>
          <w:tcPr>
            <w:tcW w:w="4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2,741</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5,745</w:t>
            </w:r>
          </w:p>
        </w:tc>
        <w:tc>
          <w:tcPr>
            <w:tcW w:w="4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5,572</w:t>
            </w:r>
          </w:p>
        </w:tc>
      </w:tr>
    </w:tbl>
    <w:p>
      <w:pPr>
        <w:spacing w:after="0" w:line="193" w:lineRule="exact"/>
        <w:rPr>
          <w:sz w:val="20"/>
          <w:szCs w:val="20"/>
          <w:color w:val="auto"/>
        </w:rPr>
      </w:pPr>
    </w:p>
    <w:p>
      <w:pPr>
        <w:ind w:right="80" w:firstLine="810"/>
        <w:spacing w:after="0" w:line="256" w:lineRule="auto"/>
        <w:rPr>
          <w:sz w:val="20"/>
          <w:szCs w:val="20"/>
          <w:color w:val="auto"/>
        </w:rPr>
      </w:pPr>
      <w:r>
        <w:rPr>
          <w:rFonts w:ascii="Times New Roman" w:cs="Times New Roman" w:eastAsia="Times New Roman" w:hAnsi="Times New Roman"/>
          <w:sz w:val="18"/>
          <w:szCs w:val="18"/>
          <w:color w:val="auto"/>
        </w:rPr>
        <w:t>Operating right-of-use lease assets ("ROU assets") are included in "Prepaid expenses and other assets" on our Condensed Consolidated Balance Sheets, while lease liabilities are included in "Accounts payable and other liabilities." During the six months ended April 30, 2026, we had an increase to ROU assets of $11.1 million and an increase to lease liabilities of $13.7 million primarily as a result of new leases and lease renewals, adjusted for lease incentives, that commenced during the period. During the six months ended April 30, 2026, we recognized $4.9 million of income included in "Other (income) expense, net" in our Condensed Consolidated Statements of Operations, due to the receipt of an early termination fee to leave office space in the Northeast segment before the lease maturity date. The following table contains additional information about our leases: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9"/>
              </w:rPr>
              <w:t>October 31,</w:t>
            </w:r>
          </w:p>
        </w:tc>
      </w:tr>
      <w:tr>
        <w:trPr>
          <w:trHeight w:val="238"/>
        </w:trPr>
        <w:tc>
          <w:tcPr>
            <w:tcW w:w="7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38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April 30, 2026</w:t>
            </w: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0"/>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ROU assets</w:t>
            </w:r>
          </w:p>
        </w:tc>
        <w:tc>
          <w:tcPr>
            <w:tcW w:w="13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34,797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23,671</w:t>
            </w:r>
          </w:p>
        </w:tc>
      </w:tr>
      <w:tr>
        <w:trPr>
          <w:trHeight w:val="230"/>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3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40,820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27,090</w:t>
            </w:r>
          </w:p>
        </w:tc>
      </w:tr>
      <w:tr>
        <w:trPr>
          <w:trHeight w:val="229"/>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1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5.7</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3.5</w:t>
            </w:r>
          </w:p>
        </w:tc>
      </w:tr>
      <w:tr>
        <w:trPr>
          <w:trHeight w:val="234"/>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3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8.1 %</w:t>
            </w:r>
          </w:p>
        </w:tc>
      </w:tr>
      <w:tr>
        <w:trPr>
          <w:trHeight w:val="427"/>
        </w:trPr>
        <w:tc>
          <w:tcPr>
            <w:tcW w:w="74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Maturities of our operating lease liabilities as of April 30, 2026 are as follows:</w:t>
            </w:r>
          </w:p>
        </w:tc>
        <w:tc>
          <w:tcPr>
            <w:tcW w:w="1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73"/>
        </w:trPr>
        <w:tc>
          <w:tcPr>
            <w:tcW w:w="7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Fiscal Year Ending October 31,</w:t>
            </w:r>
          </w:p>
        </w:tc>
        <w:tc>
          <w:tcPr>
            <w:tcW w:w="13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(In thousands)</w:t>
            </w:r>
          </w:p>
        </w:tc>
      </w:tr>
      <w:tr>
        <w:trPr>
          <w:trHeight w:val="236"/>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 (excluding the six months ended April 30, 2026)</w:t>
            </w:r>
          </w:p>
        </w:tc>
        <w:tc>
          <w:tcPr>
            <w:tcW w:w="13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6,131</w:t>
            </w:r>
          </w:p>
        </w:tc>
      </w:tr>
      <w:tr>
        <w:trPr>
          <w:trHeight w:val="257"/>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3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11,414</w:t>
            </w:r>
          </w:p>
        </w:tc>
      </w:tr>
      <w:tr>
        <w:trPr>
          <w:trHeight w:val="256"/>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3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8,454</w:t>
            </w:r>
          </w:p>
        </w:tc>
      </w:tr>
      <w:tr>
        <w:trPr>
          <w:trHeight w:val="257"/>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3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7,454</w:t>
            </w:r>
          </w:p>
        </w:tc>
      </w:tr>
      <w:tr>
        <w:trPr>
          <w:trHeight w:val="257"/>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13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5,768</w:t>
            </w:r>
          </w:p>
        </w:tc>
      </w:tr>
      <w:tr>
        <w:trPr>
          <w:trHeight w:val="256"/>
        </w:trPr>
        <w:tc>
          <w:tcPr>
            <w:tcW w:w="7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2031 and thereafter</w:t>
            </w:r>
          </w:p>
        </w:tc>
        <w:tc>
          <w:tcPr>
            <w:tcW w:w="13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12,246</w:t>
            </w:r>
          </w:p>
        </w:tc>
      </w:tr>
      <w:tr>
        <w:trPr>
          <w:trHeight w:val="237"/>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lease payments</w:t>
            </w:r>
          </w:p>
        </w:tc>
        <w:tc>
          <w:tcPr>
            <w:tcW w:w="13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51,467</w:t>
            </w:r>
          </w:p>
        </w:tc>
      </w:tr>
      <w:tr>
        <w:trPr>
          <w:trHeight w:val="256"/>
        </w:trPr>
        <w:tc>
          <w:tcPr>
            <w:tcW w:w="7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3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(10,647)</w:t>
            </w:r>
          </w:p>
        </w:tc>
      </w:tr>
      <w:tr>
        <w:trPr>
          <w:trHeight w:val="236"/>
        </w:trPr>
        <w:tc>
          <w:tcPr>
            <w:tcW w:w="74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operating lease liabilities</w:t>
            </w:r>
          </w:p>
        </w:tc>
        <w:tc>
          <w:tcPr>
            <w:tcW w:w="138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40,820</w:t>
            </w:r>
          </w:p>
        </w:tc>
      </w:tr>
      <w:tr>
        <w:trPr>
          <w:trHeight w:val="20"/>
        </w:trPr>
        <w:tc>
          <w:tcPr>
            <w:tcW w:w="74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413"/>
        </w:trPr>
        <w:tc>
          <w:tcPr>
            <w:tcW w:w="746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14</w:t>
            </w:r>
          </w:p>
        </w:tc>
        <w:tc>
          <w:tcPr>
            <w:tcW w:w="1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748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Mortgage Loans Held for Sale</w:t>
      </w:r>
    </w:p>
    <w:p>
      <w:pPr>
        <w:spacing w:after="0" w:line="229" w:lineRule="exact"/>
        <w:rPr>
          <w:sz w:val="20"/>
          <w:szCs w:val="20"/>
          <w:color w:val="auto"/>
        </w:rPr>
      </w:pPr>
    </w:p>
    <w:p>
      <w:pPr>
        <w:ind w:right="60" w:firstLine="810"/>
        <w:spacing w:after="0" w:line="261" w:lineRule="auto"/>
        <w:rPr>
          <w:sz w:val="20"/>
          <w:szCs w:val="20"/>
          <w:color w:val="auto"/>
        </w:rPr>
      </w:pPr>
      <w:r>
        <w:rPr>
          <w:rFonts w:ascii="Times New Roman" w:cs="Times New Roman" w:eastAsia="Times New Roman" w:hAnsi="Times New Roman"/>
          <w:sz w:val="18"/>
          <w:szCs w:val="18"/>
          <w:color w:val="auto"/>
        </w:rPr>
        <w:t>Our wholly owned mortgage banking subsidiary, K. Hovnanian American Mortgage, LLC (“K. Hovnanian Mortgage”), originates mortgage loans, primarily from the sale of our homes. Such mortgage loans and related servicing rights are generally sold in the secondary mortgage market within a short period of time from origination. Mortgage loans held for sale are collateralized by the underlying property. Loans held for sale are recorded at fair value with changes in the value recognized in the Condensed Consolidated Statements of Operations in “Financial services” revenue.</w:t>
      </w:r>
    </w:p>
    <w:p>
      <w:pPr>
        <w:spacing w:after="0" w:line="180" w:lineRule="exact"/>
        <w:rPr>
          <w:sz w:val="20"/>
          <w:szCs w:val="20"/>
          <w:color w:val="auto"/>
        </w:rPr>
      </w:pPr>
    </w:p>
    <w:p>
      <w:pPr>
        <w:ind w:firstLine="810"/>
        <w:spacing w:after="0" w:line="256" w:lineRule="auto"/>
        <w:rPr>
          <w:sz w:val="20"/>
          <w:szCs w:val="20"/>
          <w:color w:val="auto"/>
        </w:rPr>
      </w:pPr>
      <w:r>
        <w:rPr>
          <w:rFonts w:ascii="Times New Roman" w:cs="Times New Roman" w:eastAsia="Times New Roman" w:hAnsi="Times New Roman"/>
          <w:sz w:val="18"/>
          <w:szCs w:val="18"/>
          <w:color w:val="auto"/>
        </w:rPr>
        <w:t>As of April 30, 2026 and October 31, 2025, $113.8 million and $107.6 million, respectively, of mortgages held for sale were pledged against our mortgage warehouse lines of credit (see Note 11). We may incur losses with respect to mortgages that were previously sold that are delinquent and which had underwriting defects, but only to the extent the losses are not covered by mortgage insurance or the resale value of the home. The reserves for these estimated losses are included in “Financial services” liabilities on the Condensed Consolidated Balance Sheets. As of both April 30, 2026 and October 31, 2025, we had specific reserves for 9 identified mortgage loans as well as reserves for an estimate of future losses on mortgages sold but not yet identified to us.</w:t>
      </w:r>
    </w:p>
    <w:p>
      <w:pPr>
        <w:spacing w:after="0" w:line="18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The activity in our loan origination reserves during the three and six months ended April 30, 2026 and 2025 were as follows:</w:t>
      </w:r>
    </w:p>
    <w:p>
      <w:pPr>
        <w:sectPr>
          <w:pgSz w:w="11900" w:h="16838" w:orient="portrait"/>
          <w:cols w:equalWidth="0" w:num="1">
            <w:col w:w="11240"/>
          </w:cols>
          <w:pgMar w:left="320" w:top="121" w:right="339" w:bottom="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0"/>
        </w:trPr>
        <w:tc>
          <w:tcPr>
            <w:tcW w:w="47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360" w:type="dxa"/>
            <w:vAlign w:val="bottom"/>
            <w:gridSpan w:val="3"/>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40" w:type="dxa"/>
            <w:vAlign w:val="bottom"/>
          </w:tcPr>
          <w:p>
            <w:pPr>
              <w:spacing w:after="0"/>
              <w:rPr>
                <w:sz w:val="19"/>
                <w:szCs w:val="19"/>
                <w:color w:val="auto"/>
              </w:rPr>
            </w:pPr>
          </w:p>
        </w:tc>
        <w:tc>
          <w:tcPr>
            <w:tcW w:w="2300" w:type="dxa"/>
            <w:vAlign w:val="bottom"/>
            <w:gridSpan w:val="3"/>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47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9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860" w:type="dxa"/>
            <w:vAlign w:val="bottom"/>
            <w:tcBorders>
              <w:bottom w:val="single" w:sz="8" w:color="auto"/>
            </w:tcBorders>
          </w:tcPr>
          <w:p>
            <w:pPr>
              <w:spacing w:after="0"/>
              <w:rPr>
                <w:sz w:val="20"/>
                <w:szCs w:val="20"/>
                <w:color w:val="auto"/>
              </w:rPr>
            </w:pPr>
          </w:p>
        </w:tc>
      </w:tr>
      <w:tr>
        <w:trPr>
          <w:trHeight w:val="209"/>
        </w:trPr>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5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0"/>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origination reserves, beginning of period</w:t>
            </w:r>
          </w:p>
        </w:tc>
        <w:tc>
          <w:tcPr>
            <w:tcW w:w="15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2,085</w:t>
            </w:r>
          </w:p>
        </w:tc>
        <w:tc>
          <w:tcPr>
            <w:tcW w:w="4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2,626</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2,016</w:t>
            </w:r>
          </w:p>
        </w:tc>
        <w:tc>
          <w:tcPr>
            <w:tcW w:w="4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w:t>
            </w:r>
          </w:p>
        </w:tc>
      </w:tr>
      <w:tr>
        <w:trPr>
          <w:trHeight w:val="229"/>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Provisions for estimated losses during the period</w:t>
            </w:r>
          </w:p>
        </w:tc>
        <w:tc>
          <w:tcPr>
            <w:tcW w:w="150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141</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34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210</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r>
      <w:tr>
        <w:trPr>
          <w:trHeight w:val="229"/>
        </w:trPr>
        <w:tc>
          <w:tcPr>
            <w:tcW w:w="47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Payments/settlements</w:t>
            </w:r>
          </w:p>
        </w:tc>
        <w:tc>
          <w:tcPr>
            <w:tcW w:w="1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4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0"/>
        </w:trPr>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Loan origination reserves, end of period</w:t>
            </w:r>
          </w:p>
        </w:tc>
        <w:tc>
          <w:tcPr>
            <w:tcW w:w="15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333333"/>
              </w:rPr>
              <w:t>2,168</w:t>
            </w:r>
          </w:p>
        </w:tc>
        <w:tc>
          <w:tcPr>
            <w:tcW w:w="4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33333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333333"/>
              </w:rPr>
              <w:t>2,738</w:t>
            </w:r>
          </w:p>
        </w:tc>
        <w:tc>
          <w:tcPr>
            <w:tcW w:w="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333333"/>
              </w:rPr>
              <w:t>2,168</w:t>
            </w:r>
          </w:p>
        </w:tc>
        <w:tc>
          <w:tcPr>
            <w:tcW w:w="4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333333"/>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333333"/>
              </w:rPr>
              <w:t>2,738</w:t>
            </w:r>
          </w:p>
        </w:tc>
      </w:tr>
      <w:tr>
        <w:trPr>
          <w:trHeight w:val="20"/>
        </w:trPr>
        <w:tc>
          <w:tcPr>
            <w:tcW w:w="47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p>
      <w:pPr>
        <w:ind w:left="820" w:right="9500" w:hanging="794"/>
        <w:spacing w:after="0" w:line="541" w:lineRule="auto"/>
        <w:tabs>
          <w:tab w:leader="none" w:pos="379" w:val="left"/>
        </w:tabs>
        <w:numPr>
          <w:ilvl w:val="0"/>
          <w:numId w:val="1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Mortgages </w:t>
      </w:r>
      <w:r>
        <w:rPr>
          <w:rFonts w:ascii="Times New Roman" w:cs="Times New Roman" w:eastAsia="Times New Roman" w:hAnsi="Times New Roman"/>
          <w:sz w:val="17"/>
          <w:szCs w:val="17"/>
          <w:i w:val="1"/>
          <w:iCs w:val="1"/>
          <w:color w:val="auto"/>
        </w:rPr>
        <w:t>Nonrecourse</w:t>
      </w:r>
    </w:p>
    <w:p>
      <w:pPr>
        <w:ind w:left="820"/>
        <w:spacing w:after="0"/>
        <w:rPr>
          <w:sz w:val="20"/>
          <w:szCs w:val="20"/>
          <w:color w:val="auto"/>
        </w:rPr>
      </w:pPr>
      <w:r>
        <w:rPr>
          <w:rFonts w:ascii="Times New Roman" w:cs="Times New Roman" w:eastAsia="Times New Roman" w:hAnsi="Times New Roman"/>
          <w:sz w:val="18"/>
          <w:szCs w:val="18"/>
          <w:color w:val="auto"/>
        </w:rPr>
        <w:t>We had nonrecourse mortgage loans for certain communities totaling $32.7 million and $29.5 million, net of debt issuance costs, as of April 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2026 and October 31, 2025, respectively, which are secured by the related real property, including any improvements, with an aggregate book value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$55.2 million and $113.9 million, respectively. The weighted-average interest rate on these obligations was 7.2% and 7.4% at April 30, 2026 and October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 2025, respectively, and the mortgage loan payments primarily correspond to home deliveries.</w:t>
      </w:r>
    </w:p>
    <w:p>
      <w:pPr>
        <w:spacing w:after="0" w:line="20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i w:val="1"/>
          <w:iCs w:val="1"/>
          <w:color w:val="auto"/>
        </w:rPr>
        <w:t>Mortgage Loans</w:t>
      </w:r>
    </w:p>
    <w:p>
      <w:pPr>
        <w:spacing w:after="0" w:line="227" w:lineRule="exact"/>
        <w:rPr>
          <w:sz w:val="20"/>
          <w:szCs w:val="20"/>
          <w:color w:val="auto"/>
        </w:rPr>
      </w:pPr>
    </w:p>
    <w:p>
      <w:pPr>
        <w:ind w:right="540" w:firstLine="810"/>
        <w:spacing w:after="0" w:line="282" w:lineRule="auto"/>
        <w:rPr>
          <w:sz w:val="20"/>
          <w:szCs w:val="20"/>
          <w:color w:val="auto"/>
        </w:rPr>
      </w:pPr>
      <w:r>
        <w:rPr>
          <w:rFonts w:ascii="Times New Roman" w:cs="Times New Roman" w:eastAsia="Times New Roman" w:hAnsi="Times New Roman"/>
          <w:sz w:val="18"/>
          <w:szCs w:val="18"/>
          <w:color w:val="auto"/>
        </w:rPr>
        <w:t>K. Hovnanian Mortgage finances the origination of mortgage loans through various master repurchase agreements, which are recorded in "Financial services" liabilities on the Condensed Consolidated Balance Sheets.</w:t>
      </w:r>
    </w:p>
    <w:p>
      <w:pPr>
        <w:spacing w:after="0" w:line="162" w:lineRule="exact"/>
        <w:rPr>
          <w:sz w:val="20"/>
          <w:szCs w:val="20"/>
          <w:color w:val="auto"/>
        </w:rPr>
      </w:pPr>
    </w:p>
    <w:p>
      <w:pPr>
        <w:ind w:right="180" w:firstLine="810"/>
        <w:spacing w:after="0" w:line="256" w:lineRule="auto"/>
        <w:rPr>
          <w:sz w:val="20"/>
          <w:szCs w:val="20"/>
          <w:color w:val="auto"/>
        </w:rPr>
      </w:pPr>
      <w:r>
        <w:rPr>
          <w:rFonts w:ascii="Times New Roman" w:cs="Times New Roman" w:eastAsia="Times New Roman" w:hAnsi="Times New Roman"/>
          <w:sz w:val="18"/>
          <w:szCs w:val="18"/>
          <w:color w:val="auto"/>
        </w:rPr>
        <w:t>Our secured Master Repurchase Agreement with JPMorgan Chase Bank, N.A. (“Chase Master Repurchase Agreement”), which was amended on March 24, 2026 to extend the maturity date to March 31, 2027, is a short-term borrowing facility that provides up to $50.0 million through its maturity. The loan is secured by the mortgages held for sale and is repaid when we sell the underlying mortgage loans to permanent investors. Interest is payable monthly on outstanding advances at an adjusted Secured Overnight Financing Rate ("SOFR"), plus an applicable margin of 2.00% to 2.25%. As of April 30, 2026, the aggregate principal amount of all borrowings outstanding under the Chase Master Repurchase Agreement was $16.0 million. As of October 31, 2025 there were no borrowings outstanding under the Chase Master Repurchase Agreement.</w:t>
      </w:r>
    </w:p>
    <w:p>
      <w:pPr>
        <w:spacing w:after="0" w:line="187" w:lineRule="exact"/>
        <w:rPr>
          <w:sz w:val="20"/>
          <w:szCs w:val="20"/>
          <w:color w:val="auto"/>
        </w:rPr>
      </w:pPr>
    </w:p>
    <w:p>
      <w:pPr>
        <w:ind w:right="40" w:firstLine="810"/>
        <w:spacing w:after="0" w:line="255" w:lineRule="auto"/>
        <w:rPr>
          <w:sz w:val="20"/>
          <w:szCs w:val="20"/>
          <w:color w:val="auto"/>
        </w:rPr>
      </w:pPr>
      <w:r>
        <w:rPr>
          <w:rFonts w:ascii="Times New Roman" w:cs="Times New Roman" w:eastAsia="Times New Roman" w:hAnsi="Times New Roman"/>
          <w:sz w:val="18"/>
          <w:szCs w:val="18"/>
          <w:color w:val="auto"/>
        </w:rPr>
        <w:t>K. Hovnanian Mortgage has another secured Master Repurchase Agreement with Customers Bank (“Customers Master Repurchase Agreement”) which was amended on March 4, 2026 to extend the maturity date to March 3, 2027, and is a short-term borrowing facility that provides up to $100.0 million through its maturity. The loan is secured by the mortgages held for sale and is repaid when we sell the underlying mortgage loans to permanent investors. Interest is payable daily or as loans are sold to permanent investors on outstanding advances at the current SOFR, plus an applicable margin ranging from 2.125% to 4.5% based on the type of loan and the number of days outstanding on the warehouse line. As of April 30, 2026 and October 31, 2025, the aggregate principal amount of all borrowings outstanding under the Customers Master Repurchase Agreement was $27.6 million and $17.8 million, respectively.</w:t>
      </w:r>
    </w:p>
    <w:p>
      <w:pPr>
        <w:spacing w:after="0" w:line="189" w:lineRule="exact"/>
        <w:rPr>
          <w:sz w:val="20"/>
          <w:szCs w:val="20"/>
          <w:color w:val="auto"/>
        </w:rPr>
      </w:pPr>
    </w:p>
    <w:p>
      <w:pPr>
        <w:ind w:right="60" w:firstLine="810"/>
        <w:spacing w:after="0" w:line="256" w:lineRule="auto"/>
        <w:rPr>
          <w:sz w:val="20"/>
          <w:szCs w:val="20"/>
          <w:color w:val="auto"/>
        </w:rPr>
      </w:pPr>
      <w:r>
        <w:rPr>
          <w:rFonts w:ascii="Times New Roman" w:cs="Times New Roman" w:eastAsia="Times New Roman" w:hAnsi="Times New Roman"/>
          <w:sz w:val="18"/>
          <w:szCs w:val="18"/>
          <w:color w:val="auto"/>
        </w:rPr>
        <w:t>K. Hovnanian Mortgage has another secured Master Repurchase Agreement with Hinsdale Bank &amp; Trust Company, N.A. ("Hinsdale Master Repurchase Agreement") which is a short-term borrowing facility that provides up to $50.0 million through its maturity on July 13, 2026. The loan is secured by the mortgages held for sale and is repaid when we sell the underlying mortgage loans to permanent investors. Interest is payable monthly on outstanding advances at the One-Month Term SOFR, plus an applicable margin of 1.75% subject to a floor of 2.75%. As of April 30, 2026 and October 31, 2025, the aggregate principal amount of all borrowings outstanding under the Hinsdale Master Repurchase Agreement was $43.5 million and $35.9 million, respectively.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5" w:lineRule="exact"/>
        <w:rPr>
          <w:sz w:val="20"/>
          <w:szCs w:val="20"/>
          <w:color w:val="auto"/>
        </w:rPr>
      </w:pPr>
    </w:p>
    <w:p>
      <w:pPr>
        <w:ind w:right="60" w:firstLine="810"/>
        <w:spacing w:after="0" w:line="256" w:lineRule="auto"/>
        <w:rPr>
          <w:sz w:val="20"/>
          <w:szCs w:val="20"/>
          <w:color w:val="auto"/>
        </w:rPr>
      </w:pPr>
      <w:r>
        <w:rPr>
          <w:rFonts w:ascii="Times New Roman" w:cs="Times New Roman" w:eastAsia="Times New Roman" w:hAnsi="Times New Roman"/>
          <w:sz w:val="18"/>
          <w:szCs w:val="18"/>
          <w:color w:val="auto"/>
        </w:rPr>
        <w:t>K. Hovnanian Mortgage has another secured Master Repurchase Agreement with PlainsCapital Bank ("PlainsCapital Master Repurchase Agreement"), which is a short-term borrowing facility that was amended on May 1, 2026 to reduce the borrowing limit from $75.0 million to $50.0 million and to extend the maturity date to May 31, 2027. The loan is secured by the mortgages held for sale and is repaid when we sell the underlying mortgage loans to permanent investors. Interest is payable daily or as loans are sold to permanent investors on outstanding advances at the Daily SOFR, plus an applicable margin of 2.125% subject to a floor of 5.5%. As of April 30, 2026 and October 31, 2025, the aggregate principal amount of all borrowings outstanding under the PlainsCapital Master Repurchase Agreement was $14.5 million and $40.6 million, respectively.</w:t>
      </w:r>
    </w:p>
    <w:p>
      <w:pPr>
        <w:spacing w:after="0" w:line="187" w:lineRule="exact"/>
        <w:rPr>
          <w:sz w:val="20"/>
          <w:szCs w:val="20"/>
          <w:color w:val="auto"/>
        </w:rPr>
      </w:pPr>
    </w:p>
    <w:p>
      <w:pPr>
        <w:ind w:firstLine="810"/>
        <w:spacing w:after="0" w:line="254" w:lineRule="auto"/>
        <w:rPr>
          <w:sz w:val="20"/>
          <w:szCs w:val="20"/>
          <w:color w:val="auto"/>
        </w:rPr>
      </w:pPr>
      <w:r>
        <w:rPr>
          <w:rFonts w:ascii="Times New Roman" w:cs="Times New Roman" w:eastAsia="Times New Roman" w:hAnsi="Times New Roman"/>
          <w:sz w:val="18"/>
          <w:szCs w:val="18"/>
          <w:color w:val="auto"/>
        </w:rPr>
        <w:t>The Chase Master Repurchase Agreement, Customers Master Repurchase Agreement, Hinsdale Master Repurchase Agreement and PlainsCapital Master Repurchase Agreement (together, the “Master Repurchase Agreements”) require K. Hovnanian Mortgage to satisfy and maintain specified financial ratios and other financial condition tests. Because of the extremely short period of time mortgages are held by K. Hovnanian Mortgage before the mortgages are sold to investors (generally a period of a few weeks), the immateriality to us on a consolidated basis, the size of the Master Repurchase Agreements, the levels required by these financial covenants, our ability based on our immediately available resources to contribute sufficient capital to cure any default, were such conditions to occur, and our right to cure any conditions of default based on the terms of the applicable agreement, we do not consider any of these covenants to be substantive or material. As of April 30, 2026, we believe we were in compliance with the covenants under the Master Repurchase Agreements.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12.  Senior Notes and Credit Facilities</w:t>
            </w:r>
          </w:p>
        </w:tc>
        <w:tc>
          <w:tcPr>
            <w:tcW w:w="5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84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Senior notes and credit facilities balances as of April 30, 2026 and October 31, 2025, were as follows:</w:t>
            </w: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October 31,</w:t>
            </w:r>
          </w:p>
        </w:tc>
        <w:tc>
          <w:tcPr>
            <w:tcW w:w="0" w:type="dxa"/>
            <w:vAlign w:val="bottom"/>
          </w:tcPr>
          <w:p>
            <w:pPr>
              <w:spacing w:after="0"/>
              <w:rPr>
                <w:sz w:val="1"/>
                <w:szCs w:val="1"/>
                <w:color w:val="auto"/>
              </w:rPr>
            </w:pPr>
          </w:p>
        </w:tc>
      </w:tr>
      <w:tr>
        <w:trPr>
          <w:trHeight w:val="238"/>
        </w:trPr>
        <w:tc>
          <w:tcPr>
            <w:tcW w:w="8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54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April 30, 2026</w:t>
            </w: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Notes:</w:t>
            </w:r>
          </w:p>
        </w:tc>
        <w:tc>
          <w:tcPr>
            <w:tcW w:w="5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8.0% Senior Notes due April 1, 2031</w:t>
            </w:r>
          </w:p>
        </w:tc>
        <w:tc>
          <w:tcPr>
            <w:tcW w:w="5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450,000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8.375% Senior Notes due October 1, 2033</w:t>
            </w: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450,000</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5.0% Senior Notes due February 1, 2040</w:t>
            </w:r>
          </w:p>
        </w:tc>
        <w:tc>
          <w:tcPr>
            <w:tcW w:w="5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24,968</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4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Senior Notes</w:t>
            </w:r>
          </w:p>
        </w:tc>
        <w:tc>
          <w:tcPr>
            <w:tcW w:w="58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924,968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924,968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42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Senior Secured Revolving Credit Facility(1)</w:t>
            </w:r>
          </w:p>
        </w:tc>
        <w:tc>
          <w:tcPr>
            <w:tcW w:w="580" w:type="dxa"/>
            <w:vAlign w:val="bottom"/>
            <w:tcBorders>
              <w:bottom w:val="single" w:sz="8" w:color="auto"/>
            </w:tcBorders>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8420" w:type="dxa"/>
            <w:vAlign w:val="bottom"/>
            <w:tcBorders>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Subtotal senior notes and credit facilities</w:t>
            </w:r>
          </w:p>
        </w:tc>
        <w:tc>
          <w:tcPr>
            <w:tcW w:w="58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924,968</w:t>
            </w: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924,968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42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Net (discounts) premiums</w:t>
            </w:r>
          </w:p>
        </w:tc>
        <w:tc>
          <w:tcPr>
            <w:tcW w:w="580" w:type="dxa"/>
            <w:vAlign w:val="bottom"/>
            <w:tcBorders>
              <w:bottom w:val="single" w:sz="8" w:color="auto"/>
            </w:tcBorders>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(10,887)</w:t>
            </w:r>
          </w:p>
        </w:tc>
        <w:tc>
          <w:tcPr>
            <w:tcW w:w="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(11,051)</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8420" w:type="dxa"/>
            <w:vAlign w:val="bottom"/>
            <w:tcBorders>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Unamortized debt issuance costs</w:t>
            </w:r>
          </w:p>
        </w:tc>
        <w:tc>
          <w:tcPr>
            <w:tcW w:w="58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(12,182)</w:t>
            </w: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(13,199)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2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Total senior notes and credit facilities, net of discounts, premiums and unamortized debt issuance costs</w:t>
            </w:r>
          </w:p>
        </w:tc>
        <w:tc>
          <w:tcPr>
            <w:tcW w:w="580" w:type="dxa"/>
            <w:vAlign w:val="bottom"/>
            <w:tcBorders>
              <w:bottom w:val="single" w:sz="8" w:color="auto"/>
            </w:tcBorders>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901,899</w:t>
            </w:r>
          </w:p>
        </w:tc>
        <w:tc>
          <w:tcPr>
            <w:tcW w:w="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900,718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right="260" w:firstLine="8"/>
        <w:spacing w:after="0" w:line="261" w:lineRule="auto"/>
        <w:tabs>
          <w:tab w:leader="none" w:pos="255"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At April 30, 2026, provides for up to $125.0 million in aggregate amount of senior secured first lien revolving loans. The revolving loans under the revolving credit facility have a maturity of June 30, 2028 and borrowings bear interest, at K. Hovnanian’s option, at either (i) a term SOFR (subject to a floor of 3.00%) plus an applicable margin of 4.50% or (ii) an alternate base rate (subject to a floor of 3.00%) plus an applicable margin of 3.50%. In addition, K. Hovnanian will pay an unused commitment fee on the undrawn revolving commitments at a rate of 1.00% per annum</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187" w:lineRule="exact"/>
        <w:rPr>
          <w:sz w:val="20"/>
          <w:szCs w:val="20"/>
          <w:color w:val="auto"/>
        </w:rPr>
      </w:pPr>
    </w:p>
    <w:p>
      <w:pPr>
        <w:ind w:right="20" w:firstLine="810"/>
        <w:spacing w:after="0" w:line="261" w:lineRule="auto"/>
        <w:rPr>
          <w:sz w:val="20"/>
          <w:szCs w:val="20"/>
          <w:color w:val="auto"/>
        </w:rPr>
      </w:pPr>
      <w:r>
        <w:rPr>
          <w:rFonts w:ascii="Times New Roman" w:cs="Times New Roman" w:eastAsia="Times New Roman" w:hAnsi="Times New Roman"/>
          <w:sz w:val="18"/>
          <w:szCs w:val="18"/>
          <w:color w:val="auto"/>
        </w:rPr>
        <w:t>Except for K. Hovnanian, the issuer of the notes and borrower under the credit agreement governing our secured revolving credit facility (the “Secured Credit Facility”), our home mortgage subsidiaries, certain of our title insurance subsidiaries, joint ventures and subsidiaries holding interests in our joint ventures, we and each of our subsidiaries are guarantors of the Secured Credit Facility and senior notes outstanding at April 30, 2026 (collectively, the “Notes Guarantors”).</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5" w:lineRule="exact"/>
        <w:rPr>
          <w:sz w:val="20"/>
          <w:szCs w:val="20"/>
          <w:color w:val="auto"/>
        </w:rPr>
      </w:pPr>
    </w:p>
    <w:p>
      <w:pPr>
        <w:ind w:firstLine="810"/>
        <w:spacing w:after="0" w:line="252" w:lineRule="auto"/>
        <w:rPr>
          <w:sz w:val="20"/>
          <w:szCs w:val="20"/>
          <w:color w:val="auto"/>
        </w:rPr>
      </w:pPr>
      <w:r>
        <w:rPr>
          <w:rFonts w:ascii="Times New Roman" w:cs="Times New Roman" w:eastAsia="Times New Roman" w:hAnsi="Times New Roman"/>
          <w:sz w:val="18"/>
          <w:szCs w:val="18"/>
          <w:color w:val="auto"/>
        </w:rPr>
        <w:t>The credit agreement governing the Secured Credit Facility and the indentures governing the senior notes (together, the "Debt Instruments") outstanding at April 30, 2026, do not contain any financial maintenance covenants, but do contain restrictive covenants that limit, among other things, the ability of HEI and certain of its subsidiaries, including K. Hovnanian, to incur (including through exchanges or certain other types of transactions) indebtedness, pay dividends and make distributions on common and preferred stock, repay/repurchase certain indebtedness prior to its respective stated maturity, repurchase common and preferred stock, make other restricted payments (including investments), sell certain assets (including in certain land banking transactions), incur liens, consolidate, merge, sell or otherwise dispose of all or substantially all of their assets and enter into certain transactions with affiliates. The Debt Instruments also contain customary events of default which would permit the lenders or holders thereof to exercise remedies with respect to the collateral (as applicable), declare the loans (the “Secured Revolving Loans”) made under the Credit Agreement, dated as of October 31, 2019, as amended, by and among K. Hovnanian, the Company, the other guarantors party thereto, Wilmington Trust, National Association, as administrative agent, and the lenders party thereto (the "Secured Credit Agreement") or notes to be immediately due and payable if not cured within applicable grace periods, including the failure to make timely payments on the Secured Revolving Loans or notes or other material indebtedness, cross default to other material indebtedness, the failure to comply with agreements and covenants and specified events of bankruptcy and insolvency and, with respect to the Secured Revolving Loans, material inaccuracy of representations and warranties, a change of control, the failure of the documents granting security for the obligations under the Secured Credit Agreement to be in full force and effect, and the failure of the liens on any material portion of the collateral securing the obligations under the Secured Credit Agreement to be valid and perfected. As of April 30, 2026, we believe we were in compliance with the covenants of the Debt Instruments.</w:t>
      </w:r>
    </w:p>
    <w:p>
      <w:pPr>
        <w:spacing w:after="0" w:line="195" w:lineRule="exact"/>
        <w:rPr>
          <w:sz w:val="20"/>
          <w:szCs w:val="20"/>
          <w:color w:val="auto"/>
        </w:rPr>
      </w:pPr>
    </w:p>
    <w:p>
      <w:pPr>
        <w:ind w:right="40" w:firstLine="810"/>
        <w:spacing w:after="0" w:line="256" w:lineRule="auto"/>
        <w:rPr>
          <w:sz w:val="20"/>
          <w:szCs w:val="20"/>
          <w:color w:val="auto"/>
        </w:rPr>
      </w:pPr>
      <w:r>
        <w:rPr>
          <w:rFonts w:ascii="Times New Roman" w:cs="Times New Roman" w:eastAsia="Times New Roman" w:hAnsi="Times New Roman"/>
          <w:sz w:val="18"/>
          <w:szCs w:val="18"/>
          <w:color w:val="auto"/>
        </w:rPr>
        <w:t>Under the terms of our Debt Instruments, we have the right to make certain redemptions and prepayments and, depending on market conditions, our strategic priorities and covenant restrictions, may do so from time to time. We also continue to analyze and evaluate our capital structure and explore transactions to strengthen our balance sheet, including those that reduce leverage, interest rates and/or extend maturities, and will seek to do so with the right opportunity. We may also continue to make debt or equity purchases and/or exchanges from time to time through tender offers, exchange offers, redemptions, open market purchases, private transactions, or otherwise, or seek to raise additional debt or equity capital, depending on market conditions and covenant restrictions.</w:t>
      </w:r>
    </w:p>
    <w:p>
      <w:pPr>
        <w:sectPr>
          <w:pgSz w:w="11900" w:h="16888" w:orient="portrait"/>
          <w:cols w:equalWidth="0" w:num="1">
            <w:col w:w="11240"/>
          </w:cols>
          <w:pgMar w:left="320" w:top="121" w:right="339" w:bottom="0" w:gutter="0" w:footer="0" w:header="0"/>
        </w:sectPr>
      </w:pPr>
    </w:p>
    <w:bookmarkStart w:id="13" w:name="page14"/>
    <w:bookmarkEnd w:id="13"/>
    <w:p>
      <w:pPr>
        <w:ind w:left="820"/>
        <w:spacing w:after="0"/>
        <w:rPr>
          <w:sz w:val="20"/>
          <w:szCs w:val="20"/>
          <w:color w:val="auto"/>
        </w:rPr>
      </w:pPr>
      <w:r>
        <w:rPr>
          <w:rFonts w:ascii="Times New Roman" w:cs="Times New Roman" w:eastAsia="Times New Roman" w:hAnsi="Times New Roman"/>
          <w:sz w:val="18"/>
          <w:szCs w:val="18"/>
          <w:i w:val="1"/>
          <w:iCs w:val="1"/>
          <w:color w:val="auto"/>
        </w:rPr>
        <w:t>Fiscal 2026</w:t>
      </w:r>
    </w:p>
    <w:p>
      <w:pPr>
        <w:spacing w:after="0" w:line="18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There were no transactions related to our debt securities during the six months ended April 30, 2026.</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i w:val="1"/>
          <w:iCs w:val="1"/>
          <w:color w:val="auto"/>
        </w:rPr>
        <w:t>Secured Obligations</w:t>
      </w:r>
    </w:p>
    <w:p>
      <w:pPr>
        <w:spacing w:after="0" w:line="227" w:lineRule="exact"/>
        <w:rPr>
          <w:sz w:val="20"/>
          <w:szCs w:val="20"/>
          <w:color w:val="auto"/>
        </w:rPr>
      </w:pPr>
    </w:p>
    <w:p>
      <w:pPr>
        <w:ind w:firstLine="810"/>
        <w:spacing w:after="0" w:line="256" w:lineRule="auto"/>
        <w:rPr>
          <w:sz w:val="20"/>
          <w:szCs w:val="20"/>
          <w:color w:val="auto"/>
        </w:rPr>
      </w:pPr>
      <w:r>
        <w:rPr>
          <w:rFonts w:ascii="Times New Roman" w:cs="Times New Roman" w:eastAsia="Times New Roman" w:hAnsi="Times New Roman"/>
          <w:sz w:val="18"/>
          <w:szCs w:val="18"/>
          <w:color w:val="auto"/>
        </w:rPr>
        <w:t>The Secured Credit Agreement provides for up to $125.0 million in aggregate amount of Secured Revolving Loans to be used for general corporate purposes, upon the terms and subject to the conditions set forth therein. Secured Revolving Loans are to be borrowed by K. Hovnanian and guaranteed by the Notes Guarantors. The revolving loans under the Secured Credit Agreement have a maturity of June 30, 2028 and borrowings bear interest, at K. Hovnanian’s option, at either (i) SOFR (subject to a floor of 3.00%) plus an applicable margin of 4.5% or (ii) an alternate base rate (subject to a floor of 3.00%) plus an applicable margin of 3.5%. In addition, K. Hovnanian pays an unused commitment fee on the undrawn revolving commitments at a rate of 1.0% per annum.</w:t>
      </w:r>
    </w:p>
    <w:p>
      <w:pPr>
        <w:spacing w:after="0" w:line="187" w:lineRule="exact"/>
        <w:rPr>
          <w:sz w:val="20"/>
          <w:szCs w:val="20"/>
          <w:color w:val="auto"/>
        </w:rPr>
      </w:pPr>
    </w:p>
    <w:p>
      <w:pPr>
        <w:ind w:right="20" w:firstLine="810"/>
        <w:spacing w:after="0" w:line="258" w:lineRule="auto"/>
        <w:rPr>
          <w:sz w:val="20"/>
          <w:szCs w:val="20"/>
          <w:color w:val="auto"/>
        </w:rPr>
      </w:pPr>
      <w:r>
        <w:rPr>
          <w:rFonts w:ascii="Times New Roman" w:cs="Times New Roman" w:eastAsia="Times New Roman" w:hAnsi="Times New Roman"/>
          <w:sz w:val="18"/>
          <w:szCs w:val="18"/>
          <w:color w:val="auto"/>
        </w:rPr>
        <w:t>As of April 30, 2026, the collateral securing the Secured Credit Agreement included (1) $276.2 million of cash and cash equivalents, which included $6.1 million of restricted cash collateralizing certain letters of credit (subsequent to such date, fluctuations as a result of cash uses include general business operations and real estate and other investments along with cash inflow primarily from deliveries); (2) $624.0 million aggregate book value of real property, which does not include the impact of inventory investments, home deliveries or impairments thereafter and which may differ from the value if it were appraised; and (3) equity interests in joint venture holding companies with an aggregate book value of $144.8 million.</w:t>
      </w:r>
    </w:p>
    <w:p>
      <w:pPr>
        <w:spacing w:after="0" w:line="14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i w:val="1"/>
          <w:iCs w:val="1"/>
          <w:color w:val="auto"/>
        </w:rPr>
        <w:t>Unsecured Obligations</w:t>
      </w:r>
    </w:p>
    <w:p>
      <w:pPr>
        <w:spacing w:after="0" w:line="227" w:lineRule="exact"/>
        <w:rPr>
          <w:sz w:val="20"/>
          <w:szCs w:val="20"/>
          <w:color w:val="auto"/>
        </w:rPr>
      </w:pPr>
    </w:p>
    <w:p>
      <w:pPr>
        <w:ind w:right="80" w:firstLine="810"/>
        <w:spacing w:after="0" w:line="253" w:lineRule="auto"/>
        <w:rPr>
          <w:sz w:val="20"/>
          <w:szCs w:val="20"/>
          <w:color w:val="auto"/>
        </w:rPr>
      </w:pPr>
      <w:r>
        <w:rPr>
          <w:rFonts w:ascii="Times New Roman" w:cs="Times New Roman" w:eastAsia="Times New Roman" w:hAnsi="Times New Roman"/>
          <w:sz w:val="18"/>
          <w:szCs w:val="18"/>
          <w:color w:val="auto"/>
        </w:rPr>
        <w:t>The 8.0% Senior Notes due 2031 (the "2031 Notes") bear interest at 8.0% per annum and mature on April 1, 2031. The 8.375% Senior Notes due 2033 (the "2033 Notes") bear interest at 8.375% per annum and mature on October 1, 2033. Interest on both of the 2031 Notes and 2033 Notes will be payable semi-annually on April 1 and October 1 of each year, beginning on April 1, 2026, to holders of record of the applicable series of notes at the close of business on March 15 or September 15, as the case may be, immediately preceding each such interest payment date. The 2031 Notes are redeemable, in whole or in part, at K. Hovnanian’s option at any time prior to April 1, 2028 at 100.0% of their principal amount plus an applicable “make-whole” amount. K. Hovnanian may also redeem some or all of the 2031 Notes at 104.0% of their principal amount commencing on April 1, 2028, at 102.0% of their principal amount commencing on April 1, 2029 and at 100.0% of their principal amount commencing April 1, 2030. In addition, K. Hovnanian may also redeem up to 40.0% of the aggregate principal amount of 2031 Notes prior to April 1, 2028 with the net cash proceeds from certain equity offerings at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108.0% of their principal amount. The 2033 Notes are redeemable, in whole or in part, at K. Hovnanian’s option at any time prior to October 1, 2028 at</w:t>
      </w:r>
    </w:p>
    <w:p>
      <w:pPr>
        <w:spacing w:after="0" w:line="9"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100.0% of their principal amount plus an applicable “make-whole” amount. K. Hovnanian may also redeem some or all of the 2033 Notes at 104.188% of their principal amount commencing on October 1, 2028, at 102.094% of their principal amount commencing on October 1, 2029 and at 100.0% of their principal amount commencing on October 1, 2030. In addition, K. Hovnanian may also redeem up to 40.0% of the aggregate principal amount of 2033 Notes prior to October 1, 2028 with the net cash proceeds from certain equity offerings at 108.375% of their principal amount.</w:t>
      </w:r>
    </w:p>
    <w:p>
      <w:pPr>
        <w:spacing w:after="0" w:line="189" w:lineRule="exact"/>
        <w:rPr>
          <w:sz w:val="20"/>
          <w:szCs w:val="20"/>
          <w:color w:val="auto"/>
        </w:rPr>
      </w:pPr>
    </w:p>
    <w:p>
      <w:pPr>
        <w:ind w:right="160" w:firstLine="810"/>
        <w:spacing w:after="0" w:line="261" w:lineRule="auto"/>
        <w:rPr>
          <w:sz w:val="20"/>
          <w:szCs w:val="20"/>
          <w:color w:val="auto"/>
        </w:rPr>
      </w:pPr>
      <w:r>
        <w:rPr>
          <w:rFonts w:ascii="Times New Roman" w:cs="Times New Roman" w:eastAsia="Times New Roman" w:hAnsi="Times New Roman"/>
          <w:sz w:val="18"/>
          <w:szCs w:val="18"/>
          <w:color w:val="auto"/>
        </w:rPr>
        <w:t>The 5.0% Senior Notes due 2040 (the “2040 Notes”) bear interest at 5.0% per annum and mature on February 1, 2040. Interest on the 2040 Notes is payable semi-annually on February 1 and August 1 of each year to holders of record at the close of business on January 15 or July 15, as the case may be, immediately preceding each such interest payment date. At any time and from time to time, K. Hovnanian may redeem some or all of the 2040 Notes at a redemption price equal to 100.0% of their principal amount.</w:t>
      </w:r>
    </w:p>
    <w:p>
      <w:pPr>
        <w:spacing w:after="0" w:line="17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227" w:lineRule="exact"/>
        <w:rPr>
          <w:sz w:val="20"/>
          <w:szCs w:val="20"/>
          <w:color w:val="auto"/>
        </w:rPr>
      </w:pPr>
    </w:p>
    <w:p>
      <w:pPr>
        <w:ind w:right="180" w:firstLine="810"/>
        <w:spacing w:after="0" w:line="261" w:lineRule="auto"/>
        <w:rPr>
          <w:sz w:val="20"/>
          <w:szCs w:val="20"/>
          <w:color w:val="auto"/>
        </w:rPr>
      </w:pPr>
      <w:r>
        <w:rPr>
          <w:rFonts w:ascii="Times New Roman" w:cs="Times New Roman" w:eastAsia="Times New Roman" w:hAnsi="Times New Roman"/>
          <w:sz w:val="18"/>
          <w:szCs w:val="18"/>
          <w:color w:val="auto"/>
        </w:rPr>
        <w:t>We have certain stand-alone cash collateralized letter of credit agreements and facilities under which there was a total of $5.9 million and $6.2 million letters of credit outstanding at April 30, 2026 and October 31, 2025, respectively. These agreements and facilities require us to maintain specified amounts of cash as collateral in segregated accounts to support the letters of credit issued thereunder, which is reflected in "Restricted cash and cash equivalents" on the Condensed Consolidated Balance Sheets.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4" w:name="page15"/>
    <w:bookmarkEnd w:id="14"/>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Per Share Calculation</w:t>
      </w:r>
    </w:p>
    <w:p>
      <w:pPr>
        <w:spacing w:after="0" w:line="18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Basic and diluted earnings per share for the periods presented below were calculated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80" w:type="dxa"/>
            <w:vAlign w:val="bottom"/>
            <w:gridSpan w:val="3"/>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20" w:type="dxa"/>
            <w:vAlign w:val="bottom"/>
          </w:tcPr>
          <w:p>
            <w:pPr>
              <w:spacing w:after="0"/>
              <w:rPr>
                <w:sz w:val="18"/>
                <w:szCs w:val="18"/>
                <w:color w:val="auto"/>
              </w:rPr>
            </w:pPr>
          </w:p>
        </w:tc>
        <w:tc>
          <w:tcPr>
            <w:tcW w:w="2300" w:type="dxa"/>
            <w:vAlign w:val="bottom"/>
            <w:gridSpan w:val="3"/>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59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9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860" w:type="dxa"/>
            <w:vAlign w:val="bottom"/>
            <w:tcBorders>
              <w:bottom w:val="single" w:sz="8" w:color="auto"/>
            </w:tcBorders>
          </w:tcPr>
          <w:p>
            <w:pPr>
              <w:spacing w:after="0"/>
              <w:rPr>
                <w:sz w:val="20"/>
                <w:szCs w:val="20"/>
                <w:color w:val="auto"/>
              </w:rPr>
            </w:pPr>
          </w:p>
        </w:tc>
      </w:tr>
      <w:tr>
        <w:trPr>
          <w:trHeight w:val="210"/>
        </w:trPr>
        <w:tc>
          <w:tcPr>
            <w:tcW w:w="5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thousands, except per share data)</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9"/>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 attributable to Hovnanian Enterprises, Inc.</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4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19,726</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20,575</w:t>
            </w:r>
          </w:p>
        </w:tc>
        <w:tc>
          <w:tcPr>
            <w:tcW w:w="4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47,917</w:t>
            </w: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preferred stock dividends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(2,669)</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(2,669)</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(5,338)</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(5,338)</w:t>
            </w:r>
          </w:p>
        </w:tc>
      </w:tr>
      <w:tr>
        <w:trPr>
          <w:trHeight w:val="216"/>
        </w:trPr>
        <w:tc>
          <w:tcPr>
            <w:tcW w:w="5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Less: undistributed earnings allocated to participating securities</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w:t>
            </w:r>
          </w:p>
        </w:tc>
      </w:tr>
      <w:tr>
        <w:trPr>
          <w:trHeight w:val="209"/>
        </w:trPr>
        <w:tc>
          <w:tcPr>
            <w:tcW w:w="59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 for basic (loss) earnings per share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(2,953)</w:t>
            </w:r>
          </w:p>
        </w:tc>
        <w:tc>
          <w:tcPr>
            <w:tcW w:w="4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16,913</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15,233</w:t>
            </w:r>
          </w:p>
        </w:tc>
        <w:tc>
          <w:tcPr>
            <w:tcW w:w="42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42,229</w:t>
            </w:r>
          </w:p>
        </w:tc>
      </w:tr>
      <w:tr>
        <w:trPr>
          <w:trHeight w:val="209"/>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Plus: undistributed earnings allocated to participating securities</w:t>
            </w:r>
          </w:p>
        </w:tc>
        <w:tc>
          <w:tcPr>
            <w:tcW w:w="2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144</w:t>
            </w:r>
          </w:p>
        </w:tc>
        <w:tc>
          <w:tcPr>
            <w:tcW w:w="3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r>
      <w:tr>
        <w:trPr>
          <w:trHeight w:val="216"/>
        </w:trPr>
        <w:tc>
          <w:tcPr>
            <w:tcW w:w="59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undistributed earnings reallocated to participating securities</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r>
      <w:tr>
        <w:trPr>
          <w:trHeight w:val="209"/>
        </w:trPr>
        <w:tc>
          <w:tcPr>
            <w:tcW w:w="5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Numerator for diluted (loss) earnings per share</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(2,953)</w:t>
            </w:r>
          </w:p>
        </w:tc>
        <w:tc>
          <w:tcPr>
            <w:tcW w:w="4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16,913</w:t>
            </w:r>
          </w:p>
        </w:tc>
        <w:tc>
          <w:tcPr>
            <w:tcW w:w="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15,230</w:t>
            </w:r>
          </w:p>
        </w:tc>
        <w:tc>
          <w:tcPr>
            <w:tcW w:w="4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42,228</w:t>
            </w:r>
          </w:p>
        </w:tc>
      </w:tr>
      <w:tr>
        <w:trPr>
          <w:trHeight w:val="209"/>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Denominator for basic earnings per share – weighted average shares outstanding</w:t>
            </w:r>
          </w:p>
        </w:tc>
        <w:tc>
          <w:tcPr>
            <w:tcW w:w="2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6,416</w:t>
            </w:r>
          </w:p>
        </w:tc>
        <w:tc>
          <w:tcPr>
            <w:tcW w:w="4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6,411</w:t>
            </w:r>
          </w:p>
        </w:tc>
        <w:tc>
          <w:tcPr>
            <w:tcW w:w="3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6,453</w:t>
            </w: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6,464</w:t>
            </w: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5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Stock-based payments</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540</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456</w:t>
            </w:r>
          </w:p>
        </w:tc>
        <w:tc>
          <w:tcPr>
            <w:tcW w:w="4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w:t>
            </w:r>
          </w:p>
        </w:tc>
      </w:tr>
      <w:tr>
        <w:trPr>
          <w:trHeight w:val="209"/>
        </w:trPr>
        <w:tc>
          <w:tcPr>
            <w:tcW w:w="59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Denominator for diluted earnings per share – weighted-average shares outstanding</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6,416</w:t>
            </w:r>
          </w:p>
        </w:tc>
        <w:tc>
          <w:tcPr>
            <w:tcW w:w="4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6,951</w:t>
            </w: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6,909</w:t>
            </w:r>
          </w:p>
        </w:tc>
        <w:tc>
          <w:tcPr>
            <w:tcW w:w="4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7,011</w:t>
            </w:r>
          </w:p>
        </w:tc>
      </w:tr>
      <w:tr>
        <w:trPr>
          <w:trHeight w:val="210"/>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Basic (loss) earnings per share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4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2.64</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2.36</w:t>
            </w:r>
          </w:p>
        </w:tc>
        <w:tc>
          <w:tcPr>
            <w:tcW w:w="4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w:t>
            </w: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(loss) earnings per share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4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2.43</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2.20</w:t>
            </w:r>
          </w:p>
        </w:tc>
        <w:tc>
          <w:tcPr>
            <w:tcW w:w="4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w:t>
            </w:r>
          </w:p>
        </w:tc>
      </w:tr>
    </w:tbl>
    <w:p>
      <w:pPr>
        <w:spacing w:after="0" w:line="198" w:lineRule="exact"/>
        <w:rPr>
          <w:sz w:val="20"/>
          <w:szCs w:val="20"/>
          <w:color w:val="auto"/>
        </w:rPr>
      </w:pPr>
    </w:p>
    <w:p>
      <w:pPr>
        <w:jc w:val="both"/>
        <w:ind w:right="40" w:firstLine="810"/>
        <w:spacing w:after="0" w:line="266" w:lineRule="auto"/>
        <w:rPr>
          <w:sz w:val="20"/>
          <w:szCs w:val="20"/>
          <w:color w:val="auto"/>
        </w:rPr>
      </w:pPr>
      <w:r>
        <w:rPr>
          <w:rFonts w:ascii="Times New Roman" w:cs="Times New Roman" w:eastAsia="Times New Roman" w:hAnsi="Times New Roman"/>
          <w:sz w:val="18"/>
          <w:szCs w:val="18"/>
          <w:color w:val="auto"/>
        </w:rPr>
        <w:t>For the three months ended April 30, 2026, there were 400 thousand incremental shares attributed to nonvested stock and outstanding options to purchase common stock. These shares were not included in the computation of diluted shares outstanding, because the effect would be anti-dilutive. There were no anti-dilutive shares for the six months ended April 30, 2026 and for the three and six months ended April 30,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Preferred Stock</w:t>
      </w:r>
    </w:p>
    <w:p>
      <w:pPr>
        <w:spacing w:after="0" w:line="202" w:lineRule="exact"/>
        <w:rPr>
          <w:sz w:val="20"/>
          <w:szCs w:val="20"/>
          <w:color w:val="auto"/>
        </w:rPr>
      </w:pPr>
    </w:p>
    <w:p>
      <w:pPr>
        <w:ind w:firstLine="810"/>
        <w:spacing w:after="0" w:line="258" w:lineRule="auto"/>
        <w:rPr>
          <w:sz w:val="20"/>
          <w:szCs w:val="20"/>
          <w:color w:val="auto"/>
        </w:rPr>
      </w:pPr>
      <w:r>
        <w:rPr>
          <w:rFonts w:ascii="Times New Roman" w:cs="Times New Roman" w:eastAsia="Times New Roman" w:hAnsi="Times New Roman"/>
          <w:sz w:val="18"/>
          <w:szCs w:val="18"/>
          <w:color w:val="auto"/>
        </w:rPr>
        <w:t>On July 12, 2005, we issued 5,600 shares of 7.625% Series A preferred stock, with a liquidation preference of $25,000 per share. Dividends on Series A preferred stock are not cumulative and are payable at an annual rate of 7.625%. The Series A preferred stock is not convertible into the Company’s common stock and is redeemable in whole or in part at our option at the liquidation preference of the shares. The Series A preferred stock is traded as depositary shares, with each depositary share representing 1/1000th of a share of Series A preferred stock. We paid dividends of $2.7 million and $5.3 million on the Series A preferred stock for the three and six months ended April 30, 2026 and 2025, respectively.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Common Stock</w:t>
      </w:r>
    </w:p>
    <w:p>
      <w:pPr>
        <w:spacing w:after="0" w:line="229" w:lineRule="exact"/>
        <w:rPr>
          <w:sz w:val="20"/>
          <w:szCs w:val="20"/>
          <w:color w:val="auto"/>
        </w:rPr>
      </w:pPr>
    </w:p>
    <w:p>
      <w:pPr>
        <w:ind w:right="20" w:firstLine="810"/>
        <w:spacing w:after="0" w:line="261" w:lineRule="auto"/>
        <w:rPr>
          <w:sz w:val="20"/>
          <w:szCs w:val="20"/>
          <w:color w:val="auto"/>
        </w:rPr>
      </w:pPr>
      <w:r>
        <w:rPr>
          <w:rFonts w:ascii="Times New Roman" w:cs="Times New Roman" w:eastAsia="Times New Roman" w:hAnsi="Times New Roman"/>
          <w:sz w:val="18"/>
          <w:szCs w:val="18"/>
          <w:color w:val="auto"/>
        </w:rPr>
        <w:t>Each share of Class A common stock entitles its holder to one vote per share, and each share of Class B common stock generally entitles its holder to ten votes per share. The amount of any regular cash dividend payable on a share of Class A common stock will be an amount equal to 110% of the corresponding regular cash dividend payable on a share of Class B common stock. If a shareholder desires to sell shares of Class B common stock, such stock must be converted into shares of Class A common stock at a one-to-one conversion rate.</w:t>
      </w:r>
    </w:p>
    <w:p>
      <w:pPr>
        <w:spacing w:after="0" w:line="180" w:lineRule="exact"/>
        <w:rPr>
          <w:sz w:val="20"/>
          <w:szCs w:val="20"/>
          <w:color w:val="auto"/>
        </w:rPr>
      </w:pPr>
    </w:p>
    <w:p>
      <w:pPr>
        <w:ind w:firstLine="810"/>
        <w:spacing w:after="0" w:line="251" w:lineRule="auto"/>
        <w:rPr>
          <w:sz w:val="20"/>
          <w:szCs w:val="20"/>
          <w:color w:val="auto"/>
        </w:rPr>
      </w:pPr>
      <w:r>
        <w:rPr>
          <w:rFonts w:ascii="Times New Roman" w:cs="Times New Roman" w:eastAsia="Times New Roman" w:hAnsi="Times New Roman"/>
          <w:sz w:val="18"/>
          <w:szCs w:val="18"/>
          <w:color w:val="auto"/>
        </w:rPr>
        <w:t>On August 4, 2008, the Board adopted a shareholder rights plan (the “Rights Plan”), which was amended on January 11, 2018, January 18, 2021, and January 11, 2024, and which is designed to preserve shareholder value and the value of certain tax assets primarily associated with net operating loss (“NOL”) carryforwards and built-in losses under Section 382 of the Internal Revenue Code. Our ability to use NOLs and built-in losses would be limited if there was an “ownership change” under Section 382. This would occur if shareholders owning (or deemed under Section 382 to own) 5% or more of our stock increase their collective ownership of the aggregate amount of our outstanding shares by more than 50 percentage points over a defined period of time. The Rights Plan was adopted to reduce the likelihood of an “ownership change” occurring as defined by Section 382. Under the Rights Plan, one right was distributed for each share of Class A common Stock and Class B common Stock outstanding as of the close of business on August 15, 2008. Effective August 15, 2008, if any person or group acquires 4.9% or more of the outstanding shares of Class A common stock without the approval of the Board, there would be a triggering event causing significant dilution in the voting power of such person or group. However, existing shareholders who owned, at the time of the Rights Plan’s initial adoption on August 4, 2008, 4.9% or more of the outstanding shares of Class A common stock will trigger a dilutive event only if they acquire additional shares. The approval of the Board’s decision to adopt the Rights Plan may be terminated by the Board at any time prior to the Rights being triggered. The Rights Plan will continue in effect until August 14, 2027, unless it expires earlier in accordance with its terms. The approval of the Board’s decision to initially adopt the Rights Plan and Amendments Nos. 1, 2 and 3 thereto were approved by shareholders. Our shareholders also approved an amendment to our Certificate of Incorporation to restrict certain transfers of Class A common stock in order to preserve the tax treatment of our NOLs and built-in losses under Section 382 of the Internal Revenue Code. Subject to certain exceptions pertaining to pre-existing 5% shareholders and holders of Class B common stock, the transfer restrictions in our Restated Certificate of Incorporation generally restrict any direct or indirect transfer (such as transfers of our stock that result from the transfer of interests in other entities that own our stock) if the effect would be to (i) increase the direct or indirect ownership of our stock by any person (or public group) from less than 5% to 5% or more of our common stock; (ii) increase the percentage of our common stock owned directly or indirectly by a person (or public group) owning or deemed to own 5% or more of our common stock; or (iii) create a new “public group” (as defined in the applicable U.S. Treasury regulations). Transfers included under the transfer restrictions include sales to persons (or public groups) whose resulting percentage ownership (direct or indirect) of common stock would exceed the 5% thresholds discussed above, or to persons whose direct or indirect ownership of common stock would by attribution cause another person (or public group) to exceed such threshold.</w:t>
      </w:r>
    </w:p>
    <w:p>
      <w:pPr>
        <w:spacing w:after="0" w:line="205" w:lineRule="exact"/>
        <w:rPr>
          <w:sz w:val="20"/>
          <w:szCs w:val="20"/>
          <w:color w:val="auto"/>
        </w:rPr>
      </w:pPr>
    </w:p>
    <w:p>
      <w:pPr>
        <w:ind w:right="240" w:firstLine="810"/>
        <w:spacing w:after="0" w:line="289" w:lineRule="auto"/>
        <w:rPr>
          <w:sz w:val="20"/>
          <w:szCs w:val="20"/>
          <w:color w:val="auto"/>
        </w:rPr>
      </w:pPr>
      <w:r>
        <w:rPr>
          <w:rFonts w:ascii="Times New Roman" w:cs="Times New Roman" w:eastAsia="Times New Roman" w:hAnsi="Times New Roman"/>
          <w:sz w:val="17"/>
          <w:szCs w:val="17"/>
          <w:color w:val="auto"/>
        </w:rPr>
        <w:t>On December 18, 2024, the Board authorized an incremental increase to our repurchase program and on April 11, 2025, the Board authorized another increase to our repurchase program, such that, inclusive of any amounts remaining under the existing repurchase authorization, as of April 11, 2025, we were authorized to repurchase up to $30.6 million of our Class A common stock. On February 27, 2026, the Board further authorized an</w:t>
      </w:r>
    </w:p>
    <w:p>
      <w:pPr>
        <w:sectPr>
          <w:pgSz w:w="11900" w:h="16863" w:orient="portrait"/>
          <w:cols w:equalWidth="0" w:num="1">
            <w:col w:w="11240"/>
          </w:cols>
          <w:pgMar w:left="320" w:top="121" w:right="339" w:bottom="0" w:gutter="0" w:footer="0" w:header="0"/>
        </w:sectPr>
      </w:pPr>
    </w:p>
    <w:bookmarkStart w:id="15" w:name="page16"/>
    <w:bookmarkEnd w:id="15"/>
    <w:p>
      <w:pPr>
        <w:spacing w:after="0" w:line="258" w:lineRule="auto"/>
        <w:rPr>
          <w:sz w:val="20"/>
          <w:szCs w:val="20"/>
          <w:color w:val="auto"/>
        </w:rPr>
      </w:pPr>
      <w:r>
        <w:rPr>
          <w:rFonts w:ascii="Times New Roman" w:cs="Times New Roman" w:eastAsia="Times New Roman" w:hAnsi="Times New Roman"/>
          <w:sz w:val="18"/>
          <w:szCs w:val="18"/>
          <w:color w:val="auto"/>
        </w:rPr>
        <w:t>incremental increase of $50.0 million to our repurchase program, such that, inclusive of any amounts remaining under the existing repurchase authorization, as of February 27, 2026, we were authorized to repurchase up to $67.4 million of our Class A common stock. Under the program, repurchases may be made from time to time in open market transactions, in privately negotiated transactions or otherwise. The timing and the actual dollar amount repurchased will depend on a variety of factors, including legal requirements, price, future tax implications and economic and market conditions. The repurchase program may be changed, suspended or discontinued at any time and does not have a specified expiration date.</w:t>
      </w:r>
    </w:p>
    <w:p>
      <w:pPr>
        <w:spacing w:after="0" w:line="183" w:lineRule="exact"/>
        <w:rPr>
          <w:sz w:val="20"/>
          <w:szCs w:val="20"/>
          <w:color w:val="auto"/>
        </w:rPr>
      </w:pPr>
    </w:p>
    <w:p>
      <w:pPr>
        <w:ind w:right="20" w:firstLine="810"/>
        <w:spacing w:after="0" w:line="261" w:lineRule="auto"/>
        <w:rPr>
          <w:sz w:val="20"/>
          <w:szCs w:val="20"/>
          <w:color w:val="auto"/>
        </w:rPr>
      </w:pPr>
      <w:r>
        <w:rPr>
          <w:rFonts w:ascii="Times New Roman" w:cs="Times New Roman" w:eastAsia="Times New Roman" w:hAnsi="Times New Roman"/>
          <w:sz w:val="18"/>
          <w:szCs w:val="18"/>
          <w:color w:val="auto"/>
        </w:rPr>
        <w:t>During the six months ended April 30, 2026, we repurchased 175,905 shares under the stock repurchase program, with a market value of $18.5 million, or $104.98 per share. During the six months ended April 30, 2025, we repurchased 257,908 shares under the stock repurchase program, with a market value of $30.1 million, or $116.70 per share. The repurchased shares were added to "Treasury stock" on the Condensed Consolidated Balance Sheets. As of April 30, 2026, $57.9 million of our Class A common stock was available to be purchased under the stock repurchase program.</w:t>
      </w:r>
    </w:p>
    <w:p>
      <w:pPr>
        <w:spacing w:after="0" w:line="18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16" w:name="page17"/>
    <w:bookmarkEnd w:id="16"/>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Income Taxes</w:t>
      </w:r>
    </w:p>
    <w:p>
      <w:pPr>
        <w:spacing w:after="0" w:line="229" w:lineRule="exact"/>
        <w:rPr>
          <w:sz w:val="20"/>
          <w:szCs w:val="20"/>
          <w:color w:val="auto"/>
        </w:rPr>
      </w:pPr>
    </w:p>
    <w:p>
      <w:pPr>
        <w:ind w:right="40" w:firstLine="810"/>
        <w:spacing w:after="0" w:line="261" w:lineRule="auto"/>
        <w:rPr>
          <w:sz w:val="20"/>
          <w:szCs w:val="20"/>
          <w:color w:val="auto"/>
        </w:rPr>
      </w:pPr>
      <w:r>
        <w:rPr>
          <w:rFonts w:ascii="Times New Roman" w:cs="Times New Roman" w:eastAsia="Times New Roman" w:hAnsi="Times New Roman"/>
          <w:sz w:val="18"/>
          <w:szCs w:val="18"/>
          <w:color w:val="auto"/>
        </w:rPr>
        <w:t>For the three and six months ended April 30, 2026, we recorded income tax expense of $0.9 million and $8.8 million, respectively, and $6.8 million and $18.5 million for the same periods in the prior year, respectively. For both the three and six months ended April 30, 2026, and both prior-year periods, the expense was primarily driven by federal and state tax expense on income before income taxes and permanent differences, partially offset by the generation of energy home credits. The federal tax expense is not paid in cash as it is offset by the use of our existing NOL carryforwards.</w:t>
      </w:r>
    </w:p>
    <w:p>
      <w:pPr>
        <w:spacing w:after="0" w:line="180" w:lineRule="exact"/>
        <w:rPr>
          <w:sz w:val="20"/>
          <w:szCs w:val="20"/>
          <w:color w:val="auto"/>
        </w:rPr>
      </w:pPr>
    </w:p>
    <w:p>
      <w:pPr>
        <w:ind w:right="40" w:firstLine="810"/>
        <w:spacing w:after="0" w:line="258" w:lineRule="auto"/>
        <w:rPr>
          <w:sz w:val="20"/>
          <w:szCs w:val="20"/>
          <w:color w:val="auto"/>
        </w:rPr>
      </w:pPr>
      <w:r>
        <w:rPr>
          <w:rFonts w:ascii="Times New Roman" w:cs="Times New Roman" w:eastAsia="Times New Roman" w:hAnsi="Times New Roman"/>
          <w:sz w:val="18"/>
          <w:szCs w:val="18"/>
          <w:color w:val="auto"/>
        </w:rPr>
        <w:t>The Company recognizes deferred income taxes for deferred tax benefits arising from NOL carryforwards and temporary differences between book and tax income which will be recognized in future years as an offset against future taxable income. As part of our analysis, we considered both positive and negative factors that impact profitability and whether those factors would lead to a change in estimate of our deferred tax assets (“DTAs”) that may be realized in the future. At April 30, 2026, the Company has determined that it is more likely than not that sufficient taxable income will be generated in the future to realize its DTAs, net of any state valuation allowances.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Operating and Reporting Segments</w:t>
      </w:r>
    </w:p>
    <w:p>
      <w:pPr>
        <w:spacing w:after="0" w:line="243" w:lineRule="exact"/>
        <w:rPr>
          <w:sz w:val="20"/>
          <w:szCs w:val="20"/>
          <w:color w:val="auto"/>
        </w:rPr>
      </w:pPr>
    </w:p>
    <w:p>
      <w:pPr>
        <w:ind w:right="200" w:firstLine="810"/>
        <w:spacing w:after="0" w:line="261" w:lineRule="auto"/>
        <w:rPr>
          <w:sz w:val="20"/>
          <w:szCs w:val="20"/>
          <w:color w:val="auto"/>
        </w:rPr>
      </w:pPr>
      <w:r>
        <w:rPr>
          <w:rFonts w:ascii="Times New Roman" w:cs="Times New Roman" w:eastAsia="Times New Roman" w:hAnsi="Times New Roman"/>
          <w:sz w:val="18"/>
          <w:szCs w:val="18"/>
          <w:color w:val="auto"/>
        </w:rPr>
        <w:t>HEI’s operating segments are components of the Company’s business for which discrete financial information is available and reviewed regularly by the chief operating decision maker, our Chief Executive Officer, to evaluate performance, make resource allocations and guide strategic decisions. The Chief Executive Officer uses income (loss) before income taxes as the key operating metric used to measure segment profit or loss. Actual income (loss) before income taxes is reviewed monthly against budgeted amounts from the semi-annual financial plans.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We currently have homebuilding operations in 13 states that are aggregated into reportable segments based primarily upon geographic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proximity.</w:t>
      </w:r>
    </w:p>
    <w:p>
      <w:pPr>
        <w:spacing w:after="0" w:line="20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HEI’s reportable segments consist of the following three homebuilding segments and a financial services segment.</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Homebuilding:</w:t>
      </w:r>
    </w:p>
    <w:p>
      <w:pPr>
        <w:spacing w:after="0" w:line="225" w:lineRule="exact"/>
        <w:rPr>
          <w:sz w:val="20"/>
          <w:szCs w:val="20"/>
          <w:color w:val="auto"/>
        </w:rPr>
      </w:pPr>
    </w:p>
    <w:p>
      <w:pPr>
        <w:ind w:left="820" w:hanging="488"/>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Northeast (Delaware, Maryland, New Jersey, Ohio, Pennsylvania, Virginia and West Virginia)</w:t>
      </w:r>
    </w:p>
    <w:p>
      <w:pPr>
        <w:spacing w:after="0" w:line="27"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Southeast (Florida, Georgia and South Carolina)</w:t>
      </w:r>
    </w:p>
    <w:p>
      <w:pPr>
        <w:spacing w:after="0" w:line="9"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West (Arizona, California and Texas)</w:t>
      </w:r>
    </w:p>
    <w:p>
      <w:pPr>
        <w:spacing w:after="0" w:line="207" w:lineRule="exact"/>
        <w:rPr>
          <w:sz w:val="20"/>
          <w:szCs w:val="20"/>
          <w:color w:val="auto"/>
        </w:rPr>
      </w:pPr>
    </w:p>
    <w:p>
      <w:pPr>
        <w:ind w:right="20" w:firstLine="810"/>
        <w:spacing w:after="0" w:line="258" w:lineRule="auto"/>
        <w:rPr>
          <w:sz w:val="20"/>
          <w:szCs w:val="20"/>
          <w:color w:val="auto"/>
        </w:rPr>
      </w:pPr>
      <w:r>
        <w:rPr>
          <w:rFonts w:ascii="Times New Roman" w:cs="Times New Roman" w:eastAsia="Times New Roman" w:hAnsi="Times New Roman"/>
          <w:sz w:val="18"/>
          <w:szCs w:val="18"/>
          <w:color w:val="auto"/>
        </w:rPr>
        <w:t>Operations of the homebuilding segments primarily include the sale and construction of single-family attached and detached homes, attached townhomes and condominiums, urban infill and active lifestyle homes in planned residential developments. In addition, from time to time, operations of the homebuilding segments include sales of land. Operations of the financial services segment include mortgage banking and title services provided to the homebuilding operations’ customers. Our financial services subsidiaries do not typically retain or service mortgages that we originate but sell the mortgages and related servicing rights to investors.</w:t>
      </w:r>
    </w:p>
    <w:p>
      <w:pPr>
        <w:spacing w:after="0" w:line="18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Financial information relating to our reportable segments was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8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760" w:type="dxa"/>
            <w:vAlign w:val="bottom"/>
            <w:tcBorders>
              <w:bottom w:val="single" w:sz="8" w:color="auto"/>
            </w:tcBorders>
            <w:gridSpan w:val="5"/>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Three Months Ended April 30, 2026</w:t>
            </w:r>
          </w:p>
        </w:tc>
        <w:tc>
          <w:tcPr>
            <w:tcW w:w="3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87"/>
        </w:trPr>
        <w:tc>
          <w:tcPr>
            <w:tcW w:w="12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center"/>
              <w:ind w:right="50"/>
              <w:spacing w:after="0" w:line="188" w:lineRule="exact"/>
              <w:rPr>
                <w:sz w:val="20"/>
                <w:szCs w:val="20"/>
                <w:color w:val="auto"/>
              </w:rPr>
            </w:pPr>
            <w:r>
              <w:rPr>
                <w:rFonts w:ascii="Times New Roman" w:cs="Times New Roman" w:eastAsia="Times New Roman" w:hAnsi="Times New Roman"/>
                <w:sz w:val="18"/>
                <w:szCs w:val="18"/>
                <w:b w:val="1"/>
                <w:bCs w:val="1"/>
                <w:color w:val="auto"/>
                <w:w w:val="99"/>
              </w:rPr>
              <w:t>Financial</w:t>
            </w:r>
          </w:p>
        </w:tc>
        <w:tc>
          <w:tcPr>
            <w:tcW w:w="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8"/>
        </w:trPr>
        <w:tc>
          <w:tcPr>
            <w:tcW w:w="3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Northeast</w:t>
            </w: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Southeast</w:t>
            </w: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West</w:t>
            </w: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3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Pr>
          <w:p>
            <w:pPr>
              <w:spacing w:after="0"/>
              <w:rPr>
                <w:sz w:val="20"/>
                <w:szCs w:val="20"/>
                <w:color w:val="auto"/>
              </w:rPr>
            </w:pPr>
          </w:p>
        </w:tc>
      </w:tr>
      <w:tr>
        <w:trPr>
          <w:trHeight w:val="210"/>
        </w:trPr>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Homebuilding revenues</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216,714</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73,193</w:t>
            </w:r>
          </w:p>
        </w:tc>
        <w:tc>
          <w:tcPr>
            <w:tcW w:w="3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314,281</w:t>
            </w:r>
          </w:p>
        </w:tc>
        <w:tc>
          <w:tcPr>
            <w:tcW w:w="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604,188</w:t>
            </w:r>
          </w:p>
        </w:tc>
        <w:tc>
          <w:tcPr>
            <w:tcW w:w="20" w:type="dxa"/>
            <w:vAlign w:val="bottom"/>
          </w:tcPr>
          <w:p>
            <w:pPr>
              <w:spacing w:after="0"/>
              <w:rPr>
                <w:sz w:val="18"/>
                <w:szCs w:val="18"/>
                <w:color w:val="auto"/>
              </w:rPr>
            </w:pPr>
          </w:p>
        </w:tc>
      </w:tr>
      <w:tr>
        <w:trPr>
          <w:trHeight w:val="229"/>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Financial services revenues</w:t>
            </w:r>
          </w:p>
        </w:tc>
        <w:tc>
          <w:tcPr>
            <w:tcW w:w="124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23,398</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23,398</w:t>
            </w:r>
          </w:p>
        </w:tc>
        <w:tc>
          <w:tcPr>
            <w:tcW w:w="20" w:type="dxa"/>
            <w:vAlign w:val="bottom"/>
          </w:tcPr>
          <w:p>
            <w:pPr>
              <w:spacing w:after="0"/>
              <w:rPr>
                <w:sz w:val="19"/>
                <w:szCs w:val="19"/>
                <w:color w:val="auto"/>
              </w:rPr>
            </w:pPr>
          </w:p>
        </w:tc>
      </w:tr>
      <w:tr>
        <w:trPr>
          <w:trHeight w:val="230"/>
        </w:trPr>
        <w:tc>
          <w:tcPr>
            <w:tcW w:w="358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other revenues (1)</w:t>
            </w:r>
          </w:p>
        </w:tc>
        <w:tc>
          <w:tcPr>
            <w:tcW w:w="1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35,369</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w:t>
            </w: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2,411</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37,813</w:t>
            </w:r>
          </w:p>
        </w:tc>
        <w:tc>
          <w:tcPr>
            <w:tcW w:w="20" w:type="dxa"/>
            <w:vAlign w:val="bottom"/>
          </w:tcPr>
          <w:p>
            <w:pPr>
              <w:spacing w:after="0"/>
              <w:rPr>
                <w:sz w:val="19"/>
                <w:szCs w:val="19"/>
                <w:color w:val="auto"/>
              </w:rPr>
            </w:pPr>
          </w:p>
        </w:tc>
      </w:tr>
      <w:tr>
        <w:trPr>
          <w:trHeight w:val="210"/>
        </w:trPr>
        <w:tc>
          <w:tcPr>
            <w:tcW w:w="358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Total revenues</w:t>
            </w:r>
          </w:p>
        </w:tc>
        <w:tc>
          <w:tcPr>
            <w:tcW w:w="1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252,083</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73,226</w:t>
            </w: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316,692</w:t>
            </w: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23,398</w:t>
            </w: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665,399</w:t>
            </w:r>
          </w:p>
        </w:tc>
        <w:tc>
          <w:tcPr>
            <w:tcW w:w="20" w:type="dxa"/>
            <w:vAlign w:val="bottom"/>
          </w:tcPr>
          <w:p>
            <w:pPr>
              <w:spacing w:after="0"/>
              <w:rPr>
                <w:sz w:val="18"/>
                <w:szCs w:val="18"/>
                <w:color w:val="auto"/>
              </w:rPr>
            </w:pPr>
          </w:p>
        </w:tc>
      </w:tr>
      <w:tr>
        <w:trPr>
          <w:trHeight w:val="210"/>
        </w:trPr>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 (2)</w:t>
            </w:r>
          </w:p>
        </w:tc>
        <w:tc>
          <w:tcPr>
            <w:tcW w:w="1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191,756</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67,787</w:t>
            </w: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295,955</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555,498</w:t>
            </w:r>
          </w:p>
        </w:tc>
        <w:tc>
          <w:tcPr>
            <w:tcW w:w="20" w:type="dxa"/>
            <w:vAlign w:val="bottom"/>
          </w:tcPr>
          <w:p>
            <w:pPr>
              <w:spacing w:after="0"/>
              <w:rPr>
                <w:sz w:val="18"/>
                <w:szCs w:val="18"/>
                <w:color w:val="auto"/>
              </w:rPr>
            </w:pPr>
          </w:p>
        </w:tc>
      </w:tr>
      <w:tr>
        <w:trPr>
          <w:trHeight w:val="230"/>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4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16,294</w:t>
            </w:r>
          </w:p>
        </w:tc>
        <w:tc>
          <w:tcPr>
            <w:tcW w:w="24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9,560</w:t>
            </w:r>
          </w:p>
        </w:tc>
        <w:tc>
          <w:tcPr>
            <w:tcW w:w="34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22,142</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47,996</w:t>
            </w:r>
          </w:p>
        </w:tc>
        <w:tc>
          <w:tcPr>
            <w:tcW w:w="20" w:type="dxa"/>
            <w:vAlign w:val="bottom"/>
          </w:tcPr>
          <w:p>
            <w:pPr>
              <w:spacing w:after="0"/>
              <w:rPr>
                <w:sz w:val="19"/>
                <w:szCs w:val="19"/>
                <w:color w:val="auto"/>
              </w:rPr>
            </w:pPr>
          </w:p>
        </w:tc>
      </w:tr>
      <w:tr>
        <w:trPr>
          <w:trHeight w:val="229"/>
        </w:trPr>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services expenses</w:t>
            </w:r>
          </w:p>
        </w:tc>
        <w:tc>
          <w:tcPr>
            <w:tcW w:w="1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13,361</w:t>
            </w: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13,361</w:t>
            </w:r>
          </w:p>
        </w:tc>
        <w:tc>
          <w:tcPr>
            <w:tcW w:w="20" w:type="dxa"/>
            <w:vAlign w:val="bottom"/>
          </w:tcPr>
          <w:p>
            <w:pPr>
              <w:spacing w:after="0"/>
              <w:rPr>
                <w:sz w:val="19"/>
                <w:szCs w:val="19"/>
                <w:color w:val="auto"/>
              </w:rPr>
            </w:pPr>
          </w:p>
        </w:tc>
      </w:tr>
      <w:tr>
        <w:trPr>
          <w:trHeight w:val="230"/>
        </w:trPr>
        <w:tc>
          <w:tcPr>
            <w:tcW w:w="3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Other segment items (3)</w:t>
            </w:r>
          </w:p>
        </w:tc>
        <w:tc>
          <w:tcPr>
            <w:tcW w:w="1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3,023</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933</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9,918</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13,874</w:t>
            </w:r>
          </w:p>
        </w:tc>
        <w:tc>
          <w:tcPr>
            <w:tcW w:w="20" w:type="dxa"/>
            <w:vAlign w:val="bottom"/>
          </w:tcPr>
          <w:p>
            <w:pPr>
              <w:spacing w:after="0"/>
              <w:rPr>
                <w:sz w:val="19"/>
                <w:szCs w:val="19"/>
                <w:color w:val="auto"/>
              </w:rPr>
            </w:pPr>
          </w:p>
        </w:tc>
      </w:tr>
      <w:tr>
        <w:trPr>
          <w:trHeight w:val="210"/>
        </w:trPr>
        <w:tc>
          <w:tcPr>
            <w:tcW w:w="3580" w:type="dxa"/>
            <w:vAlign w:val="bottom"/>
            <w:tcBorders>
              <w:bottom w:val="single" w:sz="8" w:color="auto"/>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segment profit (loss)</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41,010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(5,054)</w:t>
            </w:r>
          </w:p>
        </w:tc>
        <w:tc>
          <w:tcPr>
            <w:tcW w:w="3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(11,323)</w:t>
            </w:r>
          </w:p>
        </w:tc>
        <w:tc>
          <w:tcPr>
            <w:tcW w:w="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10,037</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34,670</w:t>
            </w:r>
          </w:p>
        </w:tc>
        <w:tc>
          <w:tcPr>
            <w:tcW w:w="20" w:type="dxa"/>
            <w:vAlign w:val="bottom"/>
          </w:tcPr>
          <w:p>
            <w:pPr>
              <w:spacing w:after="0"/>
              <w:rPr>
                <w:sz w:val="18"/>
                <w:szCs w:val="18"/>
                <w:color w:val="auto"/>
              </w:rPr>
            </w:pPr>
          </w:p>
        </w:tc>
      </w:tr>
      <w:tr>
        <w:trPr>
          <w:trHeight w:val="20"/>
        </w:trPr>
        <w:tc>
          <w:tcPr>
            <w:tcW w:w="128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3580" w:type="dxa"/>
            <w:vAlign w:val="bottom"/>
            <w:tcBorders>
              <w:bottom w:val="single" w:sz="8" w:color="auto"/>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rPr>
              <w:t>Corporate and unallocated (4)</w:t>
            </w:r>
          </w:p>
        </w:tc>
        <w:tc>
          <w:tcPr>
            <w:tcW w:w="1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34,331</w:t>
            </w:r>
          </w:p>
        </w:tc>
        <w:tc>
          <w:tcPr>
            <w:tcW w:w="20" w:type="dxa"/>
            <w:vAlign w:val="bottom"/>
          </w:tcPr>
          <w:p>
            <w:pPr>
              <w:spacing w:after="0"/>
              <w:rPr>
                <w:sz w:val="17"/>
                <w:szCs w:val="17"/>
                <w:color w:val="auto"/>
              </w:rPr>
            </w:pPr>
          </w:p>
        </w:tc>
      </w:tr>
      <w:tr>
        <w:trPr>
          <w:trHeight w:val="209"/>
        </w:trPr>
        <w:tc>
          <w:tcPr>
            <w:tcW w:w="3580" w:type="dxa"/>
            <w:vAlign w:val="bottom"/>
            <w:tcBorders>
              <w:bottom w:val="single" w:sz="8" w:color="auto"/>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20" w:type="dxa"/>
            <w:vAlign w:val="bottom"/>
          </w:tcPr>
          <w:p>
            <w:pPr>
              <w:spacing w:after="0"/>
              <w:rPr>
                <w:sz w:val="18"/>
                <w:szCs w:val="18"/>
                <w:color w:val="auto"/>
              </w:rPr>
            </w:pPr>
          </w:p>
        </w:tc>
      </w:tr>
      <w:tr>
        <w:trPr>
          <w:trHeight w:val="425"/>
        </w:trPr>
        <w:tc>
          <w:tcPr>
            <w:tcW w:w="12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3"/>
        </w:trPr>
        <w:tc>
          <w:tcPr>
            <w:tcW w:w="1280" w:type="dxa"/>
            <w:vAlign w:val="bottom"/>
            <w:tcBorders>
              <w:bottom w:val="single" w:sz="8" w:color="9A9A9A"/>
            </w:tcBorders>
          </w:tcPr>
          <w:p>
            <w:pPr>
              <w:spacing w:after="0"/>
              <w:rPr>
                <w:sz w:val="19"/>
                <w:szCs w:val="19"/>
                <w:color w:val="auto"/>
              </w:rPr>
            </w:pPr>
          </w:p>
        </w:tc>
        <w:tc>
          <w:tcPr>
            <w:tcW w:w="2300" w:type="dxa"/>
            <w:vAlign w:val="bottom"/>
            <w:tcBorders>
              <w:bottom w:val="single" w:sz="8" w:color="9A9A9A"/>
            </w:tcBorders>
          </w:tcPr>
          <w:p>
            <w:pPr>
              <w:spacing w:after="0"/>
              <w:rPr>
                <w:sz w:val="19"/>
                <w:szCs w:val="19"/>
                <w:color w:val="auto"/>
              </w:rPr>
            </w:pPr>
          </w:p>
        </w:tc>
        <w:tc>
          <w:tcPr>
            <w:tcW w:w="1240" w:type="dxa"/>
            <w:vAlign w:val="bottom"/>
            <w:tcBorders>
              <w:bottom w:val="single" w:sz="8" w:color="9A9A9A"/>
            </w:tcBorders>
          </w:tcPr>
          <w:p>
            <w:pPr>
              <w:spacing w:after="0"/>
              <w:rPr>
                <w:sz w:val="19"/>
                <w:szCs w:val="19"/>
                <w:color w:val="auto"/>
              </w:rPr>
            </w:pPr>
          </w:p>
        </w:tc>
        <w:tc>
          <w:tcPr>
            <w:tcW w:w="1120" w:type="dxa"/>
            <w:vAlign w:val="bottom"/>
            <w:tcBorders>
              <w:bottom w:val="single" w:sz="8" w:color="9A9A9A"/>
            </w:tcBorders>
          </w:tcPr>
          <w:p>
            <w:pPr>
              <w:spacing w:after="0"/>
              <w:rPr>
                <w:sz w:val="19"/>
                <w:szCs w:val="19"/>
                <w:color w:val="auto"/>
              </w:rPr>
            </w:pPr>
          </w:p>
        </w:tc>
        <w:tc>
          <w:tcPr>
            <w:tcW w:w="240" w:type="dxa"/>
            <w:vAlign w:val="bottom"/>
            <w:tcBorders>
              <w:bottom w:val="single" w:sz="8" w:color="9A9A9A"/>
            </w:tcBorders>
          </w:tcPr>
          <w:p>
            <w:pPr>
              <w:spacing w:after="0"/>
              <w:rPr>
                <w:sz w:val="19"/>
                <w:szCs w:val="19"/>
                <w:color w:val="auto"/>
              </w:rPr>
            </w:pPr>
          </w:p>
        </w:tc>
        <w:tc>
          <w:tcPr>
            <w:tcW w:w="1100" w:type="dxa"/>
            <w:vAlign w:val="bottom"/>
            <w:tcBorders>
              <w:bottom w:val="single" w:sz="8" w:color="9A9A9A"/>
            </w:tcBorders>
          </w:tcPr>
          <w:p>
            <w:pPr>
              <w:spacing w:after="0"/>
              <w:rPr>
                <w:sz w:val="19"/>
                <w:szCs w:val="19"/>
                <w:color w:val="auto"/>
              </w:rPr>
            </w:pPr>
          </w:p>
        </w:tc>
        <w:tc>
          <w:tcPr>
            <w:tcW w:w="340" w:type="dxa"/>
            <w:vAlign w:val="bottom"/>
            <w:tcBorders>
              <w:bottom w:val="single" w:sz="8" w:color="9A9A9A"/>
            </w:tcBorders>
          </w:tcPr>
          <w:p>
            <w:pPr>
              <w:spacing w:after="0"/>
              <w:rPr>
                <w:sz w:val="19"/>
                <w:szCs w:val="19"/>
                <w:color w:val="auto"/>
              </w:rPr>
            </w:pPr>
          </w:p>
        </w:tc>
        <w:tc>
          <w:tcPr>
            <w:tcW w:w="1000" w:type="dxa"/>
            <w:vAlign w:val="bottom"/>
            <w:tcBorders>
              <w:bottom w:val="single" w:sz="8" w:color="9A9A9A"/>
            </w:tcBorders>
          </w:tcPr>
          <w:p>
            <w:pPr>
              <w:spacing w:after="0"/>
              <w:rPr>
                <w:sz w:val="19"/>
                <w:szCs w:val="19"/>
                <w:color w:val="auto"/>
              </w:rPr>
            </w:pPr>
          </w:p>
        </w:tc>
        <w:tc>
          <w:tcPr>
            <w:tcW w:w="260" w:type="dxa"/>
            <w:vAlign w:val="bottom"/>
            <w:tcBorders>
              <w:bottom w:val="single" w:sz="8" w:color="9A9A9A"/>
            </w:tcBorders>
          </w:tcPr>
          <w:p>
            <w:pPr>
              <w:spacing w:after="0"/>
              <w:rPr>
                <w:sz w:val="19"/>
                <w:szCs w:val="19"/>
                <w:color w:val="auto"/>
              </w:rPr>
            </w:pPr>
          </w:p>
        </w:tc>
        <w:tc>
          <w:tcPr>
            <w:tcW w:w="1060" w:type="dxa"/>
            <w:vAlign w:val="bottom"/>
            <w:tcBorders>
              <w:bottom w:val="single" w:sz="8" w:color="9A9A9A"/>
            </w:tcBorders>
          </w:tcPr>
          <w:p>
            <w:pPr>
              <w:spacing w:after="0"/>
              <w:rPr>
                <w:sz w:val="19"/>
                <w:szCs w:val="19"/>
                <w:color w:val="auto"/>
              </w:rPr>
            </w:pPr>
          </w:p>
        </w:tc>
        <w:tc>
          <w:tcPr>
            <w:tcW w:w="360" w:type="dxa"/>
            <w:vAlign w:val="bottom"/>
            <w:tcBorders>
              <w:bottom w:val="single" w:sz="8" w:color="9A9A9A"/>
            </w:tcBorders>
          </w:tcPr>
          <w:p>
            <w:pPr>
              <w:spacing w:after="0"/>
              <w:rPr>
                <w:sz w:val="19"/>
                <w:szCs w:val="19"/>
                <w:color w:val="auto"/>
              </w:rPr>
            </w:pPr>
          </w:p>
        </w:tc>
        <w:tc>
          <w:tcPr>
            <w:tcW w:w="94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r>
      <w:tr>
        <w:trPr>
          <w:trHeight w:val="391"/>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66"/>
        </w:trPr>
        <w:tc>
          <w:tcPr>
            <w:tcW w:w="1280" w:type="dxa"/>
            <w:vAlign w:val="bottom"/>
            <w:tcBorders>
              <w:top w:val="single" w:sz="8" w:color="0000FF"/>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gridSpan w:val="5"/>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Three Months Ended April 30, 2025</w:t>
            </w:r>
          </w:p>
        </w:tc>
        <w:tc>
          <w:tcPr>
            <w:tcW w:w="3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87"/>
        </w:trPr>
        <w:tc>
          <w:tcPr>
            <w:tcW w:w="12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center"/>
              <w:ind w:right="50"/>
              <w:spacing w:after="0" w:line="188" w:lineRule="exact"/>
              <w:rPr>
                <w:sz w:val="20"/>
                <w:szCs w:val="20"/>
                <w:color w:val="auto"/>
              </w:rPr>
            </w:pPr>
            <w:r>
              <w:rPr>
                <w:rFonts w:ascii="Times New Roman" w:cs="Times New Roman" w:eastAsia="Times New Roman" w:hAnsi="Times New Roman"/>
                <w:sz w:val="18"/>
                <w:szCs w:val="18"/>
                <w:b w:val="1"/>
                <w:bCs w:val="1"/>
                <w:color w:val="auto"/>
                <w:w w:val="99"/>
              </w:rPr>
              <w:t>Financial</w:t>
            </w:r>
          </w:p>
        </w:tc>
        <w:tc>
          <w:tcPr>
            <w:tcW w:w="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8"/>
        </w:trPr>
        <w:tc>
          <w:tcPr>
            <w:tcW w:w="3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Northeast</w:t>
            </w: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Southeast</w:t>
            </w: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West</w:t>
            </w: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3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Pr>
          <w:p>
            <w:pPr>
              <w:spacing w:after="0"/>
              <w:rPr>
                <w:sz w:val="20"/>
                <w:szCs w:val="20"/>
                <w:color w:val="auto"/>
              </w:rPr>
            </w:pPr>
          </w:p>
        </w:tc>
      </w:tr>
      <w:tr>
        <w:trPr>
          <w:trHeight w:val="210"/>
        </w:trPr>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Homebuilding revenues</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256,415</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74,602</w:t>
            </w:r>
          </w:p>
        </w:tc>
        <w:tc>
          <w:tcPr>
            <w:tcW w:w="3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319,297</w:t>
            </w:r>
          </w:p>
        </w:tc>
        <w:tc>
          <w:tcPr>
            <w:tcW w:w="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650,314</w:t>
            </w:r>
          </w:p>
        </w:tc>
        <w:tc>
          <w:tcPr>
            <w:tcW w:w="20" w:type="dxa"/>
            <w:vAlign w:val="bottom"/>
          </w:tcPr>
          <w:p>
            <w:pPr>
              <w:spacing w:after="0"/>
              <w:rPr>
                <w:sz w:val="18"/>
                <w:szCs w:val="18"/>
                <w:color w:val="auto"/>
              </w:rPr>
            </w:pPr>
          </w:p>
        </w:tc>
      </w:tr>
      <w:tr>
        <w:trPr>
          <w:trHeight w:val="229"/>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Financial services revenues</w:t>
            </w:r>
          </w:p>
        </w:tc>
        <w:tc>
          <w:tcPr>
            <w:tcW w:w="124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21,318</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21,318</w:t>
            </w:r>
          </w:p>
        </w:tc>
        <w:tc>
          <w:tcPr>
            <w:tcW w:w="20" w:type="dxa"/>
            <w:vAlign w:val="bottom"/>
          </w:tcPr>
          <w:p>
            <w:pPr>
              <w:spacing w:after="0"/>
              <w:rPr>
                <w:sz w:val="19"/>
                <w:szCs w:val="19"/>
                <w:color w:val="auto"/>
              </w:rPr>
            </w:pPr>
          </w:p>
        </w:tc>
      </w:tr>
      <w:tr>
        <w:trPr>
          <w:trHeight w:val="229"/>
        </w:trPr>
        <w:tc>
          <w:tcPr>
            <w:tcW w:w="358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other revenues (1)</w:t>
            </w:r>
          </w:p>
        </w:tc>
        <w:tc>
          <w:tcPr>
            <w:tcW w:w="1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866</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w:t>
            </w: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13,088</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14,028</w:t>
            </w:r>
          </w:p>
        </w:tc>
        <w:tc>
          <w:tcPr>
            <w:tcW w:w="20" w:type="dxa"/>
            <w:vAlign w:val="bottom"/>
          </w:tcPr>
          <w:p>
            <w:pPr>
              <w:spacing w:after="0"/>
              <w:rPr>
                <w:sz w:val="19"/>
                <w:szCs w:val="19"/>
                <w:color w:val="auto"/>
              </w:rPr>
            </w:pPr>
          </w:p>
        </w:tc>
      </w:tr>
      <w:tr>
        <w:trPr>
          <w:trHeight w:val="209"/>
        </w:trPr>
        <w:tc>
          <w:tcPr>
            <w:tcW w:w="358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Total revenues</w:t>
            </w:r>
          </w:p>
        </w:tc>
        <w:tc>
          <w:tcPr>
            <w:tcW w:w="1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257,281</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74,676</w:t>
            </w: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332,385</w:t>
            </w: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21,318</w:t>
            </w: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685,660</w:t>
            </w:r>
          </w:p>
        </w:tc>
        <w:tc>
          <w:tcPr>
            <w:tcW w:w="20" w:type="dxa"/>
            <w:vAlign w:val="bottom"/>
          </w:tcPr>
          <w:p>
            <w:pPr>
              <w:spacing w:after="0"/>
              <w:rPr>
                <w:sz w:val="18"/>
                <w:szCs w:val="18"/>
                <w:color w:val="auto"/>
              </w:rPr>
            </w:pPr>
          </w:p>
        </w:tc>
      </w:tr>
      <w:tr>
        <w:trPr>
          <w:trHeight w:val="209"/>
        </w:trPr>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 (2)</w:t>
            </w:r>
          </w:p>
        </w:tc>
        <w:tc>
          <w:tcPr>
            <w:tcW w:w="1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206,937</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66,899</w:t>
            </w: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290,435</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564,271</w:t>
            </w:r>
          </w:p>
        </w:tc>
        <w:tc>
          <w:tcPr>
            <w:tcW w:w="20" w:type="dxa"/>
            <w:vAlign w:val="bottom"/>
          </w:tcPr>
          <w:p>
            <w:pPr>
              <w:spacing w:after="0"/>
              <w:rPr>
                <w:sz w:val="18"/>
                <w:szCs w:val="18"/>
                <w:color w:val="auto"/>
              </w:rPr>
            </w:pPr>
          </w:p>
        </w:tc>
      </w:tr>
      <w:tr>
        <w:trPr>
          <w:trHeight w:val="230"/>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4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15,586</w:t>
            </w:r>
          </w:p>
        </w:tc>
        <w:tc>
          <w:tcPr>
            <w:tcW w:w="24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8,616</w:t>
            </w:r>
          </w:p>
        </w:tc>
        <w:tc>
          <w:tcPr>
            <w:tcW w:w="34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23,543</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47,745</w:t>
            </w:r>
          </w:p>
        </w:tc>
        <w:tc>
          <w:tcPr>
            <w:tcW w:w="20" w:type="dxa"/>
            <w:vAlign w:val="bottom"/>
          </w:tcPr>
          <w:p>
            <w:pPr>
              <w:spacing w:after="0"/>
              <w:rPr>
                <w:sz w:val="19"/>
                <w:szCs w:val="19"/>
                <w:color w:val="auto"/>
              </w:rPr>
            </w:pPr>
          </w:p>
        </w:tc>
      </w:tr>
      <w:tr>
        <w:trPr>
          <w:trHeight w:val="229"/>
        </w:trPr>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services expenses</w:t>
            </w:r>
          </w:p>
        </w:tc>
        <w:tc>
          <w:tcPr>
            <w:tcW w:w="1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12,891</w:t>
            </w: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12,891</w:t>
            </w:r>
          </w:p>
        </w:tc>
        <w:tc>
          <w:tcPr>
            <w:tcW w:w="20" w:type="dxa"/>
            <w:vAlign w:val="bottom"/>
          </w:tcPr>
          <w:p>
            <w:pPr>
              <w:spacing w:after="0"/>
              <w:rPr>
                <w:sz w:val="19"/>
                <w:szCs w:val="19"/>
                <w:color w:val="auto"/>
              </w:rPr>
            </w:pPr>
          </w:p>
        </w:tc>
      </w:tr>
      <w:tr>
        <w:trPr>
          <w:trHeight w:val="229"/>
        </w:trPr>
        <w:tc>
          <w:tcPr>
            <w:tcW w:w="3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Other segment items (3)</w:t>
            </w:r>
          </w:p>
        </w:tc>
        <w:tc>
          <w:tcPr>
            <w:tcW w:w="1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(2,761)</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(1,999)</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5,097</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20" w:type="dxa"/>
            <w:vAlign w:val="bottom"/>
          </w:tcPr>
          <w:p>
            <w:pPr>
              <w:spacing w:after="0"/>
              <w:rPr>
                <w:sz w:val="19"/>
                <w:szCs w:val="19"/>
                <w:color w:val="auto"/>
              </w:rPr>
            </w:pPr>
          </w:p>
        </w:tc>
      </w:tr>
      <w:tr>
        <w:trPr>
          <w:trHeight w:val="209"/>
        </w:trPr>
        <w:tc>
          <w:tcPr>
            <w:tcW w:w="3580" w:type="dxa"/>
            <w:vAlign w:val="bottom"/>
            <w:tcBorders>
              <w:bottom w:val="single" w:sz="8" w:color="auto"/>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segment profit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37,519</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1,160</w:t>
            </w:r>
          </w:p>
        </w:tc>
        <w:tc>
          <w:tcPr>
            <w:tcW w:w="3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13,310</w:t>
            </w:r>
          </w:p>
        </w:tc>
        <w:tc>
          <w:tcPr>
            <w:tcW w:w="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8,427</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60,416</w:t>
            </w:r>
          </w:p>
        </w:tc>
        <w:tc>
          <w:tcPr>
            <w:tcW w:w="20" w:type="dxa"/>
            <w:vAlign w:val="bottom"/>
          </w:tcPr>
          <w:p>
            <w:pPr>
              <w:spacing w:after="0"/>
              <w:rPr>
                <w:sz w:val="18"/>
                <w:szCs w:val="18"/>
                <w:color w:val="auto"/>
              </w:rPr>
            </w:pPr>
          </w:p>
        </w:tc>
      </w:tr>
      <w:tr>
        <w:trPr>
          <w:trHeight w:val="20"/>
        </w:trPr>
        <w:tc>
          <w:tcPr>
            <w:tcW w:w="128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3580" w:type="dxa"/>
            <w:vAlign w:val="bottom"/>
            <w:tcBorders>
              <w:bottom w:val="single" w:sz="8" w:color="auto"/>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rPr>
              <w:t>Corporate and unallocated (4)</w:t>
            </w:r>
          </w:p>
        </w:tc>
        <w:tc>
          <w:tcPr>
            <w:tcW w:w="1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33,886</w:t>
            </w:r>
          </w:p>
        </w:tc>
        <w:tc>
          <w:tcPr>
            <w:tcW w:w="20" w:type="dxa"/>
            <w:vAlign w:val="bottom"/>
          </w:tcPr>
          <w:p>
            <w:pPr>
              <w:spacing w:after="0"/>
              <w:rPr>
                <w:sz w:val="17"/>
                <w:szCs w:val="17"/>
                <w:color w:val="auto"/>
              </w:rPr>
            </w:pPr>
          </w:p>
        </w:tc>
      </w:tr>
      <w:tr>
        <w:trPr>
          <w:trHeight w:val="83"/>
        </w:trPr>
        <w:tc>
          <w:tcPr>
            <w:tcW w:w="1280" w:type="dxa"/>
            <w:vAlign w:val="bottom"/>
            <w:shd w:val="clear" w:color="auto" w:fill="CCEEFF"/>
          </w:tcPr>
          <w:p>
            <w:pPr>
              <w:spacing w:after="0"/>
              <w:rPr>
                <w:sz w:val="7"/>
                <w:szCs w:val="7"/>
                <w:color w:val="auto"/>
              </w:rPr>
            </w:pPr>
          </w:p>
        </w:tc>
        <w:tc>
          <w:tcPr>
            <w:tcW w:w="2300" w:type="dxa"/>
            <w:vAlign w:val="bottom"/>
            <w:shd w:val="clear" w:color="auto" w:fill="CCEEFF"/>
          </w:tcPr>
          <w:p>
            <w:pPr>
              <w:spacing w:after="0"/>
              <w:rPr>
                <w:sz w:val="7"/>
                <w:szCs w:val="7"/>
                <w:color w:val="auto"/>
              </w:rPr>
            </w:pPr>
          </w:p>
        </w:tc>
        <w:tc>
          <w:tcPr>
            <w:tcW w:w="124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2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-2409190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-2409190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900" w:orient="portrait"/>
          <w:cols w:equalWidth="0" w:num="1">
            <w:col w:w="11260"/>
          </w:cols>
          <w:pgMar w:left="320" w:top="121" w:right="319" w:bottom="0" w:gutter="0" w:footer="0" w:header="0"/>
        </w:sectPr>
      </w:pPr>
    </w:p>
    <w:bookmarkStart w:id="17" w:name="page18"/>
    <w:bookmarkEnd w:id="17"/>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80" w:type="dxa"/>
            <w:vAlign w:val="bottom"/>
            <w:tcBorders>
              <w:bottom w:val="single" w:sz="8" w:color="auto"/>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26,530</w:t>
            </w:r>
          </w:p>
        </w:tc>
        <w:tc>
          <w:tcPr>
            <w:tcW w:w="20" w:type="dxa"/>
            <w:vAlign w:val="bottom"/>
          </w:tcPr>
          <w:p>
            <w:pPr>
              <w:spacing w:after="0"/>
              <w:rPr>
                <w:sz w:val="18"/>
                <w:szCs w:val="18"/>
                <w:color w:val="auto"/>
              </w:rPr>
            </w:pPr>
          </w:p>
        </w:tc>
      </w:tr>
      <w:tr>
        <w:trPr>
          <w:trHeight w:val="466"/>
        </w:trPr>
        <w:tc>
          <w:tcPr>
            <w:tcW w:w="12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gridSpan w:val="5"/>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Six Months Ended April 30, 2026</w:t>
            </w:r>
          </w:p>
        </w:tc>
        <w:tc>
          <w:tcPr>
            <w:tcW w:w="3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87"/>
        </w:trPr>
        <w:tc>
          <w:tcPr>
            <w:tcW w:w="12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ind w:right="150"/>
              <w:spacing w:after="0" w:line="188" w:lineRule="exact"/>
              <w:rPr>
                <w:sz w:val="20"/>
                <w:szCs w:val="20"/>
                <w:color w:val="auto"/>
              </w:rPr>
            </w:pPr>
            <w:r>
              <w:rPr>
                <w:rFonts w:ascii="Times New Roman" w:cs="Times New Roman" w:eastAsia="Times New Roman" w:hAnsi="Times New Roman"/>
                <w:sz w:val="18"/>
                <w:szCs w:val="18"/>
                <w:b w:val="1"/>
                <w:bCs w:val="1"/>
                <w:color w:val="auto"/>
              </w:rPr>
              <w:t>Financial</w:t>
            </w:r>
          </w:p>
        </w:tc>
        <w:tc>
          <w:tcPr>
            <w:tcW w:w="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8"/>
        </w:trPr>
        <w:tc>
          <w:tcPr>
            <w:tcW w:w="3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Northeast</w:t>
            </w: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Southeast</w:t>
            </w: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West</w:t>
            </w: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3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Pr>
          <w:p>
            <w:pPr>
              <w:spacing w:after="0"/>
              <w:rPr>
                <w:sz w:val="20"/>
                <w:szCs w:val="20"/>
                <w:color w:val="auto"/>
              </w:rPr>
            </w:pPr>
          </w:p>
        </w:tc>
      </w:tr>
      <w:tr>
        <w:trPr>
          <w:trHeight w:val="237"/>
        </w:trPr>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Homebuilding revenues</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456,516</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147,424</w:t>
            </w:r>
          </w:p>
        </w:tc>
        <w:tc>
          <w:tcPr>
            <w:tcW w:w="3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576,007</w:t>
            </w:r>
          </w:p>
        </w:tc>
        <w:tc>
          <w:tcPr>
            <w:tcW w:w="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1,179,947</w:t>
            </w:r>
          </w:p>
        </w:tc>
        <w:tc>
          <w:tcPr>
            <w:tcW w:w="20" w:type="dxa"/>
            <w:vAlign w:val="bottom"/>
          </w:tcPr>
          <w:p>
            <w:pPr>
              <w:spacing w:after="0"/>
              <w:rPr>
                <w:sz w:val="20"/>
                <w:szCs w:val="20"/>
                <w:color w:val="auto"/>
              </w:rPr>
            </w:pPr>
          </w:p>
        </w:tc>
      </w:tr>
      <w:tr>
        <w:trPr>
          <w:trHeight w:val="257"/>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Financial services revenues</w:t>
            </w:r>
          </w:p>
        </w:tc>
        <w:tc>
          <w:tcPr>
            <w:tcW w:w="1240" w:type="dxa"/>
            <w:vAlign w:val="bottom"/>
          </w:tcPr>
          <w:p>
            <w:pPr>
              <w:spacing w:after="0"/>
              <w:rPr>
                <w:sz w:val="22"/>
                <w:szCs w:val="22"/>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2"/>
                <w:szCs w:val="22"/>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42,406</w:t>
            </w:r>
          </w:p>
        </w:tc>
        <w:tc>
          <w:tcPr>
            <w:tcW w:w="3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42,406</w:t>
            </w:r>
          </w:p>
        </w:tc>
        <w:tc>
          <w:tcPr>
            <w:tcW w:w="20" w:type="dxa"/>
            <w:vAlign w:val="bottom"/>
          </w:tcPr>
          <w:p>
            <w:pPr>
              <w:spacing w:after="0"/>
              <w:rPr>
                <w:sz w:val="22"/>
                <w:szCs w:val="22"/>
                <w:color w:val="auto"/>
              </w:rPr>
            </w:pPr>
          </w:p>
        </w:tc>
      </w:tr>
      <w:tr>
        <w:trPr>
          <w:trHeight w:val="257"/>
        </w:trPr>
        <w:tc>
          <w:tcPr>
            <w:tcW w:w="358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other revenues (1)</w:t>
            </w:r>
          </w:p>
        </w:tc>
        <w:tc>
          <w:tcPr>
            <w:tcW w:w="12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70,164</w:t>
            </w:r>
          </w:p>
        </w:tc>
        <w:tc>
          <w:tcPr>
            <w:tcW w:w="2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w:t>
            </w:r>
          </w:p>
        </w:tc>
        <w:tc>
          <w:tcPr>
            <w:tcW w:w="34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2,742</w:t>
            </w:r>
          </w:p>
        </w:tc>
        <w:tc>
          <w:tcPr>
            <w:tcW w:w="26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73,000</w:t>
            </w:r>
          </w:p>
        </w:tc>
        <w:tc>
          <w:tcPr>
            <w:tcW w:w="20" w:type="dxa"/>
            <w:vAlign w:val="bottom"/>
          </w:tcPr>
          <w:p>
            <w:pPr>
              <w:spacing w:after="0"/>
              <w:rPr>
                <w:sz w:val="22"/>
                <w:szCs w:val="22"/>
                <w:color w:val="auto"/>
              </w:rPr>
            </w:pPr>
          </w:p>
        </w:tc>
      </w:tr>
      <w:tr>
        <w:trPr>
          <w:trHeight w:val="237"/>
        </w:trPr>
        <w:tc>
          <w:tcPr>
            <w:tcW w:w="358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Total revenues</w:t>
            </w:r>
          </w:p>
        </w:tc>
        <w:tc>
          <w:tcPr>
            <w:tcW w:w="1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526,680</w:t>
            </w: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147,518</w:t>
            </w: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578,749</w:t>
            </w: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42,406</w:t>
            </w:r>
          </w:p>
        </w:tc>
        <w:tc>
          <w:tcPr>
            <w:tcW w:w="3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1,295,353</w:t>
            </w:r>
          </w:p>
        </w:tc>
        <w:tc>
          <w:tcPr>
            <w:tcW w:w="20" w:type="dxa"/>
            <w:vAlign w:val="bottom"/>
          </w:tcPr>
          <w:p>
            <w:pPr>
              <w:spacing w:after="0"/>
              <w:rPr>
                <w:sz w:val="20"/>
                <w:szCs w:val="20"/>
                <w:color w:val="auto"/>
              </w:rPr>
            </w:pPr>
          </w:p>
        </w:tc>
      </w:tr>
      <w:tr>
        <w:trPr>
          <w:trHeight w:val="236"/>
        </w:trPr>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 (2)</w:t>
            </w:r>
          </w:p>
        </w:tc>
        <w:tc>
          <w:tcPr>
            <w:tcW w:w="124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406,711</w:t>
            </w:r>
          </w:p>
        </w:tc>
        <w:tc>
          <w:tcPr>
            <w:tcW w:w="24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136,203</w:t>
            </w:r>
          </w:p>
        </w:tc>
        <w:tc>
          <w:tcPr>
            <w:tcW w:w="34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540,397</w:t>
            </w: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1,083,311</w:t>
            </w:r>
          </w:p>
        </w:tc>
        <w:tc>
          <w:tcPr>
            <w:tcW w:w="20" w:type="dxa"/>
            <w:vAlign w:val="bottom"/>
          </w:tcPr>
          <w:p>
            <w:pPr>
              <w:spacing w:after="0"/>
              <w:rPr>
                <w:sz w:val="20"/>
                <w:szCs w:val="20"/>
                <w:color w:val="auto"/>
              </w:rPr>
            </w:pPr>
          </w:p>
        </w:tc>
      </w:tr>
      <w:tr>
        <w:trPr>
          <w:trHeight w:val="257"/>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40" w:type="dxa"/>
            <w:vAlign w:val="bottom"/>
          </w:tcPr>
          <w:p>
            <w:pPr>
              <w:spacing w:after="0"/>
              <w:rPr>
                <w:sz w:val="22"/>
                <w:szCs w:val="22"/>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33,543</w:t>
            </w:r>
          </w:p>
        </w:tc>
        <w:tc>
          <w:tcPr>
            <w:tcW w:w="240" w:type="dxa"/>
            <w:vAlign w:val="bottom"/>
          </w:tcPr>
          <w:p>
            <w:pPr>
              <w:spacing w:after="0"/>
              <w:rPr>
                <w:sz w:val="22"/>
                <w:szCs w:val="22"/>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18,114</w:t>
            </w:r>
          </w:p>
        </w:tc>
        <w:tc>
          <w:tcPr>
            <w:tcW w:w="340" w:type="dxa"/>
            <w:vAlign w:val="bottom"/>
          </w:tcPr>
          <w:p>
            <w:pPr>
              <w:spacing w:after="0"/>
              <w:rPr>
                <w:sz w:val="22"/>
                <w:szCs w:val="22"/>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42,108</w:t>
            </w:r>
          </w:p>
        </w:tc>
        <w:tc>
          <w:tcPr>
            <w:tcW w:w="2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93,765</w:t>
            </w:r>
          </w:p>
        </w:tc>
        <w:tc>
          <w:tcPr>
            <w:tcW w:w="20" w:type="dxa"/>
            <w:vAlign w:val="bottom"/>
          </w:tcPr>
          <w:p>
            <w:pPr>
              <w:spacing w:after="0"/>
              <w:rPr>
                <w:sz w:val="22"/>
                <w:szCs w:val="22"/>
                <w:color w:val="auto"/>
              </w:rPr>
            </w:pPr>
          </w:p>
        </w:tc>
      </w:tr>
      <w:tr>
        <w:trPr>
          <w:trHeight w:val="257"/>
        </w:trPr>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services expenses</w:t>
            </w:r>
          </w:p>
        </w:tc>
        <w:tc>
          <w:tcPr>
            <w:tcW w:w="12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26,596</w:t>
            </w:r>
          </w:p>
        </w:tc>
        <w:tc>
          <w:tcPr>
            <w:tcW w:w="36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26,596</w:t>
            </w:r>
          </w:p>
        </w:tc>
        <w:tc>
          <w:tcPr>
            <w:tcW w:w="20" w:type="dxa"/>
            <w:vAlign w:val="bottom"/>
          </w:tcPr>
          <w:p>
            <w:pPr>
              <w:spacing w:after="0"/>
              <w:rPr>
                <w:sz w:val="22"/>
                <w:szCs w:val="22"/>
                <w:color w:val="auto"/>
              </w:rPr>
            </w:pPr>
          </w:p>
        </w:tc>
      </w:tr>
      <w:tr>
        <w:trPr>
          <w:trHeight w:val="257"/>
        </w:trPr>
        <w:tc>
          <w:tcPr>
            <w:tcW w:w="3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Other segment items (3)</w:t>
            </w:r>
          </w:p>
        </w:tc>
        <w:tc>
          <w:tcPr>
            <w:tcW w:w="1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(12,347)</w:t>
            </w: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1,797</w:t>
            </w:r>
          </w:p>
        </w:tc>
        <w:tc>
          <w:tcPr>
            <w:tcW w:w="3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18,962</w:t>
            </w:r>
          </w:p>
        </w:tc>
        <w:tc>
          <w:tcPr>
            <w:tcW w:w="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8,412</w:t>
            </w:r>
          </w:p>
        </w:tc>
        <w:tc>
          <w:tcPr>
            <w:tcW w:w="20" w:type="dxa"/>
            <w:vAlign w:val="bottom"/>
          </w:tcPr>
          <w:p>
            <w:pPr>
              <w:spacing w:after="0"/>
              <w:rPr>
                <w:sz w:val="22"/>
                <w:szCs w:val="22"/>
                <w:color w:val="auto"/>
              </w:rPr>
            </w:pPr>
          </w:p>
        </w:tc>
      </w:tr>
      <w:tr>
        <w:trPr>
          <w:trHeight w:val="236"/>
        </w:trPr>
        <w:tc>
          <w:tcPr>
            <w:tcW w:w="3580" w:type="dxa"/>
            <w:vAlign w:val="bottom"/>
            <w:tcBorders>
              <w:bottom w:val="single" w:sz="8" w:color="auto"/>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segment profit (loss)</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98,773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(8,596)</w:t>
            </w:r>
          </w:p>
        </w:tc>
        <w:tc>
          <w:tcPr>
            <w:tcW w:w="3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(22,718)</w:t>
            </w:r>
          </w:p>
        </w:tc>
        <w:tc>
          <w:tcPr>
            <w:tcW w:w="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15,810</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83,269</w:t>
            </w:r>
          </w:p>
        </w:tc>
        <w:tc>
          <w:tcPr>
            <w:tcW w:w="20" w:type="dxa"/>
            <w:vAlign w:val="bottom"/>
          </w:tcPr>
          <w:p>
            <w:pPr>
              <w:spacing w:after="0"/>
              <w:rPr>
                <w:sz w:val="20"/>
                <w:szCs w:val="20"/>
                <w:color w:val="auto"/>
              </w:rPr>
            </w:pPr>
          </w:p>
        </w:tc>
      </w:tr>
      <w:tr>
        <w:trPr>
          <w:trHeight w:val="20"/>
        </w:trPr>
        <w:tc>
          <w:tcPr>
            <w:tcW w:w="128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4"/>
        </w:trPr>
        <w:tc>
          <w:tcPr>
            <w:tcW w:w="3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Corporate and unallocated (4)</w:t>
            </w:r>
          </w:p>
        </w:tc>
        <w:tc>
          <w:tcPr>
            <w:tcW w:w="1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54,228</w:t>
            </w:r>
          </w:p>
        </w:tc>
        <w:tc>
          <w:tcPr>
            <w:tcW w:w="20" w:type="dxa"/>
            <w:vAlign w:val="bottom"/>
          </w:tcPr>
          <w:p>
            <w:pPr>
              <w:spacing w:after="0"/>
              <w:rPr>
                <w:sz w:val="19"/>
                <w:szCs w:val="19"/>
                <w:color w:val="auto"/>
              </w:rPr>
            </w:pPr>
          </w:p>
        </w:tc>
      </w:tr>
      <w:tr>
        <w:trPr>
          <w:trHeight w:val="236"/>
        </w:trPr>
        <w:tc>
          <w:tcPr>
            <w:tcW w:w="3580" w:type="dxa"/>
            <w:vAlign w:val="bottom"/>
            <w:tcBorders>
              <w:bottom w:val="single" w:sz="8" w:color="auto"/>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2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29,041</w:t>
            </w:r>
          </w:p>
        </w:tc>
        <w:tc>
          <w:tcPr>
            <w:tcW w:w="20" w:type="dxa"/>
            <w:vAlign w:val="bottom"/>
          </w:tcPr>
          <w:p>
            <w:pPr>
              <w:spacing w:after="0"/>
              <w:rPr>
                <w:sz w:val="20"/>
                <w:szCs w:val="20"/>
                <w:color w:val="auto"/>
              </w:rPr>
            </w:pPr>
          </w:p>
        </w:tc>
      </w:tr>
      <w:tr>
        <w:trPr>
          <w:trHeight w:val="426"/>
        </w:trPr>
        <w:tc>
          <w:tcPr>
            <w:tcW w:w="12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3"/>
        </w:trPr>
        <w:tc>
          <w:tcPr>
            <w:tcW w:w="1280" w:type="dxa"/>
            <w:vAlign w:val="bottom"/>
            <w:tcBorders>
              <w:bottom w:val="single" w:sz="8" w:color="9A9A9A"/>
            </w:tcBorders>
          </w:tcPr>
          <w:p>
            <w:pPr>
              <w:spacing w:after="0"/>
              <w:rPr>
                <w:sz w:val="19"/>
                <w:szCs w:val="19"/>
                <w:color w:val="auto"/>
              </w:rPr>
            </w:pPr>
          </w:p>
        </w:tc>
        <w:tc>
          <w:tcPr>
            <w:tcW w:w="2300" w:type="dxa"/>
            <w:vAlign w:val="bottom"/>
            <w:tcBorders>
              <w:bottom w:val="single" w:sz="8" w:color="9A9A9A"/>
            </w:tcBorders>
          </w:tcPr>
          <w:p>
            <w:pPr>
              <w:spacing w:after="0"/>
              <w:rPr>
                <w:sz w:val="19"/>
                <w:szCs w:val="19"/>
                <w:color w:val="auto"/>
              </w:rPr>
            </w:pPr>
          </w:p>
        </w:tc>
        <w:tc>
          <w:tcPr>
            <w:tcW w:w="1240" w:type="dxa"/>
            <w:vAlign w:val="bottom"/>
            <w:tcBorders>
              <w:bottom w:val="single" w:sz="8" w:color="9A9A9A"/>
            </w:tcBorders>
          </w:tcPr>
          <w:p>
            <w:pPr>
              <w:spacing w:after="0"/>
              <w:rPr>
                <w:sz w:val="19"/>
                <w:szCs w:val="19"/>
                <w:color w:val="auto"/>
              </w:rPr>
            </w:pPr>
          </w:p>
        </w:tc>
        <w:tc>
          <w:tcPr>
            <w:tcW w:w="1120" w:type="dxa"/>
            <w:vAlign w:val="bottom"/>
            <w:tcBorders>
              <w:bottom w:val="single" w:sz="8" w:color="9A9A9A"/>
            </w:tcBorders>
          </w:tcPr>
          <w:p>
            <w:pPr>
              <w:spacing w:after="0"/>
              <w:rPr>
                <w:sz w:val="19"/>
                <w:szCs w:val="19"/>
                <w:color w:val="auto"/>
              </w:rPr>
            </w:pPr>
          </w:p>
        </w:tc>
        <w:tc>
          <w:tcPr>
            <w:tcW w:w="240" w:type="dxa"/>
            <w:vAlign w:val="bottom"/>
            <w:tcBorders>
              <w:bottom w:val="single" w:sz="8" w:color="9A9A9A"/>
            </w:tcBorders>
          </w:tcPr>
          <w:p>
            <w:pPr>
              <w:spacing w:after="0"/>
              <w:rPr>
                <w:sz w:val="19"/>
                <w:szCs w:val="19"/>
                <w:color w:val="auto"/>
              </w:rPr>
            </w:pPr>
          </w:p>
        </w:tc>
        <w:tc>
          <w:tcPr>
            <w:tcW w:w="1100" w:type="dxa"/>
            <w:vAlign w:val="bottom"/>
            <w:tcBorders>
              <w:bottom w:val="single" w:sz="8" w:color="9A9A9A"/>
            </w:tcBorders>
          </w:tcPr>
          <w:p>
            <w:pPr>
              <w:spacing w:after="0"/>
              <w:rPr>
                <w:sz w:val="19"/>
                <w:szCs w:val="19"/>
                <w:color w:val="auto"/>
              </w:rPr>
            </w:pPr>
          </w:p>
        </w:tc>
        <w:tc>
          <w:tcPr>
            <w:tcW w:w="340" w:type="dxa"/>
            <w:vAlign w:val="bottom"/>
            <w:tcBorders>
              <w:bottom w:val="single" w:sz="8" w:color="9A9A9A"/>
            </w:tcBorders>
          </w:tcPr>
          <w:p>
            <w:pPr>
              <w:spacing w:after="0"/>
              <w:rPr>
                <w:sz w:val="19"/>
                <w:szCs w:val="19"/>
                <w:color w:val="auto"/>
              </w:rPr>
            </w:pPr>
          </w:p>
        </w:tc>
        <w:tc>
          <w:tcPr>
            <w:tcW w:w="1000" w:type="dxa"/>
            <w:vAlign w:val="bottom"/>
            <w:tcBorders>
              <w:bottom w:val="single" w:sz="8" w:color="9A9A9A"/>
            </w:tcBorders>
          </w:tcPr>
          <w:p>
            <w:pPr>
              <w:spacing w:after="0"/>
              <w:rPr>
                <w:sz w:val="19"/>
                <w:szCs w:val="19"/>
                <w:color w:val="auto"/>
              </w:rPr>
            </w:pPr>
          </w:p>
        </w:tc>
        <w:tc>
          <w:tcPr>
            <w:tcW w:w="260" w:type="dxa"/>
            <w:vAlign w:val="bottom"/>
            <w:tcBorders>
              <w:bottom w:val="single" w:sz="8" w:color="9A9A9A"/>
            </w:tcBorders>
          </w:tcPr>
          <w:p>
            <w:pPr>
              <w:spacing w:after="0"/>
              <w:rPr>
                <w:sz w:val="19"/>
                <w:szCs w:val="19"/>
                <w:color w:val="auto"/>
              </w:rPr>
            </w:pPr>
          </w:p>
        </w:tc>
        <w:tc>
          <w:tcPr>
            <w:tcW w:w="1060" w:type="dxa"/>
            <w:vAlign w:val="bottom"/>
            <w:tcBorders>
              <w:bottom w:val="single" w:sz="8" w:color="9A9A9A"/>
            </w:tcBorders>
          </w:tcPr>
          <w:p>
            <w:pPr>
              <w:spacing w:after="0"/>
              <w:rPr>
                <w:sz w:val="19"/>
                <w:szCs w:val="19"/>
                <w:color w:val="auto"/>
              </w:rPr>
            </w:pPr>
          </w:p>
        </w:tc>
        <w:tc>
          <w:tcPr>
            <w:tcW w:w="360" w:type="dxa"/>
            <w:vAlign w:val="bottom"/>
            <w:tcBorders>
              <w:bottom w:val="single" w:sz="8" w:color="9A9A9A"/>
            </w:tcBorders>
          </w:tcPr>
          <w:p>
            <w:pPr>
              <w:spacing w:after="0"/>
              <w:rPr>
                <w:sz w:val="19"/>
                <w:szCs w:val="19"/>
                <w:color w:val="auto"/>
              </w:rPr>
            </w:pPr>
          </w:p>
        </w:tc>
        <w:tc>
          <w:tcPr>
            <w:tcW w:w="94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r>
      <w:tr>
        <w:trPr>
          <w:trHeight w:val="391"/>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66"/>
        </w:trPr>
        <w:tc>
          <w:tcPr>
            <w:tcW w:w="1280" w:type="dxa"/>
            <w:vAlign w:val="bottom"/>
            <w:tcBorders>
              <w:top w:val="single" w:sz="8" w:color="0000FF"/>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gridSpan w:val="5"/>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Six Months Ended April 30, 2025</w:t>
            </w:r>
          </w:p>
        </w:tc>
        <w:tc>
          <w:tcPr>
            <w:tcW w:w="3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87"/>
        </w:trPr>
        <w:tc>
          <w:tcPr>
            <w:tcW w:w="12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ind w:right="130"/>
              <w:spacing w:after="0" w:line="188" w:lineRule="exact"/>
              <w:rPr>
                <w:sz w:val="20"/>
                <w:szCs w:val="20"/>
                <w:color w:val="auto"/>
              </w:rPr>
            </w:pPr>
            <w:r>
              <w:rPr>
                <w:rFonts w:ascii="Times New Roman" w:cs="Times New Roman" w:eastAsia="Times New Roman" w:hAnsi="Times New Roman"/>
                <w:sz w:val="18"/>
                <w:szCs w:val="18"/>
                <w:b w:val="1"/>
                <w:bCs w:val="1"/>
                <w:color w:val="auto"/>
              </w:rPr>
              <w:t>Financial</w:t>
            </w:r>
          </w:p>
        </w:tc>
        <w:tc>
          <w:tcPr>
            <w:tcW w:w="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8"/>
        </w:trPr>
        <w:tc>
          <w:tcPr>
            <w:tcW w:w="3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Northeast</w:t>
            </w: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Southeast</w:t>
            </w: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West</w:t>
            </w: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3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Pr>
          <w:p>
            <w:pPr>
              <w:spacing w:after="0"/>
              <w:rPr>
                <w:sz w:val="20"/>
                <w:szCs w:val="20"/>
                <w:color w:val="auto"/>
              </w:rPr>
            </w:pPr>
          </w:p>
        </w:tc>
      </w:tr>
      <w:tr>
        <w:trPr>
          <w:trHeight w:val="209"/>
        </w:trPr>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Homebuilding revenues</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538,063</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126,039</w:t>
            </w:r>
          </w:p>
        </w:tc>
        <w:tc>
          <w:tcPr>
            <w:tcW w:w="3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633,126</w:t>
            </w:r>
          </w:p>
        </w:tc>
        <w:tc>
          <w:tcPr>
            <w:tcW w:w="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1,297,228</w:t>
            </w:r>
          </w:p>
        </w:tc>
        <w:tc>
          <w:tcPr>
            <w:tcW w:w="20" w:type="dxa"/>
            <w:vAlign w:val="bottom"/>
          </w:tcPr>
          <w:p>
            <w:pPr>
              <w:spacing w:after="0"/>
              <w:rPr>
                <w:sz w:val="18"/>
                <w:szCs w:val="18"/>
                <w:color w:val="auto"/>
              </w:rPr>
            </w:pPr>
          </w:p>
        </w:tc>
      </w:tr>
      <w:tr>
        <w:trPr>
          <w:trHeight w:val="230"/>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Financial services revenues</w:t>
            </w:r>
          </w:p>
        </w:tc>
        <w:tc>
          <w:tcPr>
            <w:tcW w:w="124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38,260</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38,260</w:t>
            </w:r>
          </w:p>
        </w:tc>
        <w:tc>
          <w:tcPr>
            <w:tcW w:w="20" w:type="dxa"/>
            <w:vAlign w:val="bottom"/>
          </w:tcPr>
          <w:p>
            <w:pPr>
              <w:spacing w:after="0"/>
              <w:rPr>
                <w:sz w:val="19"/>
                <w:szCs w:val="19"/>
                <w:color w:val="auto"/>
              </w:rPr>
            </w:pPr>
          </w:p>
        </w:tc>
      </w:tr>
      <w:tr>
        <w:trPr>
          <w:trHeight w:val="229"/>
        </w:trPr>
        <w:tc>
          <w:tcPr>
            <w:tcW w:w="358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other revenues (1)</w:t>
            </w:r>
          </w:p>
        </w:tc>
        <w:tc>
          <w:tcPr>
            <w:tcW w:w="1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2,966</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239</w:t>
            </w: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19,213</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22,418</w:t>
            </w:r>
          </w:p>
        </w:tc>
        <w:tc>
          <w:tcPr>
            <w:tcW w:w="20" w:type="dxa"/>
            <w:vAlign w:val="bottom"/>
          </w:tcPr>
          <w:p>
            <w:pPr>
              <w:spacing w:after="0"/>
              <w:rPr>
                <w:sz w:val="19"/>
                <w:szCs w:val="19"/>
                <w:color w:val="auto"/>
              </w:rPr>
            </w:pPr>
          </w:p>
        </w:tc>
      </w:tr>
      <w:tr>
        <w:trPr>
          <w:trHeight w:val="210"/>
        </w:trPr>
        <w:tc>
          <w:tcPr>
            <w:tcW w:w="358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Total revenues</w:t>
            </w:r>
          </w:p>
        </w:tc>
        <w:tc>
          <w:tcPr>
            <w:tcW w:w="1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541,029</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126,278</w:t>
            </w: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652,339</w:t>
            </w: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38,260</w:t>
            </w: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1,357,906</w:t>
            </w:r>
          </w:p>
        </w:tc>
        <w:tc>
          <w:tcPr>
            <w:tcW w:w="20" w:type="dxa"/>
            <w:vAlign w:val="bottom"/>
          </w:tcPr>
          <w:p>
            <w:pPr>
              <w:spacing w:after="0"/>
              <w:rPr>
                <w:sz w:val="18"/>
                <w:szCs w:val="18"/>
                <w:color w:val="auto"/>
              </w:rPr>
            </w:pPr>
          </w:p>
        </w:tc>
      </w:tr>
      <w:tr>
        <w:trPr>
          <w:trHeight w:val="210"/>
        </w:trPr>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 (2)</w:t>
            </w:r>
          </w:p>
        </w:tc>
        <w:tc>
          <w:tcPr>
            <w:tcW w:w="1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433,853</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113,057</w:t>
            </w: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571,450</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1,118,360</w:t>
            </w:r>
          </w:p>
        </w:tc>
        <w:tc>
          <w:tcPr>
            <w:tcW w:w="20" w:type="dxa"/>
            <w:vAlign w:val="bottom"/>
          </w:tcPr>
          <w:p>
            <w:pPr>
              <w:spacing w:after="0"/>
              <w:rPr>
                <w:sz w:val="18"/>
                <w:szCs w:val="18"/>
                <w:color w:val="auto"/>
              </w:rPr>
            </w:pPr>
          </w:p>
        </w:tc>
      </w:tr>
      <w:tr>
        <w:trPr>
          <w:trHeight w:val="230"/>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4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32,202</w:t>
            </w:r>
          </w:p>
        </w:tc>
        <w:tc>
          <w:tcPr>
            <w:tcW w:w="24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17,132</w:t>
            </w:r>
          </w:p>
        </w:tc>
        <w:tc>
          <w:tcPr>
            <w:tcW w:w="34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48,281</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97,615</w:t>
            </w:r>
          </w:p>
        </w:tc>
        <w:tc>
          <w:tcPr>
            <w:tcW w:w="20" w:type="dxa"/>
            <w:vAlign w:val="bottom"/>
          </w:tcPr>
          <w:p>
            <w:pPr>
              <w:spacing w:after="0"/>
              <w:rPr>
                <w:sz w:val="19"/>
                <w:szCs w:val="19"/>
                <w:color w:val="auto"/>
              </w:rPr>
            </w:pPr>
          </w:p>
        </w:tc>
      </w:tr>
      <w:tr>
        <w:trPr>
          <w:trHeight w:val="229"/>
        </w:trPr>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services expenses</w:t>
            </w:r>
          </w:p>
        </w:tc>
        <w:tc>
          <w:tcPr>
            <w:tcW w:w="1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26,328</w:t>
            </w: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26,328</w:t>
            </w:r>
          </w:p>
        </w:tc>
        <w:tc>
          <w:tcPr>
            <w:tcW w:w="20" w:type="dxa"/>
            <w:vAlign w:val="bottom"/>
          </w:tcPr>
          <w:p>
            <w:pPr>
              <w:spacing w:after="0"/>
              <w:rPr>
                <w:sz w:val="19"/>
                <w:szCs w:val="19"/>
                <w:color w:val="auto"/>
              </w:rPr>
            </w:pPr>
          </w:p>
        </w:tc>
      </w:tr>
      <w:tr>
        <w:trPr>
          <w:trHeight w:val="230"/>
        </w:trPr>
        <w:tc>
          <w:tcPr>
            <w:tcW w:w="3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Other segment items (3)</w:t>
            </w:r>
          </w:p>
        </w:tc>
        <w:tc>
          <w:tcPr>
            <w:tcW w:w="1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(4,819)</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(4,517)</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10,195</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20" w:type="dxa"/>
            <w:vAlign w:val="bottom"/>
          </w:tcPr>
          <w:p>
            <w:pPr>
              <w:spacing w:after="0"/>
              <w:rPr>
                <w:sz w:val="19"/>
                <w:szCs w:val="19"/>
                <w:color w:val="auto"/>
              </w:rPr>
            </w:pPr>
          </w:p>
        </w:tc>
      </w:tr>
      <w:tr>
        <w:trPr>
          <w:trHeight w:val="210"/>
        </w:trPr>
        <w:tc>
          <w:tcPr>
            <w:tcW w:w="3580" w:type="dxa"/>
            <w:vAlign w:val="bottom"/>
            <w:tcBorders>
              <w:bottom w:val="single" w:sz="8" w:color="auto"/>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segment profit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79,793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606</w:t>
            </w:r>
          </w:p>
        </w:tc>
        <w:tc>
          <w:tcPr>
            <w:tcW w:w="3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22,413</w:t>
            </w:r>
          </w:p>
        </w:tc>
        <w:tc>
          <w:tcPr>
            <w:tcW w:w="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11,932</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114,744</w:t>
            </w:r>
          </w:p>
        </w:tc>
        <w:tc>
          <w:tcPr>
            <w:tcW w:w="20" w:type="dxa"/>
            <w:vAlign w:val="bottom"/>
          </w:tcPr>
          <w:p>
            <w:pPr>
              <w:spacing w:after="0"/>
              <w:rPr>
                <w:sz w:val="18"/>
                <w:szCs w:val="18"/>
                <w:color w:val="auto"/>
              </w:rPr>
            </w:pPr>
          </w:p>
        </w:tc>
      </w:tr>
      <w:tr>
        <w:trPr>
          <w:trHeight w:val="20"/>
        </w:trPr>
        <w:tc>
          <w:tcPr>
            <w:tcW w:w="128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3580" w:type="dxa"/>
            <w:vAlign w:val="bottom"/>
            <w:tcBorders>
              <w:bottom w:val="single" w:sz="8" w:color="auto"/>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rPr>
              <w:t>Corporate and unallocated (4)</w:t>
            </w:r>
          </w:p>
        </w:tc>
        <w:tc>
          <w:tcPr>
            <w:tcW w:w="1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48,351</w:t>
            </w:r>
          </w:p>
        </w:tc>
        <w:tc>
          <w:tcPr>
            <w:tcW w:w="20" w:type="dxa"/>
            <w:vAlign w:val="bottom"/>
          </w:tcPr>
          <w:p>
            <w:pPr>
              <w:spacing w:after="0"/>
              <w:rPr>
                <w:sz w:val="17"/>
                <w:szCs w:val="17"/>
                <w:color w:val="auto"/>
              </w:rPr>
            </w:pPr>
          </w:p>
        </w:tc>
      </w:tr>
      <w:tr>
        <w:trPr>
          <w:trHeight w:val="210"/>
        </w:trPr>
        <w:tc>
          <w:tcPr>
            <w:tcW w:w="3580" w:type="dxa"/>
            <w:vAlign w:val="bottom"/>
            <w:tcBorders>
              <w:bottom w:val="single" w:sz="8" w:color="auto"/>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66,393</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-2498090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-2498090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189" w:lineRule="exact"/>
        <w:rPr>
          <w:sz w:val="20"/>
          <w:szCs w:val="20"/>
          <w:color w:val="auto"/>
        </w:rPr>
      </w:pPr>
    </w:p>
    <w:p>
      <w:pPr>
        <w:ind w:left="360" w:hanging="328"/>
        <w:spacing w:after="0"/>
        <w:tabs>
          <w:tab w:leader="none" w:pos="360"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Consists primarily of land sales revenue, interest income, and income from forfeited customer deposits due to contract cancellations.</w:t>
      </w:r>
    </w:p>
    <w:p>
      <w:pPr>
        <w:spacing w:after="0" w:line="36" w:lineRule="exact"/>
        <w:rPr>
          <w:rFonts w:ascii="Times New Roman" w:cs="Times New Roman" w:eastAsia="Times New Roman" w:hAnsi="Times New Roman"/>
          <w:sz w:val="18"/>
          <w:szCs w:val="18"/>
          <w:i w:val="1"/>
          <w:iCs w:val="1"/>
          <w:color w:val="auto"/>
        </w:rPr>
      </w:pPr>
    </w:p>
    <w:p>
      <w:pPr>
        <w:ind w:left="360" w:hanging="328"/>
        <w:spacing w:after="0"/>
        <w:tabs>
          <w:tab w:leader="none" w:pos="360"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Consists primarily of homebuilding and land sale costs, amortization of capitalized interest, inventory impairments and land option write-offs.</w:t>
      </w:r>
    </w:p>
    <w:p>
      <w:pPr>
        <w:spacing w:after="0" w:line="36" w:lineRule="exact"/>
        <w:rPr>
          <w:rFonts w:ascii="Times New Roman" w:cs="Times New Roman" w:eastAsia="Times New Roman" w:hAnsi="Times New Roman"/>
          <w:sz w:val="18"/>
          <w:szCs w:val="18"/>
          <w:i w:val="1"/>
          <w:iCs w:val="1"/>
          <w:color w:val="auto"/>
        </w:rPr>
      </w:pPr>
    </w:p>
    <w:p>
      <w:pPr>
        <w:ind w:left="360" w:hanging="328"/>
        <w:spacing w:after="0"/>
        <w:tabs>
          <w:tab w:leader="none" w:pos="360"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Consists primarily of other interest expensed, and income (loss) from unconsolidated joint ventures.</w:t>
      </w:r>
    </w:p>
    <w:p>
      <w:pPr>
        <w:spacing w:after="0" w:line="36" w:lineRule="exact"/>
        <w:rPr>
          <w:rFonts w:ascii="Times New Roman" w:cs="Times New Roman" w:eastAsia="Times New Roman" w:hAnsi="Times New Roman"/>
          <w:sz w:val="18"/>
          <w:szCs w:val="18"/>
          <w:i w:val="1"/>
          <w:iCs w:val="1"/>
          <w:color w:val="auto"/>
        </w:rPr>
      </w:pPr>
    </w:p>
    <w:p>
      <w:pPr>
        <w:ind w:left="360" w:right="300" w:hanging="328"/>
        <w:spacing w:after="0" w:line="267" w:lineRule="auto"/>
        <w:tabs>
          <w:tab w:leader="none" w:pos="360"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Consists primarily of corporate costs and shared services functions that are not allocated to the homebuilding or financial services reportable segments. In addition, includes the results of operations attributable to the KSA operating segment, which does not meet the quantitative thresholds for separate presentation as a reportable segment.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8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October 31,</w:t>
            </w:r>
          </w:p>
        </w:tc>
      </w:tr>
      <w:tr>
        <w:trPr>
          <w:trHeight w:val="238"/>
        </w:trPr>
        <w:tc>
          <w:tcPr>
            <w:tcW w:w="3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6480" w:type="dxa"/>
            <w:vAlign w:val="bottom"/>
            <w:tcBorders>
              <w:bottom w:val="single" w:sz="8" w:color="auto"/>
            </w:tcBorders>
            <w:gridSpan w:val="2"/>
          </w:tcPr>
          <w:p>
            <w:pPr>
              <w:ind w:left="5180"/>
              <w:spacing w:after="0"/>
              <w:rPr>
                <w:sz w:val="20"/>
                <w:szCs w:val="20"/>
                <w:color w:val="auto"/>
              </w:rPr>
            </w:pPr>
            <w:r>
              <w:rPr>
                <w:rFonts w:ascii="Times New Roman" w:cs="Times New Roman" w:eastAsia="Times New Roman" w:hAnsi="Times New Roman"/>
                <w:sz w:val="18"/>
                <w:szCs w:val="18"/>
                <w:b w:val="1"/>
                <w:bCs w:val="1"/>
                <w:color w:val="auto"/>
              </w:rPr>
              <w:t>April 30, 2026</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37"/>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54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5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Northeast</w:t>
            </w:r>
          </w:p>
        </w:tc>
        <w:tc>
          <w:tcPr>
            <w:tcW w:w="5440" w:type="dxa"/>
            <w:vAlign w:val="bottom"/>
          </w:tcPr>
          <w:p>
            <w:pPr>
              <w:ind w:left="5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646,743</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672,021</w:t>
            </w:r>
          </w:p>
        </w:tc>
      </w:tr>
      <w:tr>
        <w:trPr>
          <w:trHeight w:val="257"/>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Southeast</w:t>
            </w:r>
          </w:p>
        </w:tc>
        <w:tc>
          <w:tcPr>
            <w:tcW w:w="544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346,370</w:t>
            </w:r>
          </w:p>
        </w:tc>
        <w:tc>
          <w:tcPr>
            <w:tcW w:w="3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358,383</w:t>
            </w:r>
          </w:p>
        </w:tc>
      </w:tr>
      <w:tr>
        <w:trPr>
          <w:trHeight w:val="256"/>
        </w:trPr>
        <w:tc>
          <w:tcPr>
            <w:tcW w:w="3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West</w:t>
            </w:r>
          </w:p>
        </w:tc>
        <w:tc>
          <w:tcPr>
            <w:tcW w:w="5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823,983</w:t>
            </w: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829,683</w:t>
            </w:r>
          </w:p>
        </w:tc>
      </w:tr>
      <w:tr>
        <w:trPr>
          <w:trHeight w:val="236"/>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homebuilding</w:t>
            </w:r>
          </w:p>
        </w:tc>
        <w:tc>
          <w:tcPr>
            <w:tcW w:w="544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1,817,096</w:t>
            </w: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1,860,087</w:t>
            </w:r>
          </w:p>
        </w:tc>
      </w:tr>
      <w:tr>
        <w:trPr>
          <w:trHeight w:val="256"/>
        </w:trPr>
        <w:tc>
          <w:tcPr>
            <w:tcW w:w="3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Financial services</w:t>
            </w:r>
          </w:p>
        </w:tc>
        <w:tc>
          <w:tcPr>
            <w:tcW w:w="5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158,486</w:t>
            </w: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151,211</w:t>
            </w:r>
          </w:p>
        </w:tc>
      </w:tr>
      <w:tr>
        <w:trPr>
          <w:trHeight w:val="236"/>
        </w:trPr>
        <w:tc>
          <w:tcPr>
            <w:tcW w:w="34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5440" w:type="dxa"/>
            <w:vAlign w:val="bottom"/>
            <w:tcBorders>
              <w:bottom w:val="single" w:sz="8" w:color="auto"/>
            </w:tcBorders>
            <w:shd w:val="clear" w:color="auto" w:fill="CCEEFF"/>
          </w:tcPr>
          <w:p>
            <w:pPr>
              <w:ind w:left="5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1,975,582</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2,011,298</w:t>
            </w:r>
          </w:p>
        </w:tc>
      </w:tr>
      <w:tr>
        <w:trPr>
          <w:trHeight w:val="20"/>
        </w:trPr>
        <w:tc>
          <w:tcPr>
            <w:tcW w:w="3480" w:type="dxa"/>
            <w:vAlign w:val="bottom"/>
            <w:tcBorders>
              <w:bottom w:val="single" w:sz="8" w:color="auto"/>
            </w:tcBorders>
          </w:tcPr>
          <w:p>
            <w:pPr>
              <w:spacing w:after="0" w:line="20" w:lineRule="exact"/>
              <w:rPr>
                <w:sz w:val="1"/>
                <w:szCs w:val="1"/>
                <w:color w:val="auto"/>
              </w:rPr>
            </w:pPr>
          </w:p>
        </w:tc>
        <w:tc>
          <w:tcPr>
            <w:tcW w:w="5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413"/>
        </w:trPr>
        <w:tc>
          <w:tcPr>
            <w:tcW w:w="3480" w:type="dxa"/>
            <w:vAlign w:val="bottom"/>
          </w:tcPr>
          <w:p>
            <w:pPr>
              <w:spacing w:after="0"/>
              <w:rPr>
                <w:sz w:val="24"/>
                <w:szCs w:val="24"/>
                <w:color w:val="auto"/>
              </w:rPr>
            </w:pPr>
          </w:p>
        </w:tc>
        <w:tc>
          <w:tcPr>
            <w:tcW w:w="5440" w:type="dxa"/>
            <w:vAlign w:val="bottom"/>
          </w:tcPr>
          <w:p>
            <w:pPr>
              <w:jc w:val="right"/>
              <w:ind w:right="3110"/>
              <w:spacing w:after="0"/>
              <w:rPr>
                <w:sz w:val="20"/>
                <w:szCs w:val="20"/>
                <w:color w:val="auto"/>
              </w:rPr>
            </w:pPr>
            <w:r>
              <w:rPr>
                <w:rFonts w:ascii="Times New Roman" w:cs="Times New Roman" w:eastAsia="Times New Roman" w:hAnsi="Times New Roman"/>
                <w:sz w:val="18"/>
                <w:szCs w:val="18"/>
                <w:color w:val="auto"/>
              </w:rPr>
              <w:t>23</w:t>
            </w: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748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18.</w:t>
      </w:r>
      <w:r>
        <w:rPr>
          <w:sz w:val="20"/>
          <w:szCs w:val="20"/>
          <w:color w:val="auto"/>
        </w:rPr>
        <w:tab/>
      </w:r>
      <w:r>
        <w:rPr>
          <w:rFonts w:ascii="Times New Roman" w:cs="Times New Roman" w:eastAsia="Times New Roman" w:hAnsi="Times New Roman"/>
          <w:sz w:val="17"/>
          <w:szCs w:val="17"/>
          <w:b w:val="1"/>
          <w:bCs w:val="1"/>
          <w:color w:val="auto"/>
        </w:rPr>
        <w:t>Investments in Unconsolidated Homebuilding and Land Development Joint Ventures</w:t>
      </w:r>
    </w:p>
    <w:p>
      <w:pPr>
        <w:spacing w:after="0" w:line="189" w:lineRule="exact"/>
        <w:rPr>
          <w:sz w:val="20"/>
          <w:szCs w:val="20"/>
          <w:color w:val="auto"/>
        </w:rPr>
      </w:pPr>
    </w:p>
    <w:p>
      <w:pPr>
        <w:ind w:right="120" w:firstLine="810"/>
        <w:spacing w:after="0" w:line="282" w:lineRule="auto"/>
        <w:rPr>
          <w:sz w:val="20"/>
          <w:szCs w:val="20"/>
          <w:color w:val="auto"/>
        </w:rPr>
      </w:pPr>
      <w:r>
        <w:rPr>
          <w:rFonts w:ascii="Times New Roman" w:cs="Times New Roman" w:eastAsia="Times New Roman" w:hAnsi="Times New Roman"/>
          <w:sz w:val="18"/>
          <w:szCs w:val="18"/>
          <w:color w:val="auto"/>
        </w:rPr>
        <w:t>We enter into homebuilding and land development joint ventures from time to time as a means of accessing lot positions, expanding our market opportunities, establishing strategic alliances, managing our risk profile, leveraging our capital base and enhancing returns on capital.</w:t>
      </w:r>
    </w:p>
    <w:p>
      <w:pPr>
        <w:spacing w:after="0" w:line="162" w:lineRule="exact"/>
        <w:rPr>
          <w:sz w:val="20"/>
          <w:szCs w:val="20"/>
          <w:color w:val="auto"/>
        </w:rPr>
      </w:pPr>
    </w:p>
    <w:p>
      <w:pPr>
        <w:jc w:val="both"/>
        <w:ind w:right="300" w:firstLine="810"/>
        <w:spacing w:after="0" w:line="282" w:lineRule="auto"/>
        <w:rPr>
          <w:sz w:val="20"/>
          <w:szCs w:val="20"/>
          <w:color w:val="auto"/>
        </w:rPr>
      </w:pPr>
      <w:r>
        <w:rPr>
          <w:rFonts w:ascii="Times New Roman" w:cs="Times New Roman" w:eastAsia="Times New Roman" w:hAnsi="Times New Roman"/>
          <w:sz w:val="18"/>
          <w:szCs w:val="18"/>
          <w:color w:val="auto"/>
        </w:rPr>
        <w:t>During the first quarter of fiscal 2025, we contributed four active selling communities we owned to one new unconsolidated joint venture for $20.8 million of net cash and a $50.0 million note receivable, resulting in a gain of $22.7 million, which was recorded in “Other (income) expense, net.”</w:t>
      </w:r>
    </w:p>
    <w:p>
      <w:pPr>
        <w:spacing w:after="0" w:line="162" w:lineRule="exact"/>
        <w:rPr>
          <w:sz w:val="20"/>
          <w:szCs w:val="20"/>
          <w:color w:val="auto"/>
        </w:rPr>
      </w:pPr>
    </w:p>
    <w:p>
      <w:pPr>
        <w:ind w:right="60" w:firstLine="810"/>
        <w:spacing w:after="0" w:line="261" w:lineRule="auto"/>
        <w:rPr>
          <w:sz w:val="20"/>
          <w:szCs w:val="20"/>
          <w:color w:val="auto"/>
        </w:rPr>
      </w:pPr>
      <w:r>
        <w:rPr>
          <w:rFonts w:ascii="Times New Roman" w:cs="Times New Roman" w:eastAsia="Times New Roman" w:hAnsi="Times New Roman"/>
          <w:sz w:val="18"/>
          <w:szCs w:val="18"/>
          <w:color w:val="auto"/>
        </w:rPr>
        <w:t>During the first quarter of fiscal 2026, we assumed control of one of our unconsolidated joint ventures after the partner received their final cash distribution. We consolidated the remaining assets and liabilities that were in the unconsolidated joint venture at fair value. We also purchased an additional equity stake in one of our unconsolidated joint ventures that gave us a controlling financial interest. The total gain recorded from the two transactions was $26.8 million, which was recorded to “Other (income) expense, net."</w:t>
      </w:r>
    </w:p>
    <w:p>
      <w:pPr>
        <w:sectPr>
          <w:pgSz w:w="11900" w:h="16909" w:orient="portrait"/>
          <w:cols w:equalWidth="0" w:num="1">
            <w:col w:w="11280"/>
          </w:cols>
          <w:pgMar w:left="320" w:top="140" w:right="299" w:bottom="0" w:gutter="0" w:footer="0" w:header="0"/>
        </w:sectPr>
      </w:pPr>
    </w:p>
    <w:bookmarkStart w:id="18" w:name="page19"/>
    <w:bookmarkEnd w:id="18"/>
    <w:p>
      <w:pPr>
        <w:ind w:right="60" w:firstLine="810"/>
        <w:spacing w:after="0" w:line="282" w:lineRule="auto"/>
        <w:rPr>
          <w:sz w:val="20"/>
          <w:szCs w:val="20"/>
          <w:color w:val="auto"/>
        </w:rPr>
      </w:pPr>
      <w:r>
        <w:rPr>
          <w:rFonts w:ascii="Times New Roman" w:cs="Times New Roman" w:eastAsia="Times New Roman" w:hAnsi="Times New Roman"/>
          <w:sz w:val="18"/>
          <w:szCs w:val="18"/>
          <w:color w:val="auto"/>
        </w:rPr>
        <w:t>During the first quarter of fiscal 2026, we contributed twelve communities, including eleven active selling communities and one community in planning, to a new unconsolidated joint venture for $134.3 million of net cash. The carrying value of the communities contributed approximated fair value.</w:t>
      </w:r>
    </w:p>
    <w:p>
      <w:pPr>
        <w:spacing w:after="0" w:line="121" w:lineRule="exact"/>
        <w:rPr>
          <w:sz w:val="20"/>
          <w:szCs w:val="20"/>
          <w:color w:val="auto"/>
        </w:rPr>
      </w:pPr>
    </w:p>
    <w:p>
      <w:pPr>
        <w:ind w:right="340" w:firstLine="810"/>
        <w:spacing w:after="0" w:line="282" w:lineRule="auto"/>
        <w:rPr>
          <w:sz w:val="20"/>
          <w:szCs w:val="20"/>
          <w:color w:val="auto"/>
        </w:rPr>
      </w:pPr>
      <w:r>
        <w:rPr>
          <w:rFonts w:ascii="Times New Roman" w:cs="Times New Roman" w:eastAsia="Times New Roman" w:hAnsi="Times New Roman"/>
          <w:sz w:val="18"/>
          <w:szCs w:val="18"/>
          <w:color w:val="auto"/>
        </w:rPr>
        <w:t>The tables set forth below summarize the combined financial information related to our unconsolidated homebuilding joint ventures that are accounted for under the equity method. During the periods presented, we did not have an investment in any land development joint ventures.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October 31,</w:t>
            </w:r>
          </w:p>
        </w:tc>
      </w:tr>
      <w:tr>
        <w:trPr>
          <w:trHeight w:val="238"/>
        </w:trPr>
        <w:tc>
          <w:tcPr>
            <w:tcW w:w="4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566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April 30, 2026</w:t>
            </w: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0"/>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47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4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7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46,063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104,066</w:t>
            </w:r>
          </w:p>
        </w:tc>
      </w:tr>
      <w:tr>
        <w:trPr>
          <w:trHeight w:val="216"/>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47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550,260</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487,965</w:t>
            </w:r>
          </w:p>
        </w:tc>
      </w:tr>
      <w:tr>
        <w:trPr>
          <w:trHeight w:val="216"/>
        </w:trPr>
        <w:tc>
          <w:tcPr>
            <w:tcW w:w="42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47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8,073</w:t>
            </w: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128,385</w:t>
            </w:r>
          </w:p>
        </w:tc>
      </w:tr>
      <w:tr>
        <w:trPr>
          <w:trHeight w:val="210"/>
        </w:trPr>
        <w:tc>
          <w:tcPr>
            <w:tcW w:w="42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472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604,396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720,416</w:t>
            </w:r>
          </w:p>
        </w:tc>
      </w:tr>
      <w:tr>
        <w:trPr>
          <w:trHeight w:val="20"/>
        </w:trPr>
        <w:tc>
          <w:tcPr>
            <w:tcW w:w="4280" w:type="dxa"/>
            <w:vAlign w:val="bottom"/>
            <w:tcBorders>
              <w:bottom w:val="single" w:sz="8" w:color="auto"/>
            </w:tcBorders>
          </w:tcPr>
          <w:p>
            <w:pPr>
              <w:spacing w:after="0" w:line="20" w:lineRule="exact"/>
              <w:rPr>
                <w:sz w:val="1"/>
                <w:szCs w:val="1"/>
                <w:color w:val="auto"/>
              </w:rPr>
            </w:pPr>
          </w:p>
        </w:tc>
        <w:tc>
          <w:tcPr>
            <w:tcW w:w="47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6"/>
        </w:trPr>
        <w:tc>
          <w:tcPr>
            <w:tcW w:w="42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Liabilities and equity:</w:t>
            </w:r>
          </w:p>
        </w:tc>
        <w:tc>
          <w:tcPr>
            <w:tcW w:w="4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6"/>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47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76,422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305,153</w:t>
            </w:r>
          </w:p>
        </w:tc>
      </w:tr>
      <w:tr>
        <w:trPr>
          <w:trHeight w:val="216"/>
        </w:trPr>
        <w:tc>
          <w:tcPr>
            <w:tcW w:w="42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Notes payable</w:t>
            </w:r>
          </w:p>
        </w:tc>
        <w:tc>
          <w:tcPr>
            <w:tcW w:w="47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102,807</w:t>
            </w: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121,948</w:t>
            </w:r>
          </w:p>
        </w:tc>
      </w:tr>
      <w:tr>
        <w:trPr>
          <w:trHeight w:val="209"/>
        </w:trPr>
        <w:tc>
          <w:tcPr>
            <w:tcW w:w="42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47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179,229</w:t>
            </w:r>
          </w:p>
        </w:tc>
        <w:tc>
          <w:tcPr>
            <w:tcW w:w="2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427,101</w:t>
            </w:r>
          </w:p>
        </w:tc>
      </w:tr>
      <w:tr>
        <w:trPr>
          <w:trHeight w:val="209"/>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Equity of:</w:t>
            </w:r>
          </w:p>
        </w:tc>
        <w:tc>
          <w:tcPr>
            <w:tcW w:w="4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Hovnanian Enterprises, Inc.</w:t>
            </w:r>
          </w:p>
        </w:tc>
        <w:tc>
          <w:tcPr>
            <w:tcW w:w="47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144,800</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160,903</w:t>
            </w:r>
          </w:p>
        </w:tc>
      </w:tr>
      <w:tr>
        <w:trPr>
          <w:trHeight w:val="216"/>
        </w:trPr>
        <w:tc>
          <w:tcPr>
            <w:tcW w:w="42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Others</w:t>
            </w:r>
          </w:p>
        </w:tc>
        <w:tc>
          <w:tcPr>
            <w:tcW w:w="47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280,367</w:t>
            </w: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132,412</w:t>
            </w:r>
          </w:p>
        </w:tc>
      </w:tr>
      <w:tr>
        <w:trPr>
          <w:trHeight w:val="209"/>
        </w:trPr>
        <w:tc>
          <w:tcPr>
            <w:tcW w:w="42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47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425,167</w:t>
            </w:r>
          </w:p>
        </w:tc>
        <w:tc>
          <w:tcPr>
            <w:tcW w:w="2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293,315</w:t>
            </w:r>
          </w:p>
        </w:tc>
      </w:tr>
      <w:tr>
        <w:trPr>
          <w:trHeight w:val="250"/>
        </w:trPr>
        <w:tc>
          <w:tcPr>
            <w:tcW w:w="4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47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333333"/>
              </w:rPr>
              <w:t>604,396</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33333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333333"/>
              </w:rPr>
              <w:t>720,416</w:t>
            </w:r>
          </w:p>
        </w:tc>
      </w:tr>
      <w:tr>
        <w:trPr>
          <w:trHeight w:val="196"/>
        </w:trPr>
        <w:tc>
          <w:tcPr>
            <w:tcW w:w="42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Debt to capitalization ratio</w:t>
            </w:r>
          </w:p>
        </w:tc>
        <w:tc>
          <w:tcPr>
            <w:tcW w:w="47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432"/>
        </w:trPr>
        <w:tc>
          <w:tcPr>
            <w:tcW w:w="4280" w:type="dxa"/>
            <w:vAlign w:val="bottom"/>
          </w:tcPr>
          <w:p>
            <w:pPr>
              <w:spacing w:after="0"/>
              <w:rPr>
                <w:sz w:val="24"/>
                <w:szCs w:val="24"/>
                <w:color w:val="auto"/>
              </w:rPr>
            </w:pPr>
          </w:p>
        </w:tc>
        <w:tc>
          <w:tcPr>
            <w:tcW w:w="4720" w:type="dxa"/>
            <w:vAlign w:val="bottom"/>
          </w:tcPr>
          <w:p>
            <w:pPr>
              <w:jc w:val="right"/>
              <w:ind w:right="3190"/>
              <w:spacing w:after="0"/>
              <w:rPr>
                <w:sz w:val="20"/>
                <w:szCs w:val="20"/>
                <w:color w:val="auto"/>
              </w:rPr>
            </w:pPr>
            <w:r>
              <w:rPr>
                <w:rFonts w:ascii="Times New Roman" w:cs="Times New Roman" w:eastAsia="Times New Roman" w:hAnsi="Times New Roman"/>
                <w:sz w:val="18"/>
                <w:szCs w:val="18"/>
                <w:color w:val="auto"/>
              </w:rPr>
              <w:t>24</w:t>
            </w: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748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5" w:lineRule="exact"/>
        <w:rPr>
          <w:sz w:val="20"/>
          <w:szCs w:val="20"/>
          <w:color w:val="auto"/>
        </w:rPr>
      </w:pPr>
    </w:p>
    <w:p>
      <w:pPr>
        <w:ind w:right="80" w:firstLine="810"/>
        <w:spacing w:after="0" w:line="258" w:lineRule="auto"/>
        <w:rPr>
          <w:sz w:val="20"/>
          <w:szCs w:val="20"/>
          <w:color w:val="auto"/>
        </w:rPr>
      </w:pPr>
      <w:r>
        <w:rPr>
          <w:rFonts w:ascii="Times New Roman" w:cs="Times New Roman" w:eastAsia="Times New Roman" w:hAnsi="Times New Roman"/>
          <w:sz w:val="18"/>
          <w:szCs w:val="18"/>
          <w:color w:val="auto"/>
        </w:rPr>
        <w:t>As of April 30, 2026 and October 31, 2025, we had outstanding advances to unconsolidated joint ventures of $3.7 million and $2.6 million, respectively. These amounts were included in “Accounts payable and accrued liabilities” in the tables above. In some cases, our net investment in unconsolidated joint ventures is less than our proportionate share of equity reflected in the tables above because of differences between asset impairments recorded against our unconsolidated joint venture investments and any impairments recorded in the applicable unconsolidated joint venture. During the six months ended April 30, 2026 and 2025, we did not write-down any of our unconsolidated joint venture investments.</w:t>
      </w:r>
    </w:p>
    <w:p>
      <w:pPr>
        <w:spacing w:after="0" w:line="139" w:lineRule="exact"/>
        <w:rPr>
          <w:sz w:val="20"/>
          <w:szCs w:val="20"/>
          <w:color w:val="auto"/>
        </w:rPr>
      </w:pPr>
    </w:p>
    <w:p>
      <w:pPr>
        <w:ind w:left="8660"/>
        <w:spacing w:after="0"/>
        <w:rPr>
          <w:sz w:val="20"/>
          <w:szCs w:val="20"/>
          <w:color w:val="auto"/>
        </w:rPr>
      </w:pPr>
      <w:r>
        <w:rPr>
          <w:rFonts w:ascii="Times New Roman" w:cs="Times New Roman" w:eastAsia="Times New Roman" w:hAnsi="Times New Roman"/>
          <w:sz w:val="18"/>
          <w:szCs w:val="18"/>
          <w:b w:val="1"/>
          <w:bCs w:val="1"/>
          <w:color w:val="auto"/>
        </w:rPr>
        <w:t>Three Months Ended April 30,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34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9"/>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3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127,241</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146,139</w:t>
            </w:r>
          </w:p>
        </w:tc>
      </w:tr>
      <w:tr>
        <w:trPr>
          <w:trHeight w:val="216"/>
        </w:trPr>
        <w:tc>
          <w:tcPr>
            <w:tcW w:w="5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Cost of sales and expenses</w:t>
            </w:r>
          </w:p>
        </w:tc>
        <w:tc>
          <w:tcPr>
            <w:tcW w:w="34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(116,297)</w:t>
            </w: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(133,957)</w:t>
            </w:r>
          </w:p>
        </w:tc>
      </w:tr>
      <w:tr>
        <w:trPr>
          <w:trHeight w:val="209"/>
        </w:trPr>
        <w:tc>
          <w:tcPr>
            <w:tcW w:w="5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Joint venture net income</w:t>
            </w:r>
          </w:p>
        </w:tc>
        <w:tc>
          <w:tcPr>
            <w:tcW w:w="34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333333"/>
              </w:rPr>
              <w:t>10,944</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12,182</w:t>
            </w:r>
          </w:p>
        </w:tc>
      </w:tr>
      <w:tr>
        <w:trPr>
          <w:trHeight w:val="210"/>
        </w:trPr>
        <w:tc>
          <w:tcPr>
            <w:tcW w:w="5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Our share of net (loss) income</w:t>
            </w:r>
          </w:p>
        </w:tc>
        <w:tc>
          <w:tcPr>
            <w:tcW w:w="34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9,043</w:t>
            </w:r>
          </w:p>
        </w:tc>
      </w:tr>
      <w:tr>
        <w:trPr>
          <w:trHeight w:val="20"/>
        </w:trPr>
        <w:tc>
          <w:tcPr>
            <w:tcW w:w="5320" w:type="dxa"/>
            <w:vAlign w:val="bottom"/>
            <w:tcBorders>
              <w:bottom w:val="single" w:sz="8" w:color="auto"/>
            </w:tcBorders>
          </w:tcPr>
          <w:p>
            <w:pPr>
              <w:spacing w:after="0" w:line="20" w:lineRule="exact"/>
              <w:rPr>
                <w:sz w:val="1"/>
                <w:szCs w:val="1"/>
                <w:color w:val="auto"/>
              </w:rPr>
            </w:pPr>
          </w:p>
        </w:tc>
        <w:tc>
          <w:tcPr>
            <w:tcW w:w="3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b w:val="1"/>
          <w:bCs w:val="1"/>
          <w:color w:val="auto"/>
        </w:rPr>
        <w:t>Six Months Ended April 30,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35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0"/>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35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200,951</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280,052</w:t>
            </w:r>
          </w:p>
        </w:tc>
      </w:tr>
      <w:tr>
        <w:trPr>
          <w:trHeight w:val="230"/>
        </w:trPr>
        <w:tc>
          <w:tcPr>
            <w:tcW w:w="5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Cost of sales and expenses</w:t>
            </w:r>
          </w:p>
        </w:tc>
        <w:tc>
          <w:tcPr>
            <w:tcW w:w="35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(185,575)</w:t>
            </w: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(254,215)</w:t>
            </w:r>
          </w:p>
        </w:tc>
      </w:tr>
      <w:tr>
        <w:trPr>
          <w:trHeight w:val="210"/>
        </w:trPr>
        <w:tc>
          <w:tcPr>
            <w:tcW w:w="5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Joint venture net income</w:t>
            </w:r>
          </w:p>
        </w:tc>
        <w:tc>
          <w:tcPr>
            <w:tcW w:w="35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333333"/>
              </w:rPr>
              <w:t>15,376</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25,837</w:t>
            </w:r>
          </w:p>
        </w:tc>
      </w:tr>
      <w:tr>
        <w:trPr>
          <w:trHeight w:val="209"/>
        </w:trPr>
        <w:tc>
          <w:tcPr>
            <w:tcW w:w="5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Our share of net income</w:t>
            </w:r>
          </w:p>
        </w:tc>
        <w:tc>
          <w:tcPr>
            <w:tcW w:w="35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2,334</w:t>
            </w:r>
          </w:p>
        </w:tc>
        <w:tc>
          <w:tcPr>
            <w:tcW w:w="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18,248</w:t>
            </w:r>
          </w:p>
        </w:tc>
      </w:tr>
      <w:tr>
        <w:trPr>
          <w:trHeight w:val="20"/>
        </w:trPr>
        <w:tc>
          <w:tcPr>
            <w:tcW w:w="5180" w:type="dxa"/>
            <w:vAlign w:val="bottom"/>
            <w:tcBorders>
              <w:bottom w:val="single" w:sz="8" w:color="auto"/>
            </w:tcBorders>
          </w:tcPr>
          <w:p>
            <w:pPr>
              <w:spacing w:after="0" w:line="20" w:lineRule="exact"/>
              <w:rPr>
                <w:sz w:val="1"/>
                <w:szCs w:val="1"/>
                <w:color w:val="auto"/>
              </w:rPr>
            </w:pPr>
          </w:p>
        </w:tc>
        <w:tc>
          <w:tcPr>
            <w:tcW w:w="35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40" w:firstLine="810"/>
        <w:spacing w:after="0" w:line="253" w:lineRule="auto"/>
        <w:rPr>
          <w:sz w:val="20"/>
          <w:szCs w:val="20"/>
          <w:color w:val="auto"/>
        </w:rPr>
      </w:pPr>
      <w:r>
        <w:rPr>
          <w:rFonts w:ascii="Times New Roman" w:cs="Times New Roman" w:eastAsia="Times New Roman" w:hAnsi="Times New Roman"/>
          <w:sz w:val="18"/>
          <w:szCs w:val="18"/>
          <w:color w:val="auto"/>
        </w:rPr>
        <w:t>The reason “Our share of net (loss) income” in homebuilding joint ventures is higher or lower than the “Joint venture net income” in the tables above is a result of our varying ownership percentages in each investment. As of April 30, 2026 and 2025, respectively, we had investments in five and seven unconsolidated joint ventures, respectively, and our ownership in these joint ventures ranged from 20% to over 50%. Therefore, depending on mix, if the unconsolidated joint ventures in which we have higher sharing percentages are more profitable than our other unconsolidated joint ventures, that results in us having a higher overall percentage of income in the aggregate than would occur if all joint ventures had the same sharing percentage; conversely, if the unconsolidated joint ventures in which we have lower sharing percentages are more profitable than our other unconsolidated joint ventures, that results in us having a lower overall percentage of income in the aggregate than would occur if all joint ventures had the same sharing percentage. For the three and six months ended April 30, 2026, “Our share of net (loss) income” was less than the "Joint venture net income" due to two unconsolidated joint ventures with increased losses during the period for which we currently recognize a higher sharing percentage of the losses based on the joint venture agreements and two unconsolidated joint ventures with increased income during the period for which we currently recognize a lower sharing percentage of the income based on the joint venture agreements, slightly offset by the recognition of income from one unconsolidated joint venture that was dissolved in the first quarter of fiscal 2026.</w:t>
      </w:r>
    </w:p>
    <w:p>
      <w:pPr>
        <w:spacing w:after="0" w:line="190" w:lineRule="exact"/>
        <w:rPr>
          <w:sz w:val="20"/>
          <w:szCs w:val="20"/>
          <w:color w:val="auto"/>
        </w:rPr>
      </w:pPr>
    </w:p>
    <w:p>
      <w:pPr>
        <w:ind w:right="100" w:firstLine="810"/>
        <w:spacing w:after="0" w:line="281" w:lineRule="auto"/>
        <w:rPr>
          <w:sz w:val="20"/>
          <w:szCs w:val="20"/>
          <w:color w:val="auto"/>
        </w:rPr>
      </w:pPr>
      <w:r>
        <w:rPr>
          <w:rFonts w:ascii="Times New Roman" w:cs="Times New Roman" w:eastAsia="Times New Roman" w:hAnsi="Times New Roman"/>
          <w:sz w:val="17"/>
          <w:szCs w:val="17"/>
          <w:color w:val="auto"/>
        </w:rPr>
        <w:t>To compensate us for the administrative services we provide as the manager of certain unconsolidated joint ventures, we receive a management fee based on a percentage of the applicable unconsolidated joint ventures' revenues. These management fees, which totaled $5.1 million and $6.2 million for the three months ended April 30, 2026 and 2025, respectively, and $8.0 million and $11.4 million for the six months ended April 30, 2026 and 2025, respectively, are recorded in “Selling, general and administrative” homebuilding expenses in the Condensed Consolidated Statements of Operations.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KSA</w:t>
      </w:r>
    </w:p>
    <w:p>
      <w:pPr>
        <w:sectPr>
          <w:pgSz w:w="11900" w:h="16838" w:orient="portrait"/>
          <w:cols w:equalWidth="0" w:num="1">
            <w:col w:w="11240"/>
          </w:cols>
          <w:pgMar w:left="320" w:top="337" w:right="339" w:bottom="0" w:gutter="0" w:footer="0" w:header="0"/>
        </w:sectPr>
      </w:pPr>
    </w:p>
    <w:bookmarkStart w:id="19" w:name="page20"/>
    <w:bookmarkEnd w:id="19"/>
    <w:p>
      <w:pPr>
        <w:ind w:right="140" w:firstLine="810"/>
        <w:spacing w:after="0" w:line="261" w:lineRule="auto"/>
        <w:rPr>
          <w:sz w:val="20"/>
          <w:szCs w:val="20"/>
          <w:color w:val="auto"/>
        </w:rPr>
      </w:pPr>
      <w:r>
        <w:rPr>
          <w:rFonts w:ascii="Times New Roman" w:cs="Times New Roman" w:eastAsia="Times New Roman" w:hAnsi="Times New Roman"/>
          <w:sz w:val="18"/>
          <w:szCs w:val="18"/>
          <w:color w:val="auto"/>
        </w:rPr>
        <w:t>On January 1, 2026, we acquired an additional 40% equity interest in KSA, which was previously an unconsolidated joint venture in which we had a 50% ownership interest. We accounted for our investment in KSA as an equity method investment as we had significant influence through our interest but not control. We purchased the additional 40% interest in KSA from another joint venture partner for total cash consideration of $7.6 million, which included $1.5 million to pay off an outstanding loan balance.</w:t>
      </w:r>
    </w:p>
    <w:p>
      <w:pPr>
        <w:spacing w:after="0" w:line="180" w:lineRule="exact"/>
        <w:rPr>
          <w:sz w:val="20"/>
          <w:szCs w:val="20"/>
          <w:color w:val="auto"/>
        </w:rPr>
      </w:pPr>
    </w:p>
    <w:p>
      <w:pPr>
        <w:ind w:right="300" w:firstLine="810"/>
        <w:spacing w:after="0" w:line="261" w:lineRule="auto"/>
        <w:rPr>
          <w:sz w:val="20"/>
          <w:szCs w:val="20"/>
          <w:color w:val="auto"/>
        </w:rPr>
      </w:pPr>
      <w:r>
        <w:rPr>
          <w:rFonts w:ascii="Times New Roman" w:cs="Times New Roman" w:eastAsia="Times New Roman" w:hAnsi="Times New Roman"/>
          <w:sz w:val="18"/>
          <w:szCs w:val="18"/>
          <w:color w:val="auto"/>
        </w:rPr>
        <w:t>As of January 1, 2026, the date of acquisition, we accounted for KSA on a consolidated basis and derecognized it as an equity method investment. We remeasured our previously held equity method investment as of the acquisition date to a fair value of $9.5 million, determined using the implied fair value from the transaction price, and recorded a gain of $9.5 million as our carrying value was $0. The gain is included in “Other income (expense), net” in the Condensed Consolidated Statements of Operations.</w:t>
      </w:r>
    </w:p>
    <w:p>
      <w:pPr>
        <w:spacing w:after="0" w:line="180" w:lineRule="exact"/>
        <w:rPr>
          <w:sz w:val="20"/>
          <w:szCs w:val="20"/>
          <w:color w:val="auto"/>
        </w:rPr>
      </w:pPr>
    </w:p>
    <w:p>
      <w:pPr>
        <w:ind w:right="660" w:firstLine="810"/>
        <w:spacing w:after="0" w:line="282" w:lineRule="auto"/>
        <w:rPr>
          <w:sz w:val="20"/>
          <w:szCs w:val="20"/>
          <w:color w:val="auto"/>
        </w:rPr>
      </w:pPr>
      <w:r>
        <w:rPr>
          <w:rFonts w:ascii="Times New Roman" w:cs="Times New Roman" w:eastAsia="Times New Roman" w:hAnsi="Times New Roman"/>
          <w:sz w:val="18"/>
          <w:szCs w:val="18"/>
          <w:color w:val="auto"/>
        </w:rPr>
        <w:t>In accordance with ASC 805, the following fair values were assigned to assets acquired and liabilities assumed based on management’s estimates and assumptions. The purchase price allocation presented in our Condensed Consolidated Balance Sheets was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9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7"/>
              </w:rPr>
              <w:t>January 1, 2026</w:t>
            </w:r>
          </w:p>
        </w:tc>
      </w:tr>
      <w:tr>
        <w:trPr>
          <w:trHeight w:val="210"/>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2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35,300</w:t>
            </w:r>
          </w:p>
        </w:tc>
      </w:tr>
      <w:tr>
        <w:trPr>
          <w:trHeight w:val="229"/>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9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r>
      <w:tr>
        <w:trPr>
          <w:trHeight w:val="230"/>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Sold and unsold homes and lots under development</w:t>
            </w:r>
          </w:p>
        </w:tc>
        <w:tc>
          <w:tcPr>
            <w:tcW w:w="29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82,887</w:t>
            </w:r>
          </w:p>
        </w:tc>
      </w:tr>
      <w:tr>
        <w:trPr>
          <w:trHeight w:val="229"/>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Land and land options held for future development or sale</w:t>
            </w:r>
          </w:p>
        </w:tc>
        <w:tc>
          <w:tcPr>
            <w:tcW w:w="29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5,379</w:t>
            </w:r>
          </w:p>
        </w:tc>
      </w:tr>
      <w:tr>
        <w:trPr>
          <w:trHeight w:val="229"/>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Receivables, deposits and notes, net</w:t>
            </w:r>
          </w:p>
        </w:tc>
        <w:tc>
          <w:tcPr>
            <w:tcW w:w="29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16,315</w:t>
            </w:r>
          </w:p>
        </w:tc>
      </w:tr>
      <w:tr>
        <w:trPr>
          <w:trHeight w:val="230"/>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9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7,682</w:t>
            </w:r>
          </w:p>
        </w:tc>
      </w:tr>
      <w:tr>
        <w:trPr>
          <w:trHeight w:val="229"/>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29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(28,430)</w:t>
            </w:r>
          </w:p>
        </w:tc>
      </w:tr>
      <w:tr>
        <w:trPr>
          <w:trHeight w:val="229"/>
        </w:trPr>
        <w:tc>
          <w:tcPr>
            <w:tcW w:w="7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Customers' deposits</w:t>
            </w:r>
          </w:p>
        </w:tc>
        <w:tc>
          <w:tcPr>
            <w:tcW w:w="29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(132,358)</w:t>
            </w:r>
          </w:p>
        </w:tc>
      </w:tr>
      <w:tr>
        <w:trPr>
          <w:trHeight w:val="210"/>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liabilities assumed</w:t>
            </w:r>
          </w:p>
        </w:tc>
        <w:tc>
          <w:tcPr>
            <w:tcW w:w="29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(12,756)</w:t>
            </w:r>
          </w:p>
        </w:tc>
      </w:tr>
      <w:tr>
        <w:trPr>
          <w:trHeight w:val="229"/>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9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31,705</w:t>
            </w:r>
          </w:p>
        </w:tc>
      </w:tr>
      <w:tr>
        <w:trPr>
          <w:trHeight w:val="230"/>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29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w:t>
            </w:r>
          </w:p>
        </w:tc>
      </w:tr>
      <w:tr>
        <w:trPr>
          <w:trHeight w:val="229"/>
        </w:trPr>
        <w:tc>
          <w:tcPr>
            <w:tcW w:w="7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Gain on consolidation</w:t>
            </w:r>
          </w:p>
        </w:tc>
        <w:tc>
          <w:tcPr>
            <w:tcW w:w="29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(9,474)</w:t>
            </w:r>
          </w:p>
        </w:tc>
      </w:tr>
      <w:tr>
        <w:trPr>
          <w:trHeight w:val="209"/>
        </w:trPr>
        <w:tc>
          <w:tcPr>
            <w:tcW w:w="70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Purchase price consideration</w:t>
            </w:r>
          </w:p>
        </w:tc>
        <w:tc>
          <w:tcPr>
            <w:tcW w:w="2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7,580</w:t>
            </w:r>
          </w:p>
        </w:tc>
      </w:tr>
      <w:tr>
        <w:trPr>
          <w:trHeight w:val="20"/>
        </w:trPr>
        <w:tc>
          <w:tcPr>
            <w:tcW w:w="7040" w:type="dxa"/>
            <w:vAlign w:val="bottom"/>
            <w:tcBorders>
              <w:bottom w:val="single" w:sz="8" w:color="auto"/>
            </w:tcBorders>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60" w:firstLine="810"/>
        <w:spacing w:after="0" w:line="261" w:lineRule="auto"/>
        <w:rPr>
          <w:sz w:val="20"/>
          <w:szCs w:val="20"/>
          <w:color w:val="auto"/>
        </w:rPr>
      </w:pPr>
      <w:r>
        <w:rPr>
          <w:rFonts w:ascii="Times New Roman" w:cs="Times New Roman" w:eastAsia="Times New Roman" w:hAnsi="Times New Roman"/>
          <w:sz w:val="18"/>
          <w:szCs w:val="18"/>
          <w:color w:val="auto"/>
        </w:rPr>
        <w:t>The excess of purchase consideration over the fair value of the net liabilities acquired was recorded as goodwill, which is primarily attributed to the assembled workforce of KSA, and is not deductible for income tax purposes. The results of KSA were included in the Condensed Consolidated Statement of Operations from the date of acquisition and included $0.2 million of revenue for KSA and loss before income taxes of $2.8 million for KSA for the six months ended April 30, 2026.</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Recent Accounting Pronouncements</w:t>
      </w:r>
    </w:p>
    <w:p>
      <w:pPr>
        <w:spacing w:after="0" w:line="229" w:lineRule="exact"/>
        <w:rPr>
          <w:sz w:val="20"/>
          <w:szCs w:val="20"/>
          <w:color w:val="auto"/>
        </w:rPr>
      </w:pPr>
    </w:p>
    <w:p>
      <w:pPr>
        <w:ind w:right="60" w:firstLine="810"/>
        <w:spacing w:after="0" w:line="281" w:lineRule="auto"/>
        <w:rPr>
          <w:sz w:val="20"/>
          <w:szCs w:val="20"/>
          <w:color w:val="auto"/>
        </w:rPr>
      </w:pPr>
      <w:r>
        <w:rPr>
          <w:rFonts w:ascii="Times New Roman" w:cs="Times New Roman" w:eastAsia="Times New Roman" w:hAnsi="Times New Roman"/>
          <w:sz w:val="17"/>
          <w:szCs w:val="17"/>
          <w:color w:val="auto"/>
        </w:rPr>
        <w:t>In December 2023, the Financial Accounting Standards Board (“FASB”) issued accounting standards update (“ASU”) 2023-09, “Improvements to Income Tax Disclosures” (“ASU 2023-09”). ASU 2023-09 requires enhanced disclosures related to the rate reconciliation and information on income taxes paid. This guidance will be applied prospectively and is effective for annual reporting periods in fiscal years beginning after December 15, 2024. We are currently evaluating the potential impact the adoption of this guidance will have on our Condensed Consolidated Financial Statements.</w:t>
      </w:r>
    </w:p>
    <w:p>
      <w:pPr>
        <w:spacing w:after="0" w:line="164" w:lineRule="exact"/>
        <w:rPr>
          <w:sz w:val="20"/>
          <w:szCs w:val="20"/>
          <w:color w:val="auto"/>
        </w:rPr>
      </w:pPr>
    </w:p>
    <w:p>
      <w:pPr>
        <w:ind w:right="60" w:firstLine="810"/>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2024-03, “Disaggregation of Income Statement Expenses” (“ASU 2024-03”). ASU 2024-03 requires disclosure of additional information about specific cost and expense categories in the notes to the financial statements. This guidance will be applied either prospectively or retrospectively and is effective for annual reporting periods in fiscal years beginning after December 15, 2026, and interim reporting periods in fiscal years beginning after December 15, 2027. We are currently evaluating the potential impact the adoption of this guidance will have on our Condensed Consolidated Financial Statements.</w:t>
      </w:r>
    </w:p>
    <w:p>
      <w:pPr>
        <w:spacing w:after="0" w:line="183" w:lineRule="exact"/>
        <w:rPr>
          <w:sz w:val="20"/>
          <w:szCs w:val="20"/>
          <w:color w:val="auto"/>
        </w:rPr>
      </w:pPr>
    </w:p>
    <w:p>
      <w:pPr>
        <w:ind w:right="60" w:firstLine="810"/>
        <w:spacing w:after="0" w:line="256" w:lineRule="auto"/>
        <w:rPr>
          <w:sz w:val="20"/>
          <w:szCs w:val="20"/>
          <w:color w:val="auto"/>
        </w:rPr>
      </w:pPr>
      <w:r>
        <w:rPr>
          <w:rFonts w:ascii="Times New Roman" w:cs="Times New Roman" w:eastAsia="Times New Roman" w:hAnsi="Times New Roman"/>
          <w:sz w:val="18"/>
          <w:szCs w:val="18"/>
          <w:color w:val="auto"/>
        </w:rPr>
        <w:t>In September 2025, the FASB issued ASU 2025-06, “Intangibles - Goodwill and Other - Internal-Use Software (Subtopic 350-40): Targeted Improvements to the Accounting for Internal-Use Software” (“ASU 2025-06”). ASU 2025-06 modernizes the accounting for the costs of internal-use software by removing all references to software development project stages so that the guidance is neutral to different software development methods. This guidance is effective for fiscal years beginning after December 15, 2027 and interim reporting periods within those annual reporting periods. Early adoption is permitted and the amendments in this update may be applied on a retrospective, modified transition, or prospective basis. We are currently evaluating the potential impact that the adoption of this guidance will have on our Condensed Consolidated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Fair Value of Financial Instruments</w:t>
      </w:r>
    </w:p>
    <w:p>
      <w:pPr>
        <w:spacing w:after="0" w:line="22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We use a fair-value hierarchy which prioritizes the inputs used in measuring fair value as follows:</w:t>
      </w:r>
    </w:p>
    <w:p>
      <w:pPr>
        <w:spacing w:after="0" w:line="225" w:lineRule="exact"/>
        <w:rPr>
          <w:sz w:val="20"/>
          <w:szCs w:val="20"/>
          <w:color w:val="auto"/>
        </w:rPr>
      </w:pPr>
    </w:p>
    <w:p>
      <w:pPr>
        <w:ind w:left="840"/>
        <w:spacing w:after="0"/>
        <w:tabs>
          <w:tab w:leader="none" w:pos="2280" w:val="left"/>
        </w:tabs>
        <w:rPr>
          <w:sz w:val="20"/>
          <w:szCs w:val="20"/>
          <w:color w:val="auto"/>
        </w:rPr>
      </w:pPr>
      <w:r>
        <w:rPr>
          <w:rFonts w:ascii="Times New Roman" w:cs="Times New Roman" w:eastAsia="Times New Roman" w:hAnsi="Times New Roman"/>
          <w:sz w:val="18"/>
          <w:szCs w:val="18"/>
          <w:color w:val="auto"/>
        </w:rPr>
        <w:t>Level 1:</w:t>
      </w:r>
      <w:r>
        <w:rPr>
          <w:sz w:val="20"/>
          <w:szCs w:val="20"/>
          <w:color w:val="auto"/>
        </w:rPr>
        <w:tab/>
      </w:r>
      <w:r>
        <w:rPr>
          <w:rFonts w:ascii="Times New Roman" w:cs="Times New Roman" w:eastAsia="Times New Roman" w:hAnsi="Times New Roman"/>
          <w:sz w:val="18"/>
          <w:szCs w:val="18"/>
          <w:color w:val="auto"/>
        </w:rPr>
        <w:t>Fair value determined based on quoted prices in active markets for identical assets.</w:t>
      </w:r>
    </w:p>
    <w:p>
      <w:pPr>
        <w:spacing w:after="0" w:line="225" w:lineRule="exact"/>
        <w:rPr>
          <w:sz w:val="20"/>
          <w:szCs w:val="20"/>
          <w:color w:val="auto"/>
        </w:rPr>
      </w:pPr>
    </w:p>
    <w:p>
      <w:pPr>
        <w:ind w:left="840"/>
        <w:spacing w:after="0"/>
        <w:tabs>
          <w:tab w:leader="none" w:pos="2280" w:val="left"/>
        </w:tabs>
        <w:rPr>
          <w:sz w:val="20"/>
          <w:szCs w:val="20"/>
          <w:color w:val="auto"/>
        </w:rPr>
      </w:pPr>
      <w:r>
        <w:rPr>
          <w:rFonts w:ascii="Times New Roman" w:cs="Times New Roman" w:eastAsia="Times New Roman" w:hAnsi="Times New Roman"/>
          <w:sz w:val="18"/>
          <w:szCs w:val="18"/>
          <w:color w:val="auto"/>
        </w:rPr>
        <w:t>Level 2:</w:t>
      </w:r>
      <w:r>
        <w:rPr>
          <w:sz w:val="20"/>
          <w:szCs w:val="20"/>
          <w:color w:val="auto"/>
        </w:rPr>
        <w:tab/>
      </w:r>
      <w:r>
        <w:rPr>
          <w:rFonts w:ascii="Times New Roman" w:cs="Times New Roman" w:eastAsia="Times New Roman" w:hAnsi="Times New Roman"/>
          <w:sz w:val="18"/>
          <w:szCs w:val="18"/>
          <w:color w:val="auto"/>
        </w:rPr>
        <w:t>Fair value determined using significant other observable inputs.</w:t>
      </w:r>
    </w:p>
    <w:p>
      <w:pPr>
        <w:spacing w:after="0" w:line="225" w:lineRule="exact"/>
        <w:rPr>
          <w:sz w:val="20"/>
          <w:szCs w:val="20"/>
          <w:color w:val="auto"/>
        </w:rPr>
      </w:pPr>
    </w:p>
    <w:p>
      <w:pPr>
        <w:ind w:left="840"/>
        <w:spacing w:after="0"/>
        <w:tabs>
          <w:tab w:leader="none" w:pos="2280" w:val="left"/>
        </w:tabs>
        <w:rPr>
          <w:sz w:val="20"/>
          <w:szCs w:val="20"/>
          <w:color w:val="auto"/>
        </w:rPr>
      </w:pPr>
      <w:r>
        <w:rPr>
          <w:rFonts w:ascii="Times New Roman" w:cs="Times New Roman" w:eastAsia="Times New Roman" w:hAnsi="Times New Roman"/>
          <w:sz w:val="18"/>
          <w:szCs w:val="18"/>
          <w:color w:val="auto"/>
        </w:rPr>
        <w:t>Level 3:</w:t>
      </w:r>
      <w:r>
        <w:rPr>
          <w:sz w:val="20"/>
          <w:szCs w:val="20"/>
          <w:color w:val="auto"/>
        </w:rPr>
        <w:tab/>
      </w:r>
      <w:r>
        <w:rPr>
          <w:rFonts w:ascii="Times New Roman" w:cs="Times New Roman" w:eastAsia="Times New Roman" w:hAnsi="Times New Roman"/>
          <w:sz w:val="18"/>
          <w:szCs w:val="18"/>
          <w:color w:val="auto"/>
        </w:rPr>
        <w:t>Fair value determined using significant unobservable inputs.</w:t>
      </w:r>
    </w:p>
    <w:p>
      <w:pPr>
        <w:spacing w:after="0" w:line="22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Our financial instruments measured at fair value on a recurring basis are summarized below:</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8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Fair Value at</w:t>
            </w:r>
          </w:p>
        </w:tc>
        <w:tc>
          <w:tcPr>
            <w:tcW w:w="26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Fair Value at</w:t>
            </w:r>
          </w:p>
        </w:tc>
      </w:tr>
      <w:tr>
        <w:trPr>
          <w:trHeight w:val="270"/>
        </w:trPr>
        <w:tc>
          <w:tcPr>
            <w:tcW w:w="4680" w:type="dxa"/>
            <w:vAlign w:val="bottom"/>
          </w:tcPr>
          <w:p>
            <w:pPr>
              <w:spacing w:after="0"/>
              <w:rPr>
                <w:sz w:val="23"/>
                <w:szCs w:val="23"/>
                <w:color w:val="auto"/>
              </w:rPr>
            </w:pPr>
          </w:p>
        </w:tc>
        <w:tc>
          <w:tcPr>
            <w:tcW w:w="3360" w:type="dxa"/>
            <w:vAlign w:val="bottom"/>
          </w:tcPr>
          <w:p>
            <w:pPr>
              <w:jc w:val="center"/>
              <w:ind w:left="205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380" w:type="dxa"/>
            <w:vAlign w:val="bottom"/>
          </w:tcPr>
          <w:p>
            <w:pPr>
              <w:spacing w:after="0"/>
              <w:rPr>
                <w:sz w:val="23"/>
                <w:szCs w:val="23"/>
                <w:color w:val="auto"/>
              </w:rPr>
            </w:pPr>
          </w:p>
        </w:tc>
        <w:tc>
          <w:tcPr>
            <w:tcW w:w="13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April 30,</w:t>
            </w:r>
          </w:p>
        </w:tc>
        <w:tc>
          <w:tcPr>
            <w:tcW w:w="260" w:type="dxa"/>
            <w:vAlign w:val="bottom"/>
          </w:tcPr>
          <w:p>
            <w:pPr>
              <w:spacing w:after="0"/>
              <w:rPr>
                <w:sz w:val="23"/>
                <w:szCs w:val="23"/>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October 31,</w:t>
            </w:r>
          </w:p>
        </w:tc>
      </w:tr>
      <w:tr>
        <w:trPr>
          <w:trHeight w:val="270"/>
        </w:trPr>
        <w:tc>
          <w:tcPr>
            <w:tcW w:w="4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3360" w:type="dxa"/>
            <w:vAlign w:val="bottom"/>
            <w:tcBorders>
              <w:bottom w:val="single" w:sz="8" w:color="auto"/>
            </w:tcBorders>
          </w:tcPr>
          <w:p>
            <w:pPr>
              <w:jc w:val="center"/>
              <w:ind w:left="2050"/>
              <w:spacing w:after="0"/>
              <w:rPr>
                <w:sz w:val="20"/>
                <w:szCs w:val="20"/>
                <w:color w:val="auto"/>
              </w:rPr>
            </w:pPr>
            <w:r>
              <w:rPr>
                <w:rFonts w:ascii="Times New Roman" w:cs="Times New Roman" w:eastAsia="Times New Roman" w:hAnsi="Times New Roman"/>
                <w:sz w:val="18"/>
                <w:szCs w:val="18"/>
                <w:b w:val="1"/>
                <w:bCs w:val="1"/>
                <w:color w:val="auto"/>
                <w:w w:val="98"/>
              </w:rPr>
              <w:t>Hierarchy</w:t>
            </w:r>
          </w:p>
        </w:tc>
        <w:tc>
          <w:tcPr>
            <w:tcW w:w="3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6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r>
      <w:tr>
        <w:trPr>
          <w:trHeight w:val="250"/>
        </w:trPr>
        <w:tc>
          <w:tcPr>
            <w:tcW w:w="4680" w:type="dxa"/>
            <w:vAlign w:val="bottom"/>
          </w:tcPr>
          <w:p>
            <w:pPr>
              <w:spacing w:after="0"/>
              <w:rPr>
                <w:sz w:val="21"/>
                <w:szCs w:val="21"/>
                <w:color w:val="auto"/>
              </w:rPr>
            </w:pPr>
          </w:p>
        </w:tc>
        <w:tc>
          <w:tcPr>
            <w:tcW w:w="3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0"/>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loans held for sale (1)</w:t>
            </w:r>
          </w:p>
        </w:tc>
        <w:tc>
          <w:tcPr>
            <w:tcW w:w="3360" w:type="dxa"/>
            <w:vAlign w:val="bottom"/>
            <w:shd w:val="clear" w:color="auto" w:fill="CCEEFF"/>
          </w:tcPr>
          <w:p>
            <w:pPr>
              <w:jc w:val="center"/>
              <w:ind w:left="2050"/>
              <w:spacing w:after="0"/>
              <w:rPr>
                <w:sz w:val="20"/>
                <w:szCs w:val="20"/>
                <w:color w:val="auto"/>
              </w:rPr>
            </w:pPr>
            <w:r>
              <w:rPr>
                <w:rFonts w:ascii="Times New Roman" w:cs="Times New Roman" w:eastAsia="Times New Roman" w:hAnsi="Times New Roman"/>
                <w:sz w:val="18"/>
                <w:szCs w:val="18"/>
                <w:color w:val="auto"/>
                <w:w w:val="99"/>
              </w:rPr>
              <w:t>Level 2</w:t>
            </w:r>
          </w:p>
        </w:tc>
        <w:tc>
          <w:tcPr>
            <w:tcW w:w="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122,324</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111,631</w:t>
            </w:r>
          </w:p>
        </w:tc>
      </w:tr>
    </w:tbl>
    <w:p>
      <w:pPr>
        <w:spacing w:after="0" w:line="19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1) The aggregate unpaid principal balance was $123.9 million and $112.1 million at April 30, 2026 and October 31, 2025, respectively.</w:t>
      </w:r>
    </w:p>
    <w:p>
      <w:pPr>
        <w:spacing w:after="0" w:line="227" w:lineRule="exact"/>
        <w:rPr>
          <w:sz w:val="20"/>
          <w:szCs w:val="20"/>
          <w:color w:val="auto"/>
        </w:rPr>
      </w:pPr>
    </w:p>
    <w:p>
      <w:pPr>
        <w:ind w:right="80" w:firstLine="810"/>
        <w:spacing w:after="0" w:line="282" w:lineRule="auto"/>
        <w:rPr>
          <w:sz w:val="20"/>
          <w:szCs w:val="20"/>
          <w:color w:val="auto"/>
        </w:rPr>
      </w:pPr>
      <w:r>
        <w:rPr>
          <w:rFonts w:ascii="Times New Roman" w:cs="Times New Roman" w:eastAsia="Times New Roman" w:hAnsi="Times New Roman"/>
          <w:sz w:val="18"/>
          <w:szCs w:val="18"/>
          <w:color w:val="auto"/>
        </w:rPr>
        <w:t>Fair value of mortgage loans held for sale is based on independent quoted market prices, where available, or the prices for other mortgage loans with similar characteristics.</w:t>
      </w:r>
    </w:p>
    <w:p>
      <w:pPr>
        <w:spacing w:after="0" w:line="162" w:lineRule="exact"/>
        <w:rPr>
          <w:sz w:val="20"/>
          <w:szCs w:val="20"/>
          <w:color w:val="auto"/>
        </w:rPr>
      </w:pPr>
    </w:p>
    <w:p>
      <w:pPr>
        <w:ind w:right="300" w:firstLine="810"/>
        <w:spacing w:after="0" w:line="261" w:lineRule="auto"/>
        <w:rPr>
          <w:sz w:val="20"/>
          <w:szCs w:val="20"/>
          <w:color w:val="auto"/>
        </w:rPr>
      </w:pPr>
      <w:r>
        <w:rPr>
          <w:rFonts w:ascii="Times New Roman" w:cs="Times New Roman" w:eastAsia="Times New Roman" w:hAnsi="Times New Roman"/>
          <w:sz w:val="18"/>
          <w:szCs w:val="18"/>
          <w:color w:val="auto"/>
        </w:rPr>
        <w:t>The financial services segment had a pipeline of loan applications in process of $597.2 million at April 30, 2026. Loans in process for which interest rates were committed to the borrowers totaled $59.0 million as of April 30, 2026. Substantially all of these commitments were for periods of 60 days or less. Since a portion of these commitments are expected to expire without being exercised by the borrowers, the total commitments do not necessarily represent future cash requirements.</w:t>
      </w:r>
    </w:p>
    <w:p>
      <w:pPr>
        <w:spacing w:after="0" w:line="180" w:lineRule="exact"/>
        <w:rPr>
          <w:sz w:val="20"/>
          <w:szCs w:val="20"/>
          <w:color w:val="auto"/>
        </w:rPr>
      </w:pPr>
    </w:p>
    <w:p>
      <w:pPr>
        <w:ind w:right="80" w:firstLine="810"/>
        <w:spacing w:after="0" w:line="258" w:lineRule="auto"/>
        <w:rPr>
          <w:sz w:val="20"/>
          <w:szCs w:val="20"/>
          <w:color w:val="auto"/>
        </w:rPr>
      </w:pPr>
      <w:r>
        <w:rPr>
          <w:rFonts w:ascii="Times New Roman" w:cs="Times New Roman" w:eastAsia="Times New Roman" w:hAnsi="Times New Roman"/>
          <w:sz w:val="18"/>
          <w:szCs w:val="18"/>
          <w:color w:val="auto"/>
        </w:rPr>
        <w:t>In addition, the financial services segment uses investor commitments and forward sales of mandatory MBS to hedge its mortgage-related interest rate exposure. These instruments involve, to varying degrees, elements of credit and interest rate risk. Credit risk is managed by entering into MBS forward commitments, option contracts with investment banks, federally regulated bank affiliates and loan sales transactions with permanent investors meeting the segment’s credit standards. Our risk, in the event of default by the purchaser, is the difference between the contract price and fair value of the MBS forward commitments and option contracts. At April 30, 2026, we had no open mandatory investor commitments to sell MBS.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Changes in fair value that are included in income are shown by financial instrument and financial statement line item, below:</w:t>
      </w:r>
    </w:p>
    <w:p>
      <w:pPr>
        <w:spacing w:after="0" w:line="275"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8"/>
          <w:szCs w:val="18"/>
          <w:b w:val="1"/>
          <w:bCs w:val="1"/>
          <w:color w:val="auto"/>
        </w:rPr>
        <w:t>Three Months Ended April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Mortgage Loans</w:t>
            </w:r>
          </w:p>
        </w:tc>
        <w:tc>
          <w:tcPr>
            <w:tcW w:w="1860" w:type="dxa"/>
            <w:vAlign w:val="bottom"/>
            <w:gridSpan w:val="2"/>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Interest Rate Lock</w:t>
            </w:r>
          </w:p>
        </w:tc>
        <w:tc>
          <w:tcPr>
            <w:tcW w:w="12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Forward</w:t>
            </w:r>
          </w:p>
        </w:tc>
      </w:tr>
      <w:tr>
        <w:trPr>
          <w:trHeight w:val="238"/>
        </w:trPr>
        <w:tc>
          <w:tcPr>
            <w:tcW w:w="54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Held For Sale</w:t>
            </w:r>
          </w:p>
        </w:tc>
        <w:tc>
          <w:tcPr>
            <w:tcW w:w="2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9"/>
              </w:rPr>
              <w:t>Commitments</w:t>
            </w:r>
          </w:p>
        </w:tc>
        <w:tc>
          <w:tcPr>
            <w:tcW w:w="12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Contracts</w:t>
            </w:r>
          </w:p>
        </w:tc>
      </w:tr>
      <w:tr>
        <w:trPr>
          <w:trHeight w:val="250"/>
        </w:trPr>
        <w:tc>
          <w:tcPr>
            <w:tcW w:w="54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0"/>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included in financial services revenue</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86"/>
        </w:trPr>
        <w:tc>
          <w:tcPr>
            <w:tcW w:w="54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gridSpan w:val="4"/>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Three Months Ended April 30, 2025</w:t>
            </w:r>
          </w:p>
        </w:tc>
      </w:tr>
      <w:tr>
        <w:trPr>
          <w:trHeight w:val="228"/>
        </w:trPr>
        <w:tc>
          <w:tcPr>
            <w:tcW w:w="54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Interest Rate</w:t>
            </w:r>
          </w:p>
        </w:tc>
        <w:tc>
          <w:tcPr>
            <w:tcW w:w="1220" w:type="dxa"/>
            <w:vAlign w:val="bottom"/>
          </w:tcPr>
          <w:p>
            <w:pPr>
              <w:spacing w:after="0"/>
              <w:rPr>
                <w:sz w:val="19"/>
                <w:szCs w:val="19"/>
                <w:color w:val="auto"/>
              </w:rPr>
            </w:pPr>
          </w:p>
        </w:tc>
      </w:tr>
      <w:tr>
        <w:trPr>
          <w:trHeight w:val="216"/>
        </w:trPr>
        <w:tc>
          <w:tcPr>
            <w:tcW w:w="54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Mortgage Loans</w:t>
            </w:r>
          </w:p>
        </w:tc>
        <w:tc>
          <w:tcPr>
            <w:tcW w:w="200" w:type="dxa"/>
            <w:vAlign w:val="bottom"/>
          </w:tcPr>
          <w:p>
            <w:pPr>
              <w:spacing w:after="0"/>
              <w:rPr>
                <w:sz w:val="18"/>
                <w:szCs w:val="18"/>
                <w:color w:val="auto"/>
              </w:rPr>
            </w:pPr>
          </w:p>
        </w:tc>
        <w:tc>
          <w:tcPr>
            <w:tcW w:w="166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rPr>
              <w:t>Lock</w:t>
            </w:r>
          </w:p>
        </w:tc>
        <w:tc>
          <w:tcPr>
            <w:tcW w:w="122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Forward</w:t>
            </w:r>
          </w:p>
        </w:tc>
      </w:tr>
      <w:tr>
        <w:trPr>
          <w:trHeight w:val="238"/>
        </w:trPr>
        <w:tc>
          <w:tcPr>
            <w:tcW w:w="54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Held For Sale</w:t>
            </w:r>
          </w:p>
        </w:tc>
        <w:tc>
          <w:tcPr>
            <w:tcW w:w="2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Commitments</w:t>
            </w:r>
          </w:p>
        </w:tc>
        <w:tc>
          <w:tcPr>
            <w:tcW w:w="12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Contracts</w:t>
            </w:r>
          </w:p>
        </w:tc>
      </w:tr>
    </w:tbl>
    <w:p>
      <w:pPr>
        <w:sectPr>
          <w:pgSz w:w="11900" w:h="16838" w:orient="portrait"/>
          <w:cols w:equalWidth="0" w:num="1">
            <w:col w:w="11240"/>
          </w:cols>
          <w:pgMar w:left="320" w:top="121" w:right="339" w:bottom="0" w:gutter="0" w:footer="0" w:header="0"/>
        </w:sectPr>
      </w:pPr>
    </w:p>
    <w:bookmarkStart w:id="21" w:name="page22"/>
    <w:bookmarkEnd w:id="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included in financial services revenue</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702"/>
        </w:trPr>
        <w:tc>
          <w:tcPr>
            <w:tcW w:w="54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rPr>
              <w:t>Six Months Ended April 30, 2026</w:t>
            </w:r>
          </w:p>
        </w:tc>
      </w:tr>
      <w:tr>
        <w:trPr>
          <w:trHeight w:val="228"/>
        </w:trPr>
        <w:tc>
          <w:tcPr>
            <w:tcW w:w="54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Interest Rate</w:t>
            </w: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16"/>
        </w:trPr>
        <w:tc>
          <w:tcPr>
            <w:tcW w:w="5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Mortgage Loans</w:t>
            </w:r>
          </w:p>
        </w:tc>
        <w:tc>
          <w:tcPr>
            <w:tcW w:w="24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Lock</w:t>
            </w:r>
          </w:p>
        </w:tc>
        <w:tc>
          <w:tcPr>
            <w:tcW w:w="320" w:type="dxa"/>
            <w:vAlign w:val="bottom"/>
          </w:tcPr>
          <w:p>
            <w:pPr>
              <w:spacing w:after="0"/>
              <w:rPr>
                <w:sz w:val="18"/>
                <w:szCs w:val="18"/>
                <w:color w:val="auto"/>
              </w:rPr>
            </w:pPr>
          </w:p>
        </w:tc>
        <w:tc>
          <w:tcPr>
            <w:tcW w:w="12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Forward</w:t>
            </w:r>
          </w:p>
        </w:tc>
      </w:tr>
      <w:tr>
        <w:trPr>
          <w:trHeight w:val="238"/>
        </w:trPr>
        <w:tc>
          <w:tcPr>
            <w:tcW w:w="54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Held For Sale</w:t>
            </w: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Commitments</w:t>
            </w: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Contracts</w:t>
            </w:r>
          </w:p>
        </w:tc>
      </w:tr>
      <w:tr>
        <w:trPr>
          <w:trHeight w:val="250"/>
        </w:trPr>
        <w:tc>
          <w:tcPr>
            <w:tcW w:w="54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0"/>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included in financial services revenue</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86"/>
        </w:trPr>
        <w:tc>
          <w:tcPr>
            <w:tcW w:w="54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rPr>
              <w:t>Six Months Ended April 30, 2025</w:t>
            </w:r>
          </w:p>
        </w:tc>
      </w:tr>
      <w:tr>
        <w:trPr>
          <w:trHeight w:val="228"/>
        </w:trPr>
        <w:tc>
          <w:tcPr>
            <w:tcW w:w="54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Interest Rate</w:t>
            </w: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16"/>
        </w:trPr>
        <w:tc>
          <w:tcPr>
            <w:tcW w:w="5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Mortgage Loans</w:t>
            </w:r>
          </w:p>
        </w:tc>
        <w:tc>
          <w:tcPr>
            <w:tcW w:w="24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Lock</w:t>
            </w:r>
          </w:p>
        </w:tc>
        <w:tc>
          <w:tcPr>
            <w:tcW w:w="320" w:type="dxa"/>
            <w:vAlign w:val="bottom"/>
          </w:tcPr>
          <w:p>
            <w:pPr>
              <w:spacing w:after="0"/>
              <w:rPr>
                <w:sz w:val="18"/>
                <w:szCs w:val="18"/>
                <w:color w:val="auto"/>
              </w:rPr>
            </w:pPr>
          </w:p>
        </w:tc>
        <w:tc>
          <w:tcPr>
            <w:tcW w:w="12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Forward</w:t>
            </w:r>
          </w:p>
        </w:tc>
      </w:tr>
      <w:tr>
        <w:trPr>
          <w:trHeight w:val="238"/>
        </w:trPr>
        <w:tc>
          <w:tcPr>
            <w:tcW w:w="54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Held For Sale</w:t>
            </w: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Commitments</w:t>
            </w: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Contracts</w:t>
            </w:r>
          </w:p>
        </w:tc>
      </w:tr>
      <w:tr>
        <w:trPr>
          <w:trHeight w:val="250"/>
        </w:trPr>
        <w:tc>
          <w:tcPr>
            <w:tcW w:w="54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0"/>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included in financial services revenue</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ind w:right="180" w:firstLine="810"/>
        <w:spacing w:after="0" w:line="266" w:lineRule="auto"/>
        <w:rPr>
          <w:sz w:val="20"/>
          <w:szCs w:val="20"/>
          <w:color w:val="auto"/>
        </w:rPr>
      </w:pPr>
      <w:r>
        <w:rPr>
          <w:rFonts w:ascii="Times New Roman" w:cs="Times New Roman" w:eastAsia="Times New Roman" w:hAnsi="Times New Roman"/>
          <w:sz w:val="18"/>
          <w:szCs w:val="18"/>
          <w:color w:val="auto"/>
        </w:rPr>
        <w:t>Assets measured at fair value on a nonrecurring basis are those assets for which we have recorded valuation adjustments and write-offs during the three and six months ended April 30, 2026 and 2025. The assets measured at fair value on a nonrecurring basis are all within our homebuilding operations and are summarized below:</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96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 April 30, 2026</w:t>
            </w:r>
          </w:p>
        </w:tc>
        <w:tc>
          <w:tcPr>
            <w:tcW w:w="1120" w:type="dxa"/>
            <w:vAlign w:val="bottom"/>
          </w:tcPr>
          <w:p>
            <w:pPr>
              <w:spacing w:after="0"/>
              <w:rPr>
                <w:sz w:val="20"/>
                <w:szCs w:val="20"/>
                <w:color w:val="auto"/>
              </w:rPr>
            </w:pPr>
          </w:p>
        </w:tc>
      </w:tr>
      <w:tr>
        <w:trPr>
          <w:trHeight w:val="27"/>
        </w:trPr>
        <w:tc>
          <w:tcPr>
            <w:tcW w:w="48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7"/>
        </w:trPr>
        <w:tc>
          <w:tcPr>
            <w:tcW w:w="486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Pre-</w:t>
            </w: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16"/>
        </w:trPr>
        <w:tc>
          <w:tcPr>
            <w:tcW w:w="4860" w:type="dxa"/>
            <w:vAlign w:val="bottom"/>
          </w:tcPr>
          <w:p>
            <w:pPr>
              <w:spacing w:after="0"/>
              <w:rPr>
                <w:sz w:val="18"/>
                <w:szCs w:val="18"/>
                <w:color w:val="auto"/>
              </w:rPr>
            </w:pPr>
          </w:p>
        </w:tc>
        <w:tc>
          <w:tcPr>
            <w:tcW w:w="2300" w:type="dxa"/>
            <w:vAlign w:val="bottom"/>
          </w:tcPr>
          <w:p>
            <w:pPr>
              <w:jc w:val="center"/>
              <w:ind w:left="119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34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Impairment</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8"/>
        </w:trPr>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300" w:type="dxa"/>
            <w:vAlign w:val="bottom"/>
            <w:tcBorders>
              <w:bottom w:val="single" w:sz="8" w:color="auto"/>
            </w:tcBorders>
          </w:tcPr>
          <w:p>
            <w:pPr>
              <w:jc w:val="center"/>
              <w:ind w:left="1190"/>
              <w:spacing w:after="0"/>
              <w:rPr>
                <w:sz w:val="20"/>
                <w:szCs w:val="20"/>
                <w:color w:val="auto"/>
              </w:rPr>
            </w:pPr>
            <w:r>
              <w:rPr>
                <w:rFonts w:ascii="Times New Roman" w:cs="Times New Roman" w:eastAsia="Times New Roman" w:hAnsi="Times New Roman"/>
                <w:sz w:val="18"/>
                <w:szCs w:val="18"/>
                <w:b w:val="1"/>
                <w:bCs w:val="1"/>
                <w:color w:val="auto"/>
                <w:w w:val="98"/>
              </w:rPr>
              <w:t>Hierarchy</w:t>
            </w: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Total Losses</w:t>
            </w: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4"/>
              </w:rPr>
              <w:t>Fair Value</w:t>
            </w:r>
          </w:p>
        </w:tc>
      </w:tr>
      <w:tr>
        <w:trPr>
          <w:trHeight w:val="236"/>
        </w:trPr>
        <w:tc>
          <w:tcPr>
            <w:tcW w:w="48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57"/>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and land options held for future development or sale</w:t>
            </w:r>
          </w:p>
        </w:tc>
        <w:tc>
          <w:tcPr>
            <w:tcW w:w="2300" w:type="dxa"/>
            <w:vAlign w:val="bottom"/>
            <w:shd w:val="clear" w:color="auto" w:fill="CCEEFF"/>
          </w:tcPr>
          <w:p>
            <w:pPr>
              <w:jc w:val="center"/>
              <w:ind w:left="1190"/>
              <w:spacing w:after="0"/>
              <w:rPr>
                <w:sz w:val="20"/>
                <w:szCs w:val="20"/>
                <w:color w:val="auto"/>
              </w:rPr>
            </w:pPr>
            <w:r>
              <w:rPr>
                <w:rFonts w:ascii="Times New Roman" w:cs="Times New Roman" w:eastAsia="Times New Roman" w:hAnsi="Times New Roman"/>
                <w:sz w:val="18"/>
                <w:szCs w:val="18"/>
                <w:color w:val="auto"/>
                <w:w w:val="99"/>
              </w:rPr>
              <w:t>Level 3</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21,736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16,402</w:t>
            </w:r>
          </w:p>
        </w:tc>
      </w:tr>
      <w:tr>
        <w:trPr>
          <w:trHeight w:val="459"/>
        </w:trPr>
        <w:tc>
          <w:tcPr>
            <w:tcW w:w="48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96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 April 30, 2025</w:t>
            </w:r>
          </w:p>
        </w:tc>
        <w:tc>
          <w:tcPr>
            <w:tcW w:w="1120" w:type="dxa"/>
            <w:vAlign w:val="bottom"/>
          </w:tcPr>
          <w:p>
            <w:pPr>
              <w:spacing w:after="0"/>
              <w:rPr>
                <w:sz w:val="24"/>
                <w:szCs w:val="24"/>
                <w:color w:val="auto"/>
              </w:rPr>
            </w:pPr>
          </w:p>
        </w:tc>
      </w:tr>
      <w:tr>
        <w:trPr>
          <w:trHeight w:val="27"/>
        </w:trPr>
        <w:tc>
          <w:tcPr>
            <w:tcW w:w="48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7"/>
        </w:trPr>
        <w:tc>
          <w:tcPr>
            <w:tcW w:w="486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Pre-</w:t>
            </w: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16"/>
        </w:trPr>
        <w:tc>
          <w:tcPr>
            <w:tcW w:w="4860" w:type="dxa"/>
            <w:vAlign w:val="bottom"/>
          </w:tcPr>
          <w:p>
            <w:pPr>
              <w:spacing w:after="0"/>
              <w:rPr>
                <w:sz w:val="18"/>
                <w:szCs w:val="18"/>
                <w:color w:val="auto"/>
              </w:rPr>
            </w:pPr>
          </w:p>
        </w:tc>
        <w:tc>
          <w:tcPr>
            <w:tcW w:w="2300" w:type="dxa"/>
            <w:vAlign w:val="bottom"/>
          </w:tcPr>
          <w:p>
            <w:pPr>
              <w:jc w:val="center"/>
              <w:ind w:left="119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34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Impairment</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8"/>
        </w:trPr>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300" w:type="dxa"/>
            <w:vAlign w:val="bottom"/>
            <w:tcBorders>
              <w:bottom w:val="single" w:sz="8" w:color="auto"/>
            </w:tcBorders>
          </w:tcPr>
          <w:p>
            <w:pPr>
              <w:jc w:val="center"/>
              <w:ind w:left="1190"/>
              <w:spacing w:after="0"/>
              <w:rPr>
                <w:sz w:val="20"/>
                <w:szCs w:val="20"/>
                <w:color w:val="auto"/>
              </w:rPr>
            </w:pPr>
            <w:r>
              <w:rPr>
                <w:rFonts w:ascii="Times New Roman" w:cs="Times New Roman" w:eastAsia="Times New Roman" w:hAnsi="Times New Roman"/>
                <w:sz w:val="18"/>
                <w:szCs w:val="18"/>
                <w:b w:val="1"/>
                <w:bCs w:val="1"/>
                <w:color w:val="auto"/>
                <w:w w:val="98"/>
              </w:rPr>
              <w:t>Hierarchy</w:t>
            </w: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Total Losses</w:t>
            </w: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4"/>
              </w:rPr>
              <w:t>Fair Value</w:t>
            </w:r>
          </w:p>
        </w:tc>
      </w:tr>
      <w:tr>
        <w:trPr>
          <w:trHeight w:val="237"/>
        </w:trPr>
        <w:tc>
          <w:tcPr>
            <w:tcW w:w="48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5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and land options held for future development or sale</w:t>
            </w:r>
          </w:p>
        </w:tc>
        <w:tc>
          <w:tcPr>
            <w:tcW w:w="2300" w:type="dxa"/>
            <w:vAlign w:val="bottom"/>
            <w:shd w:val="clear" w:color="auto" w:fill="CCEEFF"/>
          </w:tcPr>
          <w:p>
            <w:pPr>
              <w:jc w:val="center"/>
              <w:ind w:left="1190"/>
              <w:spacing w:after="0"/>
              <w:rPr>
                <w:sz w:val="20"/>
                <w:szCs w:val="20"/>
                <w:color w:val="auto"/>
              </w:rPr>
            </w:pPr>
            <w:r>
              <w:rPr>
                <w:rFonts w:ascii="Times New Roman" w:cs="Times New Roman" w:eastAsia="Times New Roman" w:hAnsi="Times New Roman"/>
                <w:sz w:val="18"/>
                <w:szCs w:val="18"/>
                <w:color w:val="auto"/>
                <w:w w:val="99"/>
              </w:rPr>
              <w:t>Level 3</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4,181</w:t>
            </w:r>
          </w:p>
        </w:tc>
      </w:tr>
      <w:tr>
        <w:trPr>
          <w:trHeight w:val="459"/>
        </w:trPr>
        <w:tc>
          <w:tcPr>
            <w:tcW w:w="48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820" w:type="dxa"/>
            <w:vAlign w:val="bottom"/>
            <w:gridSpan w:val="4"/>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rPr>
              <w:t>Six Months Ended April 30, 2026</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
        </w:trPr>
        <w:tc>
          <w:tcPr>
            <w:tcW w:w="48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7"/>
        </w:trPr>
        <w:tc>
          <w:tcPr>
            <w:tcW w:w="486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Pre-</w:t>
            </w: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16"/>
        </w:trPr>
        <w:tc>
          <w:tcPr>
            <w:tcW w:w="4860" w:type="dxa"/>
            <w:vAlign w:val="bottom"/>
          </w:tcPr>
          <w:p>
            <w:pPr>
              <w:spacing w:after="0"/>
              <w:rPr>
                <w:sz w:val="18"/>
                <w:szCs w:val="18"/>
                <w:color w:val="auto"/>
              </w:rPr>
            </w:pPr>
          </w:p>
        </w:tc>
        <w:tc>
          <w:tcPr>
            <w:tcW w:w="2300" w:type="dxa"/>
            <w:vAlign w:val="bottom"/>
          </w:tcPr>
          <w:p>
            <w:pPr>
              <w:jc w:val="center"/>
              <w:ind w:left="119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34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Impairment</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8"/>
        </w:trPr>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300" w:type="dxa"/>
            <w:vAlign w:val="bottom"/>
            <w:tcBorders>
              <w:bottom w:val="single" w:sz="8" w:color="auto"/>
            </w:tcBorders>
          </w:tcPr>
          <w:p>
            <w:pPr>
              <w:jc w:val="center"/>
              <w:ind w:left="1190"/>
              <w:spacing w:after="0"/>
              <w:rPr>
                <w:sz w:val="20"/>
                <w:szCs w:val="20"/>
                <w:color w:val="auto"/>
              </w:rPr>
            </w:pPr>
            <w:r>
              <w:rPr>
                <w:rFonts w:ascii="Times New Roman" w:cs="Times New Roman" w:eastAsia="Times New Roman" w:hAnsi="Times New Roman"/>
                <w:sz w:val="18"/>
                <w:szCs w:val="18"/>
                <w:b w:val="1"/>
                <w:bCs w:val="1"/>
                <w:color w:val="auto"/>
                <w:w w:val="98"/>
              </w:rPr>
              <w:t>Hierarchy</w:t>
            </w: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Total Losses</w:t>
            </w: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4"/>
              </w:rPr>
              <w:t>Fair Value</w:t>
            </w:r>
          </w:p>
        </w:tc>
      </w:tr>
      <w:tr>
        <w:trPr>
          <w:trHeight w:val="236"/>
        </w:trPr>
        <w:tc>
          <w:tcPr>
            <w:tcW w:w="48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57"/>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and land options held for future development or sale</w:t>
            </w:r>
          </w:p>
        </w:tc>
        <w:tc>
          <w:tcPr>
            <w:tcW w:w="2300" w:type="dxa"/>
            <w:vAlign w:val="bottom"/>
            <w:shd w:val="clear" w:color="auto" w:fill="CCEEFF"/>
          </w:tcPr>
          <w:p>
            <w:pPr>
              <w:jc w:val="center"/>
              <w:ind w:left="1190"/>
              <w:spacing w:after="0"/>
              <w:rPr>
                <w:sz w:val="20"/>
                <w:szCs w:val="20"/>
                <w:color w:val="auto"/>
              </w:rPr>
            </w:pPr>
            <w:r>
              <w:rPr>
                <w:rFonts w:ascii="Times New Roman" w:cs="Times New Roman" w:eastAsia="Times New Roman" w:hAnsi="Times New Roman"/>
                <w:sz w:val="18"/>
                <w:szCs w:val="18"/>
                <w:color w:val="auto"/>
                <w:w w:val="99"/>
              </w:rPr>
              <w:t>Level 3</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21,736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16,402</w:t>
            </w:r>
          </w:p>
        </w:tc>
      </w:tr>
      <w:tr>
        <w:trPr>
          <w:trHeight w:val="459"/>
        </w:trPr>
        <w:tc>
          <w:tcPr>
            <w:tcW w:w="48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820" w:type="dxa"/>
            <w:vAlign w:val="bottom"/>
            <w:gridSpan w:val="4"/>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rPr>
              <w:t>Six Months Ended April 30, 2025</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
        </w:trPr>
        <w:tc>
          <w:tcPr>
            <w:tcW w:w="48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7"/>
        </w:trPr>
        <w:tc>
          <w:tcPr>
            <w:tcW w:w="486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Pre-</w:t>
            </w: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16"/>
        </w:trPr>
        <w:tc>
          <w:tcPr>
            <w:tcW w:w="4860" w:type="dxa"/>
            <w:vAlign w:val="bottom"/>
          </w:tcPr>
          <w:p>
            <w:pPr>
              <w:spacing w:after="0"/>
              <w:rPr>
                <w:sz w:val="18"/>
                <w:szCs w:val="18"/>
                <w:color w:val="auto"/>
              </w:rPr>
            </w:pPr>
          </w:p>
        </w:tc>
        <w:tc>
          <w:tcPr>
            <w:tcW w:w="2300" w:type="dxa"/>
            <w:vAlign w:val="bottom"/>
          </w:tcPr>
          <w:p>
            <w:pPr>
              <w:jc w:val="center"/>
              <w:ind w:left="119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34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Impairment</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8"/>
        </w:trPr>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300" w:type="dxa"/>
            <w:vAlign w:val="bottom"/>
            <w:tcBorders>
              <w:bottom w:val="single" w:sz="8" w:color="auto"/>
            </w:tcBorders>
          </w:tcPr>
          <w:p>
            <w:pPr>
              <w:jc w:val="center"/>
              <w:ind w:left="1190"/>
              <w:spacing w:after="0"/>
              <w:rPr>
                <w:sz w:val="20"/>
                <w:szCs w:val="20"/>
                <w:color w:val="auto"/>
              </w:rPr>
            </w:pPr>
            <w:r>
              <w:rPr>
                <w:rFonts w:ascii="Times New Roman" w:cs="Times New Roman" w:eastAsia="Times New Roman" w:hAnsi="Times New Roman"/>
                <w:sz w:val="18"/>
                <w:szCs w:val="18"/>
                <w:b w:val="1"/>
                <w:bCs w:val="1"/>
                <w:color w:val="auto"/>
                <w:w w:val="98"/>
              </w:rPr>
              <w:t>Hierarchy</w:t>
            </w: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Total Losses</w:t>
            </w: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4"/>
              </w:rPr>
              <w:t>Fair Value</w:t>
            </w:r>
          </w:p>
        </w:tc>
      </w:tr>
      <w:tr>
        <w:trPr>
          <w:trHeight w:val="236"/>
        </w:trPr>
        <w:tc>
          <w:tcPr>
            <w:tcW w:w="48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57"/>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and land options held for future development or sale</w:t>
            </w:r>
          </w:p>
        </w:tc>
        <w:tc>
          <w:tcPr>
            <w:tcW w:w="2300" w:type="dxa"/>
            <w:vAlign w:val="bottom"/>
            <w:shd w:val="clear" w:color="auto" w:fill="CCEEFF"/>
          </w:tcPr>
          <w:p>
            <w:pPr>
              <w:jc w:val="center"/>
              <w:ind w:left="1190"/>
              <w:spacing w:after="0"/>
              <w:rPr>
                <w:sz w:val="20"/>
                <w:szCs w:val="20"/>
                <w:color w:val="auto"/>
              </w:rPr>
            </w:pPr>
            <w:r>
              <w:rPr>
                <w:rFonts w:ascii="Times New Roman" w:cs="Times New Roman" w:eastAsia="Times New Roman" w:hAnsi="Times New Roman"/>
                <w:sz w:val="18"/>
                <w:szCs w:val="18"/>
                <w:color w:val="auto"/>
                <w:w w:val="99"/>
              </w:rPr>
              <w:t>Level 3</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4,181</w:t>
            </w:r>
          </w:p>
        </w:tc>
      </w:tr>
      <w:tr>
        <w:trPr>
          <w:trHeight w:val="432"/>
        </w:trPr>
        <w:tc>
          <w:tcPr>
            <w:tcW w:w="4860" w:type="dxa"/>
            <w:vAlign w:val="bottom"/>
          </w:tcPr>
          <w:p>
            <w:pPr>
              <w:spacing w:after="0"/>
              <w:rPr>
                <w:sz w:val="24"/>
                <w:szCs w:val="24"/>
                <w:color w:val="auto"/>
              </w:rPr>
            </w:pPr>
          </w:p>
        </w:tc>
        <w:tc>
          <w:tcPr>
            <w:tcW w:w="230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28</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748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5" w:lineRule="exact"/>
        <w:rPr>
          <w:sz w:val="20"/>
          <w:szCs w:val="20"/>
          <w:color w:val="auto"/>
        </w:rPr>
      </w:pPr>
    </w:p>
    <w:p>
      <w:pPr>
        <w:ind w:right="40" w:firstLine="783"/>
        <w:spacing w:after="0" w:line="258" w:lineRule="auto"/>
        <w:rPr>
          <w:sz w:val="20"/>
          <w:szCs w:val="20"/>
          <w:color w:val="auto"/>
        </w:rPr>
      </w:pPr>
      <w:r>
        <w:rPr>
          <w:rFonts w:ascii="Times New Roman" w:cs="Times New Roman" w:eastAsia="Times New Roman" w:hAnsi="Times New Roman"/>
          <w:sz w:val="18"/>
          <w:szCs w:val="18"/>
          <w:color w:val="auto"/>
        </w:rPr>
        <w:t>We estimate the fair value of each impaired community by determining the present value of the estimated future cash flows at a discount rate commensurate with the risk of the respective community. For the three and six months ended April 30, 2026, our discount rates used to determine the fair value ranged from 16.0% to 19.8%, respectively. We recorded inventory impairments of $5.3 million for both the three and six months ended April 30, 2026 and $1.2 million for both the three and six months ended April 30, 2025, which are included in the Condensed Consolidated Statements of Operations as "Inventory impairments and land option write-offs" and deducted from inventory.</w:t>
      </w:r>
    </w:p>
    <w:p>
      <w:pPr>
        <w:spacing w:after="0" w:line="183" w:lineRule="exact"/>
        <w:rPr>
          <w:sz w:val="20"/>
          <w:szCs w:val="20"/>
          <w:color w:val="auto"/>
        </w:rPr>
      </w:pPr>
    </w:p>
    <w:p>
      <w:pPr>
        <w:ind w:right="180" w:firstLine="810"/>
        <w:spacing w:after="0" w:line="282" w:lineRule="auto"/>
        <w:rPr>
          <w:sz w:val="20"/>
          <w:szCs w:val="20"/>
          <w:color w:val="auto"/>
        </w:rPr>
      </w:pPr>
      <w:r>
        <w:rPr>
          <w:rFonts w:ascii="Times New Roman" w:cs="Times New Roman" w:eastAsia="Times New Roman" w:hAnsi="Times New Roman"/>
          <w:sz w:val="18"/>
          <w:szCs w:val="18"/>
          <w:color w:val="auto"/>
        </w:rPr>
        <w:t>The fair value of our cash equivalents, restricted cash and cash equivalents and customers' deposits approximates their carrying amount, based on Level 1 inputs.</w:t>
      </w:r>
    </w:p>
    <w:p>
      <w:pPr>
        <w:spacing w:after="0" w:line="121" w:lineRule="exact"/>
        <w:rPr>
          <w:sz w:val="20"/>
          <w:szCs w:val="20"/>
          <w:color w:val="auto"/>
        </w:rPr>
      </w:pPr>
    </w:p>
    <w:p>
      <w:pPr>
        <w:ind w:right="160" w:firstLine="810"/>
        <w:spacing w:after="0" w:line="258" w:lineRule="auto"/>
        <w:rPr>
          <w:sz w:val="20"/>
          <w:szCs w:val="20"/>
          <w:color w:val="auto"/>
        </w:rPr>
      </w:pPr>
      <w:r>
        <w:rPr>
          <w:rFonts w:ascii="Times New Roman" w:cs="Times New Roman" w:eastAsia="Times New Roman" w:hAnsi="Times New Roman"/>
          <w:sz w:val="18"/>
          <w:szCs w:val="18"/>
          <w:color w:val="auto"/>
        </w:rPr>
        <w:t>The fair value of each series of our notes and credit facilities are listed below. Level 2 measurements are estimated based on recent trades or quoted market prices for the same issues or based on recent trades or quoted market prices for our debt of similar security and maturity to achieve comparable yields. Level 3 measurements are estimated based on third-party broker quotes or management’s estimate of the fair value based on available trades for similar debt instruments. As shown in the table below, our 8.0% Senior Notes due 2031, 8.375% Senior Notes due 2033 and 5.0% Senior Notes due 2040 were a Level 2 measurement at April 30, 2026 and October 31, 2025 due to recent trades for the same notes.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Fair Value as of April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6" w:right="339" w:bottom="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8"/>
        </w:trPr>
        <w:tc>
          <w:tcPr>
            <w:tcW w:w="4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7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4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4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Senior Notes:</w:t>
            </w:r>
          </w:p>
        </w:tc>
        <w:tc>
          <w:tcPr>
            <w:tcW w:w="17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30"/>
        </w:trPr>
        <w:tc>
          <w:tcPr>
            <w:tcW w:w="4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8.0% Senior Notes due April 1, 2031</w:t>
            </w:r>
          </w:p>
        </w:tc>
        <w:tc>
          <w:tcPr>
            <w:tcW w:w="1780" w:type="dxa"/>
            <w:vAlign w:val="bottom"/>
          </w:tcPr>
          <w:p>
            <w:pPr>
              <w:spacing w:after="0"/>
              <w:rPr>
                <w:sz w:val="19"/>
                <w:szCs w:val="19"/>
                <w:color w:val="auto"/>
              </w:rPr>
            </w:pPr>
          </w:p>
        </w:tc>
        <w:tc>
          <w:tcPr>
            <w:tcW w:w="13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453,785</w:t>
            </w:r>
          </w:p>
        </w:tc>
        <w:tc>
          <w:tcPr>
            <w:tcW w:w="440" w:type="dxa"/>
            <w:vAlign w:val="bottom"/>
          </w:tcPr>
          <w:p>
            <w:pPr>
              <w:spacing w:after="0"/>
              <w:rPr>
                <w:sz w:val="19"/>
                <w:szCs w:val="19"/>
                <w:color w:val="auto"/>
              </w:rPr>
            </w:pPr>
          </w:p>
        </w:tc>
        <w:tc>
          <w:tcPr>
            <w:tcW w:w="13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453,785</w:t>
            </w:r>
          </w:p>
        </w:tc>
      </w:tr>
      <w:tr>
        <w:trPr>
          <w:trHeight w:val="229"/>
        </w:trPr>
        <w:tc>
          <w:tcPr>
            <w:tcW w:w="4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8.375% Senior Notes due October 1, 2033</w:t>
            </w:r>
          </w:p>
        </w:tc>
        <w:tc>
          <w:tcPr>
            <w:tcW w:w="1780" w:type="dxa"/>
            <w:vAlign w:val="bottom"/>
            <w:shd w:val="clear" w:color="auto" w:fill="CCEEFF"/>
          </w:tcPr>
          <w:p>
            <w:pPr>
              <w:spacing w:after="0"/>
              <w:rPr>
                <w:sz w:val="19"/>
                <w:szCs w:val="19"/>
                <w:color w:val="auto"/>
              </w:rPr>
            </w:pPr>
          </w:p>
        </w:tc>
        <w:tc>
          <w:tcPr>
            <w:tcW w:w="13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452,826</w:t>
            </w:r>
          </w:p>
        </w:tc>
        <w:tc>
          <w:tcPr>
            <w:tcW w:w="440" w:type="dxa"/>
            <w:vAlign w:val="bottom"/>
            <w:shd w:val="clear" w:color="auto" w:fill="CCEEFF"/>
          </w:tcPr>
          <w:p>
            <w:pPr>
              <w:spacing w:after="0"/>
              <w:rPr>
                <w:sz w:val="19"/>
                <w:szCs w:val="19"/>
                <w:color w:val="auto"/>
              </w:rPr>
            </w:pPr>
          </w:p>
        </w:tc>
        <w:tc>
          <w:tcPr>
            <w:tcW w:w="13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452,826</w:t>
            </w:r>
          </w:p>
        </w:tc>
      </w:tr>
      <w:tr>
        <w:trPr>
          <w:trHeight w:val="229"/>
        </w:trPr>
        <w:tc>
          <w:tcPr>
            <w:tcW w:w="45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5.0% Senior Notes due February 1, 2040</w:t>
            </w:r>
          </w:p>
        </w:tc>
        <w:tc>
          <w:tcPr>
            <w:tcW w:w="17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16,235</w:t>
            </w:r>
          </w:p>
        </w:tc>
        <w:tc>
          <w:tcPr>
            <w:tcW w:w="4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333333"/>
              </w:rPr>
              <w:t>16,235</w:t>
            </w:r>
          </w:p>
        </w:tc>
      </w:tr>
      <w:tr>
        <w:trPr>
          <w:trHeight w:val="210"/>
        </w:trPr>
        <w:tc>
          <w:tcPr>
            <w:tcW w:w="45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fair value</w:t>
            </w:r>
          </w:p>
        </w:tc>
        <w:tc>
          <w:tcPr>
            <w:tcW w:w="178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333333"/>
              </w:rPr>
              <w:t>-  $</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333333"/>
              </w:rPr>
              <w:t>922,846</w:t>
            </w:r>
          </w:p>
        </w:tc>
        <w:tc>
          <w:tcPr>
            <w:tcW w:w="44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333333"/>
              </w:rPr>
              <w:t>$</w:t>
            </w:r>
          </w:p>
        </w:tc>
        <w:tc>
          <w:tcPr>
            <w:tcW w:w="1300" w:type="dxa"/>
            <w:vAlign w:val="bottom"/>
            <w:tcBorders>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333333"/>
              </w:rPr>
              <w:t>-  $</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922,846</w:t>
            </w:r>
          </w:p>
        </w:tc>
      </w:tr>
      <w:tr>
        <w:trPr>
          <w:trHeight w:val="20"/>
        </w:trPr>
        <w:tc>
          <w:tcPr>
            <w:tcW w:w="45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Fair Value as of October 31, 2025</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5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7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44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4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Senior Notes:</w:t>
            </w:r>
          </w:p>
        </w:tc>
        <w:tc>
          <w:tcPr>
            <w:tcW w:w="17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29"/>
        </w:trPr>
        <w:tc>
          <w:tcPr>
            <w:tcW w:w="4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8.0% Senior Notes due April 1, 2031</w:t>
            </w:r>
          </w:p>
        </w:tc>
        <w:tc>
          <w:tcPr>
            <w:tcW w:w="1780" w:type="dxa"/>
            <w:vAlign w:val="bottom"/>
          </w:tcPr>
          <w:p>
            <w:pPr>
              <w:spacing w:after="0"/>
              <w:rPr>
                <w:sz w:val="19"/>
                <w:szCs w:val="19"/>
                <w:color w:val="auto"/>
              </w:rPr>
            </w:pPr>
          </w:p>
        </w:tc>
        <w:tc>
          <w:tcPr>
            <w:tcW w:w="13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459,972</w:t>
            </w:r>
          </w:p>
        </w:tc>
        <w:tc>
          <w:tcPr>
            <w:tcW w:w="440" w:type="dxa"/>
            <w:vAlign w:val="bottom"/>
          </w:tcPr>
          <w:p>
            <w:pPr>
              <w:spacing w:after="0"/>
              <w:rPr>
                <w:sz w:val="19"/>
                <w:szCs w:val="19"/>
                <w:color w:val="auto"/>
              </w:rPr>
            </w:pPr>
          </w:p>
        </w:tc>
        <w:tc>
          <w:tcPr>
            <w:tcW w:w="13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459,972</w:t>
            </w:r>
          </w:p>
        </w:tc>
      </w:tr>
      <w:tr>
        <w:trPr>
          <w:trHeight w:val="230"/>
        </w:trPr>
        <w:tc>
          <w:tcPr>
            <w:tcW w:w="4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8.375% Senior Notes due October 1, 2033</w:t>
            </w:r>
          </w:p>
        </w:tc>
        <w:tc>
          <w:tcPr>
            <w:tcW w:w="1780" w:type="dxa"/>
            <w:vAlign w:val="bottom"/>
            <w:shd w:val="clear" w:color="auto" w:fill="CCEEFF"/>
          </w:tcPr>
          <w:p>
            <w:pPr>
              <w:spacing w:after="0"/>
              <w:rPr>
                <w:sz w:val="19"/>
                <w:szCs w:val="19"/>
                <w:color w:val="auto"/>
              </w:rPr>
            </w:pPr>
          </w:p>
        </w:tc>
        <w:tc>
          <w:tcPr>
            <w:tcW w:w="13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461,192</w:t>
            </w:r>
          </w:p>
        </w:tc>
        <w:tc>
          <w:tcPr>
            <w:tcW w:w="440" w:type="dxa"/>
            <w:vAlign w:val="bottom"/>
            <w:shd w:val="clear" w:color="auto" w:fill="CCEEFF"/>
          </w:tcPr>
          <w:p>
            <w:pPr>
              <w:spacing w:after="0"/>
              <w:rPr>
                <w:sz w:val="19"/>
                <w:szCs w:val="19"/>
                <w:color w:val="auto"/>
              </w:rPr>
            </w:pPr>
          </w:p>
        </w:tc>
        <w:tc>
          <w:tcPr>
            <w:tcW w:w="13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461,192</w:t>
            </w:r>
          </w:p>
        </w:tc>
      </w:tr>
      <w:tr>
        <w:trPr>
          <w:trHeight w:val="229"/>
        </w:trPr>
        <w:tc>
          <w:tcPr>
            <w:tcW w:w="45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5.0% Senior Notes due February 1, 2040</w:t>
            </w:r>
          </w:p>
        </w:tc>
        <w:tc>
          <w:tcPr>
            <w:tcW w:w="17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16,492</w:t>
            </w:r>
          </w:p>
        </w:tc>
        <w:tc>
          <w:tcPr>
            <w:tcW w:w="4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333333"/>
              </w:rPr>
              <w:t>16,492</w:t>
            </w:r>
          </w:p>
        </w:tc>
      </w:tr>
      <w:tr>
        <w:trPr>
          <w:trHeight w:val="209"/>
        </w:trPr>
        <w:tc>
          <w:tcPr>
            <w:tcW w:w="45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fair value</w:t>
            </w:r>
          </w:p>
        </w:tc>
        <w:tc>
          <w:tcPr>
            <w:tcW w:w="178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333333"/>
              </w:rPr>
              <w:t>-  $</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333333"/>
              </w:rPr>
              <w:t>937,656</w:t>
            </w:r>
          </w:p>
        </w:tc>
        <w:tc>
          <w:tcPr>
            <w:tcW w:w="44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333333"/>
              </w:rPr>
              <w:t>$</w:t>
            </w:r>
          </w:p>
        </w:tc>
        <w:tc>
          <w:tcPr>
            <w:tcW w:w="1300" w:type="dxa"/>
            <w:vAlign w:val="bottom"/>
            <w:tcBorders>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333333"/>
              </w:rPr>
              <w:t>-  $</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937,656</w:t>
            </w:r>
          </w:p>
        </w:tc>
      </w:tr>
      <w:tr>
        <w:trPr>
          <w:trHeight w:val="20"/>
        </w:trPr>
        <w:tc>
          <w:tcPr>
            <w:tcW w:w="45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40" w:firstLine="810"/>
        <w:spacing w:after="0" w:line="282" w:lineRule="auto"/>
        <w:rPr>
          <w:sz w:val="20"/>
          <w:szCs w:val="20"/>
          <w:color w:val="auto"/>
        </w:rPr>
      </w:pPr>
      <w:r>
        <w:rPr>
          <w:rFonts w:ascii="Times New Roman" w:cs="Times New Roman" w:eastAsia="Times New Roman" w:hAnsi="Times New Roman"/>
          <w:sz w:val="18"/>
          <w:szCs w:val="18"/>
          <w:color w:val="auto"/>
        </w:rPr>
        <w:t>The Senior Secured Revolving Credit Facility is not included in the above tables because there were no borrowings outstanding thereunder at April 30, 2026 and October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Transactions with Related Parties</w:t>
      </w:r>
    </w:p>
    <w:p>
      <w:pPr>
        <w:spacing w:after="0" w:line="229" w:lineRule="exact"/>
        <w:rPr>
          <w:sz w:val="20"/>
          <w:szCs w:val="20"/>
          <w:color w:val="auto"/>
        </w:rPr>
      </w:pPr>
    </w:p>
    <w:p>
      <w:pPr>
        <w:ind w:right="40" w:firstLine="810"/>
        <w:spacing w:after="0" w:line="254" w:lineRule="auto"/>
        <w:rPr>
          <w:sz w:val="20"/>
          <w:szCs w:val="20"/>
          <w:color w:val="auto"/>
        </w:rPr>
      </w:pPr>
      <w:r>
        <w:rPr>
          <w:rFonts w:ascii="Times New Roman" w:cs="Times New Roman" w:eastAsia="Times New Roman" w:hAnsi="Times New Roman"/>
          <w:sz w:val="18"/>
          <w:szCs w:val="18"/>
          <w:color w:val="auto"/>
        </w:rPr>
        <w:t>From time to time, an engineering firm owned by Tavit Najarian, a relative of Ara K. Hovnanian, our Chairman and Chief Executive Officer, and Alexander Hovnanian, our President, provides services to the Company. During the three months ended April 30, 2026 and 2025, the services provided by such engineering firm to the Company totaled $0.6 million and $0.2 million, respectively. During the six months ended April 30, 2026 and 2025, the services provided by such engineering firm to the Company totaled $0.8 million and $0.4 million, respectively. Neither the Company nor Messrs. Hovnanian have a financial interest in the relative’s company from whom the services were provided.</w:t>
      </w:r>
    </w:p>
    <w:p>
      <w:pPr>
        <w:spacing w:after="0" w:line="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1748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89" w:lineRule="exact"/>
        <w:rPr>
          <w:sz w:val="20"/>
          <w:szCs w:val="20"/>
          <w:color w:val="auto"/>
        </w:rPr>
      </w:pPr>
    </w:p>
    <w:p>
      <w:pPr>
        <w:ind w:firstLine="810"/>
        <w:spacing w:after="0" w:line="266" w:lineRule="auto"/>
        <w:rPr>
          <w:sz w:val="20"/>
          <w:szCs w:val="20"/>
          <w:color w:val="auto"/>
        </w:rPr>
      </w:pPr>
      <w:r>
        <w:rPr>
          <w:rFonts w:ascii="Times New Roman" w:cs="Times New Roman" w:eastAsia="Times New Roman" w:hAnsi="Times New Roman"/>
          <w:sz w:val="18"/>
          <w:szCs w:val="18"/>
          <w:color w:val="auto"/>
        </w:rPr>
        <w:t>Hovnanian Enterprises, Inc. (“HEI”) conducts all of its homebuilding and financial services operations through its subsidiaries (references herein to the “Company,” “we,” “us” or “our” refer to HEI and its consolidated subsidiaries and should be understood to reflect the consolidated business of HEI’s subsidiaries).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p>
      <w:pPr>
        <w:spacing w:after="0" w:line="189" w:lineRule="exact"/>
        <w:rPr>
          <w:sz w:val="20"/>
          <w:szCs w:val="20"/>
          <w:color w:val="auto"/>
        </w:rPr>
      </w:pPr>
    </w:p>
    <w:p>
      <w:pPr>
        <w:ind w:firstLine="810"/>
        <w:spacing w:after="0" w:line="266" w:lineRule="auto"/>
        <w:rPr>
          <w:sz w:val="20"/>
          <w:szCs w:val="20"/>
          <w:color w:val="auto"/>
        </w:rPr>
      </w:pPr>
      <w:r>
        <w:rPr>
          <w:rFonts w:ascii="Times New Roman" w:cs="Times New Roman" w:eastAsia="Times New Roman" w:hAnsi="Times New Roman"/>
          <w:sz w:val="18"/>
          <w:szCs w:val="18"/>
          <w:color w:val="auto"/>
        </w:rPr>
        <w:t>The following key performance indicators are commonly used in the homebuilding industry and by management as a means to better understand our operating performance and trends affecting our business and compare our performance with the performance of other homebuilders. We believe these key performance indicators also provide useful information to investors in analyzing our performance:</w:t>
      </w:r>
    </w:p>
    <w:p>
      <w:pPr>
        <w:spacing w:after="0" w:line="133" w:lineRule="exact"/>
        <w:rPr>
          <w:sz w:val="20"/>
          <w:szCs w:val="20"/>
          <w:color w:val="auto"/>
        </w:rPr>
      </w:pPr>
    </w:p>
    <w:p>
      <w:pPr>
        <w:ind w:left="1140" w:right="300" w:hanging="322"/>
        <w:spacing w:after="0" w:line="267" w:lineRule="auto"/>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Net contracts </w:t>
      </w:r>
      <w:r>
        <w:rPr>
          <w:rFonts w:ascii="Times New Roman" w:cs="Times New Roman" w:eastAsia="Times New Roman" w:hAnsi="Times New Roman"/>
          <w:sz w:val="18"/>
          <w:szCs w:val="18"/>
          <w:color w:val="auto"/>
        </w:rPr>
        <w:t>is a volume indicator which represents the number of new contracts executed during the period for the purchase of homes,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less cancellations of contracts in the same period. The dollar value of net contracts represents the dollars associated with net contracts executed in the period. These values are an indicator of potential future revenues;</w:t>
      </w:r>
    </w:p>
    <w:p>
      <w:pPr>
        <w:spacing w:after="0" w:line="173" w:lineRule="exact"/>
        <w:rPr>
          <w:rFonts w:ascii="Times New Roman" w:cs="Times New Roman" w:eastAsia="Times New Roman" w:hAnsi="Times New Roman"/>
          <w:sz w:val="18"/>
          <w:szCs w:val="18"/>
          <w:color w:val="auto"/>
        </w:rPr>
      </w:pPr>
    </w:p>
    <w:p>
      <w:pPr>
        <w:ind w:left="1140" w:right="140" w:hanging="322"/>
        <w:spacing w:after="0" w:line="267" w:lineRule="auto"/>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Contract backlog </w:t>
      </w:r>
      <w:r>
        <w:rPr>
          <w:rFonts w:ascii="Times New Roman" w:cs="Times New Roman" w:eastAsia="Times New Roman" w:hAnsi="Times New Roman"/>
          <w:sz w:val="18"/>
          <w:szCs w:val="18"/>
          <w:color w:val="auto"/>
        </w:rPr>
        <w:t>is a volume indicator which represents the number of homes that are under contract but not yet delivered as of the stated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 The dollar value of contract backlog represents the dollar amount of the homes in contract backlog. These values are an indicator of potential future revenues;</w:t>
      </w:r>
    </w:p>
    <w:p>
      <w:pPr>
        <w:spacing w:after="0" w:line="173" w:lineRule="exact"/>
        <w:rPr>
          <w:rFonts w:ascii="Times New Roman" w:cs="Times New Roman" w:eastAsia="Times New Roman" w:hAnsi="Times New Roman"/>
          <w:sz w:val="18"/>
          <w:szCs w:val="18"/>
          <w:color w:val="auto"/>
        </w:rPr>
      </w:pPr>
    </w:p>
    <w:p>
      <w:pPr>
        <w:ind w:left="1140" w:right="360" w:hanging="322"/>
        <w:spacing w:after="0" w:line="267" w:lineRule="auto"/>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Active selling communities </w:t>
      </w:r>
      <w:r>
        <w:rPr>
          <w:rFonts w:ascii="Times New Roman" w:cs="Times New Roman" w:eastAsia="Times New Roman" w:hAnsi="Times New Roman"/>
          <w:sz w:val="18"/>
          <w:szCs w:val="18"/>
          <w:color w:val="auto"/>
        </w:rPr>
        <w:t>is a volume indicator which represents the number of communities which are open for sale with ten or more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home sites available as of the end of a period. We identify communities based on product type; therefore, at times there are multiple communities at one land site. These values are an indicator of potential revenues;</w:t>
      </w:r>
    </w:p>
    <w:p>
      <w:pPr>
        <w:spacing w:after="0" w:line="173" w:lineRule="exact"/>
        <w:rPr>
          <w:rFonts w:ascii="Times New Roman" w:cs="Times New Roman" w:eastAsia="Times New Roman" w:hAnsi="Times New Roman"/>
          <w:sz w:val="18"/>
          <w:szCs w:val="18"/>
          <w:color w:val="auto"/>
        </w:rPr>
      </w:pPr>
    </w:p>
    <w:p>
      <w:pPr>
        <w:ind w:left="1140" w:right="100" w:hanging="322"/>
        <w:spacing w:after="0" w:line="267" w:lineRule="auto"/>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Net contracts per active selling community </w:t>
      </w:r>
      <w:r>
        <w:rPr>
          <w:rFonts w:ascii="Times New Roman" w:cs="Times New Roman" w:eastAsia="Times New Roman" w:hAnsi="Times New Roman"/>
          <w:sz w:val="18"/>
          <w:szCs w:val="18"/>
          <w:color w:val="auto"/>
        </w:rPr>
        <w:t>is used to indicate the pace at which homes are being sold (put into contract) in active selling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communities and is calculated by dividing the number of net contracts in a period by the number of active selling communities in the same period. Sales pace is an indicator of market strength and demand; and</w:t>
      </w:r>
    </w:p>
    <w:p>
      <w:pPr>
        <w:spacing w:after="0" w:line="173" w:lineRule="exact"/>
        <w:rPr>
          <w:rFonts w:ascii="Times New Roman" w:cs="Times New Roman" w:eastAsia="Times New Roman" w:hAnsi="Times New Roman"/>
          <w:sz w:val="18"/>
          <w:szCs w:val="18"/>
          <w:color w:val="auto"/>
        </w:rPr>
      </w:pPr>
    </w:p>
    <w:p>
      <w:pPr>
        <w:ind w:left="1140" w:right="100" w:hanging="322"/>
        <w:spacing w:after="0" w:line="261" w:lineRule="auto"/>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Contract cancellation rates </w:t>
      </w:r>
      <w:r>
        <w:rPr>
          <w:rFonts w:ascii="Times New Roman" w:cs="Times New Roman" w:eastAsia="Times New Roman" w:hAnsi="Times New Roman"/>
          <w:sz w:val="18"/>
          <w:szCs w:val="18"/>
          <w:color w:val="auto"/>
        </w:rPr>
        <w:t>is a volume indicator which represents the number of sales contracts cancelled in the period divided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number of gross sales contracts executed during the period. Contract cancellation rates as a percentage of backlog is calculated by dividing the number of cancelled contracts in the period by the contract backlog at the beginning of the period. Cancellation rates as compared to prior periods can be an indicator of market strength or weakness.</w:t>
      </w:r>
    </w:p>
    <w:p>
      <w:pPr>
        <w:spacing w:after="0" w:line="155" w:lineRule="exact"/>
        <w:rPr>
          <w:sz w:val="20"/>
          <w:szCs w:val="20"/>
          <w:color w:val="auto"/>
        </w:rPr>
      </w:pPr>
    </w:p>
    <w:p>
      <w:pPr>
        <w:ind w:right="60" w:firstLine="816"/>
        <w:spacing w:after="0" w:line="258" w:lineRule="auto"/>
        <w:rPr>
          <w:sz w:val="20"/>
          <w:szCs w:val="20"/>
          <w:color w:val="auto"/>
        </w:rPr>
      </w:pPr>
      <w:r>
        <w:rPr>
          <w:rFonts w:ascii="Times New Roman" w:cs="Times New Roman" w:eastAsia="Times New Roman" w:hAnsi="Times New Roman"/>
          <w:sz w:val="18"/>
          <w:szCs w:val="18"/>
          <w:color w:val="auto"/>
        </w:rPr>
        <w:t>On January 1, 2026, we acquired a controlling interest in a previously unconsolidated joint venture in the Kingdom of Saudi Arabia ("KSA"), that operates and markets itself under the trade name HOV Global. Beginning in the first quarter of fiscal 2026, the results from KSA are included in our consolidated financial statements. Consistent with our historical presentation, we will continue to exclude the results of our KSA operations from these key performance indicators generally (unless otherwise indicated) because such operations are not expected to have a material impact on our financial results for fiscal 2026. Where we have excluded the KSA operations, we refer to such metrics as being for our “domestic” operations.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Conditions and Operating Results</w:t>
      </w:r>
    </w:p>
    <w:p>
      <w:pPr>
        <w:spacing w:after="0" w:line="200" w:lineRule="exact"/>
        <w:rPr>
          <w:sz w:val="20"/>
          <w:szCs w:val="20"/>
          <w:color w:val="auto"/>
        </w:rPr>
      </w:pPr>
    </w:p>
    <w:p>
      <w:pPr>
        <w:ind w:right="500" w:firstLine="816"/>
        <w:spacing w:after="0" w:line="282" w:lineRule="auto"/>
        <w:rPr>
          <w:sz w:val="20"/>
          <w:szCs w:val="20"/>
          <w:color w:val="auto"/>
        </w:rPr>
      </w:pPr>
      <w:r>
        <w:rPr>
          <w:rFonts w:ascii="Times New Roman" w:cs="Times New Roman" w:eastAsia="Times New Roman" w:hAnsi="Times New Roman"/>
          <w:sz w:val="18"/>
          <w:szCs w:val="18"/>
          <w:color w:val="auto"/>
        </w:rPr>
        <w:t>The demand for new and existing homes is dependent on a variety of demographic and economic factors, including job and wage growth, household formation, consumer confidence, mortgage financing, interest rates, inflation and overall housing affordability.</w:t>
      </w:r>
    </w:p>
    <w:p>
      <w:pPr>
        <w:spacing w:after="0" w:line="121" w:lineRule="exact"/>
        <w:rPr>
          <w:sz w:val="20"/>
          <w:szCs w:val="20"/>
          <w:color w:val="auto"/>
        </w:rPr>
      </w:pPr>
    </w:p>
    <w:p>
      <w:pPr>
        <w:jc w:val="both"/>
        <w:ind w:right="380" w:firstLine="816"/>
        <w:spacing w:after="0" w:line="266" w:lineRule="auto"/>
        <w:rPr>
          <w:sz w:val="20"/>
          <w:szCs w:val="20"/>
          <w:color w:val="auto"/>
        </w:rPr>
      </w:pPr>
      <w:r>
        <w:rPr>
          <w:rFonts w:ascii="Times New Roman" w:cs="Times New Roman" w:eastAsia="Times New Roman" w:hAnsi="Times New Roman"/>
          <w:sz w:val="18"/>
          <w:szCs w:val="18"/>
          <w:color w:val="auto"/>
        </w:rPr>
        <w:t>During fiscal 2025 and continuing through the first half of fiscal 2026, mortgage rates have fluctuated but still remain at a persistently high level. As a result, affordability generally remains challenging for homebuyers. We have stayed aggressive in our pricing, incentives and concessions in order to align with the current market.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5" w:lineRule="exact"/>
        <w:rPr>
          <w:sz w:val="20"/>
          <w:szCs w:val="20"/>
          <w:color w:val="auto"/>
        </w:rPr>
      </w:pPr>
    </w:p>
    <w:p>
      <w:pPr>
        <w:ind w:right="100" w:firstLine="810"/>
        <w:spacing w:after="0" w:line="255" w:lineRule="auto"/>
        <w:rPr>
          <w:sz w:val="20"/>
          <w:szCs w:val="20"/>
          <w:color w:val="auto"/>
        </w:rPr>
      </w:pPr>
      <w:r>
        <w:rPr>
          <w:rFonts w:ascii="Times New Roman" w:cs="Times New Roman" w:eastAsia="Times New Roman" w:hAnsi="Times New Roman"/>
          <w:sz w:val="18"/>
          <w:szCs w:val="18"/>
          <w:color w:val="auto"/>
        </w:rPr>
        <w:t>We continue to use our increased inventory of quick move-in homes ("QMI homes") to help meet buyers’ needs for more affordable housing in the existing uncertain interest rate environment. The time between contract signing and closing is shorter with a QMI home as compared to a to be built home, which provides customers with more certainty on their mortgage pricing. The availability of QMI homes also allows us to offer mortgage interest rate buydown assistance, which is a tool we offer through our wholly-owned mortgage banking subsidiary ("K. Hovnanian Mortgage"), to help ease the impact of higher monthly payments from rising interest rates. We pay the cost of interest rate buydowns for customers that qualify through K. Hovnanian Mortgage and decide to use the program. The level of interest rate based incentives utilized differs across our markets and is one of several available options we use to drive sales and close homes.</w:t>
      </w:r>
    </w:p>
    <w:p>
      <w:pPr>
        <w:spacing w:after="0" w:line="148" w:lineRule="exact"/>
        <w:rPr>
          <w:sz w:val="20"/>
          <w:szCs w:val="20"/>
          <w:color w:val="auto"/>
        </w:rPr>
      </w:pPr>
    </w:p>
    <w:p>
      <w:pPr>
        <w:ind w:right="100" w:firstLine="810"/>
        <w:spacing w:after="0" w:line="256" w:lineRule="auto"/>
        <w:rPr>
          <w:sz w:val="20"/>
          <w:szCs w:val="20"/>
          <w:color w:val="auto"/>
        </w:rPr>
      </w:pPr>
      <w:r>
        <w:rPr>
          <w:rFonts w:ascii="Times New Roman" w:cs="Times New Roman" w:eastAsia="Times New Roman" w:hAnsi="Times New Roman"/>
          <w:sz w:val="18"/>
          <w:szCs w:val="18"/>
          <w:color w:val="auto"/>
        </w:rPr>
        <w:t>Our emphasis on driving sales pace versus price resulted in domestic net contracts increasing by 1.0% in the second quarter of fiscal 2026 compared to the prior year second quarter and 2.0% for the six months ended April 30, 2026 compared to the same period of the prior year. Within the six-month period, net contracts fluctuated from month to month, reflecting ongoing shifts in market conditions and consumer sentiment, including increased hesitancy from buyers, which we believe was partially attributed to the Iran war. Even with the volatility in the broader economy and affordability constraints, we were able to raise prices or decrease incentives in approximately 44% of our domestic communities during the second quarter of fiscal 2026.</w:t>
      </w:r>
    </w:p>
    <w:p>
      <w:pPr>
        <w:spacing w:after="0" w:line="160" w:lineRule="exact"/>
        <w:rPr>
          <w:sz w:val="20"/>
          <w:szCs w:val="20"/>
          <w:color w:val="auto"/>
        </w:rPr>
      </w:pPr>
    </w:p>
    <w:p>
      <w:pPr>
        <w:ind w:right="20" w:firstLine="810"/>
        <w:spacing w:after="0" w:line="258" w:lineRule="auto"/>
        <w:rPr>
          <w:sz w:val="20"/>
          <w:szCs w:val="20"/>
          <w:color w:val="auto"/>
        </w:rPr>
      </w:pPr>
      <w:r>
        <w:rPr>
          <w:rFonts w:ascii="Times New Roman" w:cs="Times New Roman" w:eastAsia="Times New Roman" w:hAnsi="Times New Roman"/>
          <w:sz w:val="18"/>
          <w:szCs w:val="18"/>
          <w:color w:val="auto"/>
        </w:rPr>
        <w:t>While the long-term fundamentals of the new home market remain favorable, there remains a great degree of uncertainty due to inflation, tariffs, the continued possibility of an economic recession, employment risk, geopolitical events and the potential for further mortgage rate increases. While we continue to experience some supply chain issues, we remain focused on continuing to shorten our construction cycle times and building on our national initiatives to drive down costs with our material providers and trade partners. The changing conditions in the housing market, and in the general economy, makes it difficult to predict how strongly our business will be impacted by these external factors over fiscal 2026 and beyond.</w:t>
      </w:r>
    </w:p>
    <w:p>
      <w:pPr>
        <w:sectPr>
          <w:pgSz w:w="11900" w:h="16838" w:orient="portrait"/>
          <w:cols w:equalWidth="0" w:num="1">
            <w:col w:w="11240"/>
          </w:cols>
          <w:pgMar w:left="320" w:top="121" w:right="339" w:bottom="0" w:gutter="0" w:footer="0" w:header="0"/>
        </w:sectPr>
      </w:pPr>
    </w:p>
    <w:bookmarkStart w:id="24" w:name="page25"/>
    <w:bookmarkEnd w:id="24"/>
    <w:p>
      <w:pPr>
        <w:spacing w:after="0" w:line="62" w:lineRule="exact"/>
        <w:rPr>
          <w:sz w:val="20"/>
          <w:szCs w:val="20"/>
          <w:color w:val="auto"/>
        </w:rPr>
      </w:pPr>
    </w:p>
    <w:p>
      <w:pPr>
        <w:ind w:right="660" w:firstLine="810"/>
        <w:spacing w:after="0" w:line="261" w:lineRule="auto"/>
        <w:rPr>
          <w:sz w:val="20"/>
          <w:szCs w:val="20"/>
          <w:color w:val="auto"/>
        </w:rPr>
      </w:pPr>
      <w:r>
        <w:rPr>
          <w:rFonts w:ascii="Times New Roman" w:cs="Times New Roman" w:eastAsia="Times New Roman" w:hAnsi="Times New Roman"/>
          <w:sz w:val="18"/>
          <w:szCs w:val="18"/>
          <w:color w:val="auto"/>
        </w:rPr>
        <w:t>During the six months ended April 30, 2026, our cash position allowed us to spend $413.0 million on domestic land purchases and land development for long-term growth and repurchase $18.5 million of our common stock and still have total liquidity of $442.0 million, including</w:t>
      </w:r>
    </w:p>
    <w:p>
      <w:pPr>
        <w:ind w:right="40"/>
        <w:spacing w:after="0" w:line="260" w:lineRule="auto"/>
        <w:rPr>
          <w:sz w:val="20"/>
          <w:szCs w:val="20"/>
          <w:color w:val="auto"/>
        </w:rPr>
      </w:pPr>
      <w:r>
        <w:rPr>
          <w:rFonts w:ascii="Times New Roman" w:cs="Times New Roman" w:eastAsia="Times New Roman" w:hAnsi="Times New Roman"/>
          <w:sz w:val="18"/>
          <w:szCs w:val="18"/>
          <w:color w:val="auto"/>
        </w:rPr>
        <w:t>$310.9 million of homebuilding cash and cash equivalents and $125.0 million of borrowing capacity under our senior secured revolving credit facility as of April 30, 2026.</w:t>
      </w:r>
    </w:p>
    <w:p>
      <w:pPr>
        <w:spacing w:after="0" w:line="14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Information on our operating results for the three and six months ended April 30, 2026 are as follows:</w:t>
      </w:r>
    </w:p>
    <w:p>
      <w:pPr>
        <w:spacing w:after="0" w:line="198" w:lineRule="exact"/>
        <w:rPr>
          <w:sz w:val="20"/>
          <w:szCs w:val="20"/>
          <w:color w:val="auto"/>
        </w:rPr>
      </w:pPr>
    </w:p>
    <w:p>
      <w:pPr>
        <w:ind w:left="1680" w:right="40" w:firstLine="2"/>
        <w:spacing w:after="0" w:line="258" w:lineRule="auto"/>
        <w:tabs>
          <w:tab w:leader="none" w:pos="183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 of homes revenues decreased to $604.2 million for the three months ended April 30, 2026 from $650.3 million for the three months ended April 30, 2025, and was $1.2 billion for the six months ended April 30, 2026 and $1.3 billion for the six months ended April 30, 2025. There was an 11.8% and 12.1% decrease in the number of home deliveries for the three and six months ended April 30, 2026, respectively, compared to the same periods of the prior year, partially offset by an increase in average price of 5.3% and 3.4% for the three and six months ended April 30, 2026, respectively, compared to the same periods of the prior year.</w:t>
      </w:r>
    </w:p>
    <w:p>
      <w:pPr>
        <w:spacing w:after="0" w:line="142" w:lineRule="exact"/>
        <w:rPr>
          <w:rFonts w:ascii="Times New Roman" w:cs="Times New Roman" w:eastAsia="Times New Roman" w:hAnsi="Times New Roman"/>
          <w:sz w:val="18"/>
          <w:szCs w:val="18"/>
          <w:color w:val="auto"/>
        </w:rPr>
      </w:pPr>
    </w:p>
    <w:p>
      <w:pPr>
        <w:ind w:left="1680" w:right="40" w:firstLine="2"/>
        <w:spacing w:after="0" w:line="254" w:lineRule="auto"/>
        <w:tabs>
          <w:tab w:leader="none" w:pos="183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dollars decreased 31.0% and 36.0% for the three and six months ended April 30, 2026, respectively, as compared to the same periods of the prior year. Gross margin percentage decreased to 10.2% for both the three and six months ended April 30, 2026 from 13.8% and 14.5% for the three and six months ended April 30, 2025, respectively. Gross margin percentage, before cost of sales interest expense and land charges, decreased to 14.3% for the three months ended April 30, 2026 from 17.3% for the three months ended April 30, 2025 and decreased to 13.9% for the six months ended April 30, 2026 from 17.8% for the six months ended April 30, 2025. The decrease in gross margin percentage was primarily due to increased use of incentives and concessions, including additional mortgage interest rate buydowns, to make our homes more affordable. In the current homebuilding environment, we remain focused on driving financial performance by increasing our sales pace versus achieving a higher gross margin.</w:t>
      </w:r>
    </w:p>
    <w:p>
      <w:pPr>
        <w:spacing w:after="0" w:line="147" w:lineRule="exact"/>
        <w:rPr>
          <w:rFonts w:ascii="Times New Roman" w:cs="Times New Roman" w:eastAsia="Times New Roman" w:hAnsi="Times New Roman"/>
          <w:sz w:val="18"/>
          <w:szCs w:val="18"/>
          <w:color w:val="auto"/>
        </w:rPr>
      </w:pPr>
    </w:p>
    <w:p>
      <w:pPr>
        <w:ind w:left="1840" w:hanging="158"/>
        <w:spacing w:after="0"/>
        <w:tabs>
          <w:tab w:leader="none" w:pos="18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general and administrative costs (including corporate general and administrative expenses) ("Total SGA") was</w:t>
      </w:r>
    </w:p>
    <w:p>
      <w:pPr>
        <w:spacing w:after="0" w:line="27" w:lineRule="exact"/>
        <w:rPr>
          <w:sz w:val="20"/>
          <w:szCs w:val="20"/>
          <w:color w:val="auto"/>
        </w:rPr>
      </w:pPr>
    </w:p>
    <w:p>
      <w:pPr>
        <w:ind w:left="1680" w:right="120"/>
        <w:spacing w:after="0" w:line="253" w:lineRule="auto"/>
        <w:rPr>
          <w:sz w:val="20"/>
          <w:szCs w:val="20"/>
          <w:color w:val="auto"/>
        </w:rPr>
      </w:pPr>
      <w:r>
        <w:rPr>
          <w:rFonts w:ascii="Times New Roman" w:cs="Times New Roman" w:eastAsia="Times New Roman" w:hAnsi="Times New Roman"/>
          <w:sz w:val="18"/>
          <w:szCs w:val="18"/>
          <w:color w:val="auto"/>
        </w:rPr>
        <w:t>$84.0 million, or 12.6% of total revenues, in the three months ended April 30, 2026 compared with $80.6 million, or 11.7% of total revenues, in the three months ended April 30, 2025, and $168.0 million, or 12.9% of total revenues, in the six months ended April 30, 2026 compared with $167.5 million, or 12.3% of total revenues, in the six months ended April 30, 2025. The increase in Total SGA percentage is primarily due to the decrease in sale of homes revenue for the same periods of the prior year.</w:t>
      </w:r>
    </w:p>
    <w:p>
      <w:pPr>
        <w:spacing w:after="0" w:line="189" w:lineRule="exact"/>
        <w:rPr>
          <w:sz w:val="20"/>
          <w:szCs w:val="20"/>
          <w:color w:val="auto"/>
        </w:rPr>
      </w:pPr>
    </w:p>
    <w:p>
      <w:pPr>
        <w:jc w:val="both"/>
        <w:ind w:left="1680" w:right="80" w:firstLine="2"/>
        <w:spacing w:after="0" w:line="255" w:lineRule="auto"/>
        <w:tabs>
          <w:tab w:leader="none" w:pos="183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before income taxes decreased to $0.3 million for the three months ended April 30, 2026 from $26.5 million for the three months ended April 30, 2025 and decreased to $29.0 million for the six months ended April 30, 2026 from $66.4 million for the six months ended April 30, 2025. Net income decreased to a loss of $0.6 million for the three months ended April 30, 2026 from $19.7 million for the three months ended April 30, 2025 and decreased to $20.3 million for the six months ended April 30,</w:t>
      </w:r>
    </w:p>
    <w:p>
      <w:pPr>
        <w:spacing w:after="0" w:line="2" w:lineRule="exact"/>
        <w:rPr>
          <w:rFonts w:ascii="Times New Roman" w:cs="Times New Roman" w:eastAsia="Times New Roman" w:hAnsi="Times New Roman"/>
          <w:sz w:val="18"/>
          <w:szCs w:val="18"/>
          <w:color w:val="auto"/>
        </w:rPr>
      </w:pPr>
    </w:p>
    <w:p>
      <w:pPr>
        <w:ind w:left="1680" w:right="1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2026 from $47.9 million for the six months ended April 30, 2025. Included in income before income taxes for the three months ended April 30, 2026 and 2025 were land sales of $33.5 million and $12.6 million, respectively. Included in income before income taxes for the six months ended April 30, 2026 and 2025 was a $26.8 million gain on consolidation of joint ventures and a</w:t>
      </w:r>
    </w:p>
    <w:p>
      <w:pPr>
        <w:spacing w:after="0" w:line="1" w:lineRule="exact"/>
        <w:rPr>
          <w:rFonts w:ascii="Times New Roman" w:cs="Times New Roman" w:eastAsia="Times New Roman" w:hAnsi="Times New Roman"/>
          <w:sz w:val="18"/>
          <w:szCs w:val="18"/>
          <w:color w:val="auto"/>
        </w:rPr>
      </w:pPr>
    </w:p>
    <w:p>
      <w:pPr>
        <w:ind w:left="1680" w:right="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$22.7 million gain on the contribution of assets to a new joint venture, respectively, along with land sales of $68.2 million and $19.4 million, respectively. Earnings per share, both basic and diluted, decreased to a loss of $(0.46) for the three months ended April 30, 2026 compared to $2.64 and $2.43, respectively, for the three months ended April 30, 2025. Earnings per share, basic and diluted, decreased to $2.36 and $2.20, respectively, for the six months ended April 30, 2026 compared to $6.53 and $6.02, respectively, for the six months ended April 30, 2025.</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39" w:lineRule="exact"/>
        <w:rPr>
          <w:sz w:val="20"/>
          <w:szCs w:val="20"/>
          <w:color w:val="auto"/>
        </w:rPr>
      </w:pPr>
    </w:p>
    <w:p>
      <w:pPr>
        <w:ind w:left="1680" w:right="60" w:firstLine="2"/>
        <w:spacing w:after="0" w:line="266" w:lineRule="auto"/>
        <w:tabs>
          <w:tab w:leader="none" w:pos="183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domestic contracts increased 1.0% and 2.0% for the three and six months ended April 30, 2026, respectively, compared to the same periods of the prior year. The increase for the three and six months ended is primarily due to our current strategy of using increased incentives to drive sales pace, although the incentives needed decreased this quarter from the first quarter of fiscal 2026.</w:t>
      </w:r>
    </w:p>
    <w:p>
      <w:pPr>
        <w:spacing w:after="0" w:line="216" w:lineRule="exact"/>
        <w:rPr>
          <w:rFonts w:ascii="Times New Roman" w:cs="Times New Roman" w:eastAsia="Times New Roman" w:hAnsi="Times New Roman"/>
          <w:sz w:val="18"/>
          <w:szCs w:val="18"/>
          <w:color w:val="auto"/>
        </w:rPr>
      </w:pPr>
    </w:p>
    <w:p>
      <w:pPr>
        <w:ind w:left="1680" w:right="140"/>
        <w:spacing w:after="0" w:line="282" w:lineRule="auto"/>
        <w:tabs>
          <w:tab w:leader="none" w:pos="183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domestic contracts per active selling community increased slightly to 11.3 and 21.2 for the three and six months ended April 30, 2026, respectively, compared to 11.2 and 20.8 in the same periods of the prior year.</w:t>
      </w:r>
    </w:p>
    <w:p>
      <w:pPr>
        <w:spacing w:after="0" w:line="161" w:lineRule="exact"/>
        <w:rPr>
          <w:rFonts w:ascii="Times New Roman" w:cs="Times New Roman" w:eastAsia="Times New Roman" w:hAnsi="Times New Roman"/>
          <w:sz w:val="18"/>
          <w:szCs w:val="18"/>
          <w:color w:val="auto"/>
        </w:rPr>
      </w:pPr>
    </w:p>
    <w:p>
      <w:pPr>
        <w:ind w:left="1680" w:right="40"/>
        <w:spacing w:after="0" w:line="261" w:lineRule="auto"/>
        <w:tabs>
          <w:tab w:leader="none" w:pos="183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Domestic contract backlog decreased from 1,711 homes at April 30, 2025 to 1,613 homes at April 30, 2026, and the dollar value of domestic contract backlog decreased to $938.4 million, a 5.0% decrease in dollar value compared to the prior year, as our domestic backlog conversion ratio has increased from the prior year period due to increased sales of QMI homes that were both sold and delivered within the quarter.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Revenues</w:t>
      </w:r>
    </w:p>
    <w:p>
      <w:pPr>
        <w:spacing w:after="0" w:line="20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Compared to the same period in the prior year, revenues (decreased) increased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0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r>
      <w:tr>
        <w:trPr>
          <w:trHeight w:val="201"/>
        </w:trPr>
        <w:tc>
          <w:tcPr>
            <w:tcW w:w="410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tcPr>
          <w:p>
            <w:pPr>
              <w:jc w:val="center"/>
              <w:ind w:right="290"/>
              <w:spacing w:after="0" w:line="201" w:lineRule="exact"/>
              <w:rPr>
                <w:sz w:val="20"/>
                <w:szCs w:val="20"/>
                <w:color w:val="auto"/>
              </w:rPr>
            </w:pPr>
            <w:r>
              <w:rPr>
                <w:rFonts w:ascii="Times New Roman" w:cs="Times New Roman" w:eastAsia="Times New Roman" w:hAnsi="Times New Roman"/>
                <w:sz w:val="18"/>
                <w:szCs w:val="18"/>
                <w:b w:val="1"/>
                <w:bCs w:val="1"/>
                <w:color w:val="auto"/>
                <w:w w:val="97"/>
              </w:rPr>
              <w:t>Variance</w:t>
            </w: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29"/>
        </w:trPr>
        <w:tc>
          <w:tcPr>
            <w:tcW w:w="410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410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2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300" w:type="dxa"/>
            <w:vAlign w:val="bottom"/>
          </w:tcPr>
          <w:p>
            <w:pPr>
              <w:spacing w:after="0"/>
              <w:rPr>
                <w:sz w:val="19"/>
                <w:szCs w:val="19"/>
                <w:color w:val="auto"/>
              </w:rPr>
            </w:pPr>
          </w:p>
        </w:tc>
        <w:tc>
          <w:tcPr>
            <w:tcW w:w="142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Compared</w:t>
            </w:r>
          </w:p>
        </w:tc>
        <w:tc>
          <w:tcPr>
            <w:tcW w:w="240" w:type="dxa"/>
            <w:vAlign w:val="bottom"/>
          </w:tcPr>
          <w:p>
            <w:pPr>
              <w:spacing w:after="0"/>
              <w:rPr>
                <w:sz w:val="19"/>
                <w:szCs w:val="19"/>
                <w:color w:val="auto"/>
              </w:rPr>
            </w:pPr>
          </w:p>
        </w:tc>
        <w:tc>
          <w:tcPr>
            <w:tcW w:w="12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April 30,</w:t>
            </w:r>
          </w:p>
        </w:tc>
      </w:tr>
      <w:tr>
        <w:trPr>
          <w:trHeight w:val="238"/>
        </w:trPr>
        <w:tc>
          <w:tcPr>
            <w:tcW w:w="4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27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rPr>
              <w:t>to 2025</w:t>
            </w: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9"/>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Homebuilding:</w:t>
            </w:r>
          </w:p>
        </w:tc>
        <w:tc>
          <w:tcPr>
            <w:tcW w:w="27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30"/>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Sale of homes</w:t>
            </w:r>
          </w:p>
        </w:tc>
        <w:tc>
          <w:tcPr>
            <w:tcW w:w="2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604,188</w:t>
            </w:r>
          </w:p>
        </w:tc>
        <w:tc>
          <w:tcPr>
            <w:tcW w:w="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(46,126)</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650,314</w:t>
            </w:r>
          </w:p>
        </w:tc>
      </w:tr>
      <w:tr>
        <w:trPr>
          <w:trHeight w:val="229"/>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sales</w:t>
            </w:r>
          </w:p>
        </w:tc>
        <w:tc>
          <w:tcPr>
            <w:tcW w:w="27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33,502</w:t>
            </w:r>
          </w:p>
        </w:tc>
        <w:tc>
          <w:tcPr>
            <w:tcW w:w="3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20,898</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12,604</w:t>
            </w:r>
          </w:p>
        </w:tc>
      </w:tr>
      <w:tr>
        <w:trPr>
          <w:trHeight w:val="229"/>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Other revenues</w:t>
            </w:r>
          </w:p>
        </w:tc>
        <w:tc>
          <w:tcPr>
            <w:tcW w:w="27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6,557</w:t>
            </w:r>
          </w:p>
        </w:tc>
        <w:tc>
          <w:tcPr>
            <w:tcW w:w="300" w:type="dxa"/>
            <w:vAlign w:val="bottom"/>
          </w:tcPr>
          <w:p>
            <w:pPr>
              <w:spacing w:after="0"/>
              <w:rPr>
                <w:sz w:val="19"/>
                <w:szCs w:val="19"/>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4,322</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2,235</w:t>
            </w:r>
          </w:p>
        </w:tc>
      </w:tr>
      <w:tr>
        <w:trPr>
          <w:trHeight w:val="229"/>
        </w:trPr>
        <w:tc>
          <w:tcPr>
            <w:tcW w:w="4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services</w:t>
            </w:r>
          </w:p>
        </w:tc>
        <w:tc>
          <w:tcPr>
            <w:tcW w:w="27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23,398</w:t>
            </w:r>
          </w:p>
        </w:tc>
        <w:tc>
          <w:tcPr>
            <w:tcW w:w="3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2,080</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21,318</w:t>
            </w:r>
          </w:p>
        </w:tc>
      </w:tr>
      <w:tr>
        <w:trPr>
          <w:trHeight w:val="209"/>
        </w:trPr>
        <w:tc>
          <w:tcPr>
            <w:tcW w:w="4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change</w:t>
            </w:r>
          </w:p>
        </w:tc>
        <w:tc>
          <w:tcPr>
            <w:tcW w:w="27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667,645</w:t>
            </w:r>
          </w:p>
        </w:tc>
        <w:tc>
          <w:tcPr>
            <w:tcW w:w="3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(18,826)</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686,471</w:t>
            </w:r>
          </w:p>
        </w:tc>
      </w:tr>
      <w:tr>
        <w:trPr>
          <w:trHeight w:val="70"/>
        </w:trPr>
        <w:tc>
          <w:tcPr>
            <w:tcW w:w="4100" w:type="dxa"/>
            <w:vAlign w:val="bottom"/>
            <w:shd w:val="clear" w:color="auto" w:fill="CCEEFF"/>
          </w:tcPr>
          <w:p>
            <w:pPr>
              <w:spacing w:after="0"/>
              <w:rPr>
                <w:sz w:val="6"/>
                <w:szCs w:val="6"/>
                <w:color w:val="auto"/>
              </w:rPr>
            </w:pPr>
          </w:p>
        </w:tc>
        <w:tc>
          <w:tcPr>
            <w:tcW w:w="272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4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r>
    </w:tbl>
    <w:p>
      <w:pPr>
        <w:sectPr>
          <w:pgSz w:w="11900" w:h="16900" w:orient="portrait"/>
          <w:cols w:equalWidth="0" w:num="1">
            <w:col w:w="11240"/>
          </w:cols>
          <w:pgMar w:left="320" w:top="121" w:right="339" w:bottom="0" w:gutter="0" w:footer="0" w:header="0"/>
        </w:sectPr>
      </w:pPr>
    </w:p>
    <w:bookmarkStart w:id="25" w:name="page26"/>
    <w:bookmarkEnd w:id="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 percent change</w:t>
            </w:r>
          </w:p>
        </w:tc>
        <w:tc>
          <w:tcPr>
            <w:tcW w:w="24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r>
      <w:tr>
        <w:trPr>
          <w:trHeight w:val="20"/>
        </w:trPr>
        <w:tc>
          <w:tcPr>
            <w:tcW w:w="438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426"/>
        </w:trPr>
        <w:tc>
          <w:tcPr>
            <w:tcW w:w="438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8"/>
              </w:rPr>
              <w:t>Six Months Ended</w:t>
            </w: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r>
        <w:trPr>
          <w:trHeight w:val="201"/>
        </w:trPr>
        <w:tc>
          <w:tcPr>
            <w:tcW w:w="438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jc w:val="center"/>
              <w:ind w:right="190"/>
              <w:spacing w:after="0" w:line="201" w:lineRule="exact"/>
              <w:rPr>
                <w:sz w:val="20"/>
                <w:szCs w:val="20"/>
                <w:color w:val="auto"/>
              </w:rPr>
            </w:pPr>
            <w:r>
              <w:rPr>
                <w:rFonts w:ascii="Times New Roman" w:cs="Times New Roman" w:eastAsia="Times New Roman" w:hAnsi="Times New Roman"/>
                <w:sz w:val="18"/>
                <w:szCs w:val="18"/>
                <w:b w:val="1"/>
                <w:bCs w:val="1"/>
                <w:color w:val="auto"/>
                <w:w w:val="97"/>
              </w:rPr>
              <w:t>Variance</w:t>
            </w: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29"/>
        </w:trPr>
        <w:tc>
          <w:tcPr>
            <w:tcW w:w="438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438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12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180" w:type="dxa"/>
            <w:vAlign w:val="bottom"/>
          </w:tcPr>
          <w:p>
            <w:pPr>
              <w:spacing w:after="0"/>
              <w:rPr>
                <w:sz w:val="19"/>
                <w:szCs w:val="19"/>
                <w:color w:val="auto"/>
              </w:rPr>
            </w:pPr>
          </w:p>
        </w:tc>
        <w:tc>
          <w:tcPr>
            <w:tcW w:w="152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Compared</w:t>
            </w:r>
          </w:p>
        </w:tc>
        <w:tc>
          <w:tcPr>
            <w:tcW w:w="240" w:type="dxa"/>
            <w:vAlign w:val="bottom"/>
          </w:tcPr>
          <w:p>
            <w:pPr>
              <w:spacing w:after="0"/>
              <w:rPr>
                <w:sz w:val="19"/>
                <w:szCs w:val="19"/>
                <w:color w:val="auto"/>
              </w:rPr>
            </w:pPr>
          </w:p>
        </w:tc>
        <w:tc>
          <w:tcPr>
            <w:tcW w:w="12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April 30,</w:t>
            </w:r>
          </w:p>
        </w:tc>
      </w:tr>
      <w:tr>
        <w:trPr>
          <w:trHeight w:val="238"/>
        </w:trPr>
        <w:tc>
          <w:tcPr>
            <w:tcW w:w="4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24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to 2025</w:t>
            </w: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9"/>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Homebuilding:</w:t>
            </w:r>
          </w:p>
        </w:tc>
        <w:tc>
          <w:tcPr>
            <w:tcW w:w="24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9"/>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Sale of homes</w:t>
            </w:r>
          </w:p>
        </w:tc>
        <w:tc>
          <w:tcPr>
            <w:tcW w:w="2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1,179,947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(117,281)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1,297,228</w:t>
            </w:r>
          </w:p>
        </w:tc>
      </w:tr>
      <w:tr>
        <w:trPr>
          <w:trHeight w:val="230"/>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sales</w:t>
            </w:r>
          </w:p>
        </w:tc>
        <w:tc>
          <w:tcPr>
            <w:tcW w:w="2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68,214</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48,784</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19,430</w:t>
            </w:r>
          </w:p>
        </w:tc>
      </w:tr>
      <w:tr>
        <w:trPr>
          <w:trHeight w:val="229"/>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Other revenue</w:t>
            </w:r>
          </w:p>
        </w:tc>
        <w:tc>
          <w:tcPr>
            <w:tcW w:w="2440" w:type="dxa"/>
            <w:vAlign w:val="bottom"/>
          </w:tcPr>
          <w:p>
            <w:pPr>
              <w:spacing w:after="0"/>
              <w:rPr>
                <w:sz w:val="19"/>
                <w:szCs w:val="19"/>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9,030</w:t>
            </w:r>
          </w:p>
        </w:tc>
        <w:tc>
          <w:tcPr>
            <w:tcW w:w="180" w:type="dxa"/>
            <w:vAlign w:val="bottom"/>
          </w:tcPr>
          <w:p>
            <w:pPr>
              <w:spacing w:after="0"/>
              <w:rPr>
                <w:sz w:val="19"/>
                <w:szCs w:val="19"/>
                <w:color w:val="auto"/>
              </w:rPr>
            </w:pP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3,854</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5,176</w:t>
            </w:r>
          </w:p>
        </w:tc>
      </w:tr>
      <w:tr>
        <w:trPr>
          <w:trHeight w:val="230"/>
        </w:trPr>
        <w:tc>
          <w:tcPr>
            <w:tcW w:w="43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services</w:t>
            </w:r>
          </w:p>
        </w:tc>
        <w:tc>
          <w:tcPr>
            <w:tcW w:w="24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42,406</w:t>
            </w: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4,146</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38,260</w:t>
            </w:r>
          </w:p>
        </w:tc>
      </w:tr>
      <w:tr>
        <w:trPr>
          <w:trHeight w:val="209"/>
        </w:trPr>
        <w:tc>
          <w:tcPr>
            <w:tcW w:w="4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change</w:t>
            </w:r>
          </w:p>
        </w:tc>
        <w:tc>
          <w:tcPr>
            <w:tcW w:w="24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1,299,597</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(60,497)</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1,360,094</w:t>
            </w:r>
          </w:p>
        </w:tc>
      </w:tr>
      <w:tr>
        <w:trPr>
          <w:trHeight w:val="209"/>
        </w:trPr>
        <w:tc>
          <w:tcPr>
            <w:tcW w:w="43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 percent change</w:t>
            </w:r>
          </w:p>
        </w:tc>
        <w:tc>
          <w:tcPr>
            <w:tcW w:w="24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r>
      <w:tr>
        <w:trPr>
          <w:trHeight w:val="20"/>
        </w:trPr>
        <w:tc>
          <w:tcPr>
            <w:tcW w:w="438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Homebuilding: Sale of Homes</w:t>
      </w:r>
    </w:p>
    <w:p>
      <w:pPr>
        <w:spacing w:after="0" w:line="229" w:lineRule="exact"/>
        <w:rPr>
          <w:sz w:val="20"/>
          <w:szCs w:val="20"/>
          <w:color w:val="auto"/>
        </w:rPr>
      </w:pPr>
    </w:p>
    <w:p>
      <w:pPr>
        <w:ind w:right="220" w:firstLine="810"/>
        <w:spacing w:after="0" w:line="261" w:lineRule="auto"/>
        <w:rPr>
          <w:sz w:val="20"/>
          <w:szCs w:val="20"/>
          <w:color w:val="auto"/>
        </w:rPr>
      </w:pPr>
      <w:r>
        <w:rPr>
          <w:rFonts w:ascii="Times New Roman" w:cs="Times New Roman" w:eastAsia="Times New Roman" w:hAnsi="Times New Roman"/>
          <w:sz w:val="18"/>
          <w:szCs w:val="18"/>
          <w:color w:val="auto"/>
        </w:rPr>
        <w:t>For the three months ended April 30, 2026, sale of homes revenues decreased 7.1% compared to the same period in the prior year. The sale of homes revenue decreased due to an 11.8% decrease in homes delivered, partially offset by a 5.3% increase in the average price per home for</w:t>
      </w:r>
    </w:p>
    <w:p>
      <w:pPr>
        <w:spacing w:after="0" w:line="252" w:lineRule="auto"/>
        <w:rPr>
          <w:sz w:val="20"/>
          <w:szCs w:val="20"/>
          <w:color w:val="auto"/>
        </w:rPr>
      </w:pPr>
      <w:r>
        <w:rPr>
          <w:rFonts w:ascii="Times New Roman" w:cs="Times New Roman" w:eastAsia="Times New Roman" w:hAnsi="Times New Roman"/>
          <w:sz w:val="18"/>
          <w:szCs w:val="18"/>
          <w:color w:val="auto"/>
        </w:rPr>
        <w:t>the three months ended April 30, 2026 compared with the prior year period. The average price per home increased to $532,794 in the three months ended April 30, 2026 from $506,081 in the three months ended April 30, 2025. For the six months ended April 30, 2026, sale of homes revenues decreased 9.0% compared to the same period in the prior year. The sale of homes revenues decreased due to a 12.1% decrease in homes delivered, partially offset by a 3.4% increase in the average price per home for the six months ended April 30, 2026 compared to the same period in the prior year. The average price per home increased to $528,413 in the six months ended April 30, 2026 from $510,921 in the six months ended April 30, 2025. The increase in average price was the result of the geographic and community mix of our deliveries. For further detail on changes in segment revenues see “Homebuilding: Operations by Segment” below. For further detail on land sales and other revenues, see “Homebuilding: Land Sales and Other Revenues” below.</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453"/>
        </w:trPr>
        <w:tc>
          <w:tcPr>
            <w:tcW w:w="56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Information on the sale of homes is set forth in the table below:</w:t>
            </w: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69"/>
        </w:trPr>
        <w:tc>
          <w:tcPr>
            <w:tcW w:w="128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360" w:type="dxa"/>
            <w:vAlign w:val="bottom"/>
            <w:gridSpan w:val="3"/>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38"/>
        </w:trPr>
        <w:tc>
          <w:tcPr>
            <w:tcW w:w="1280" w:type="dxa"/>
            <w:vAlign w:val="bottom"/>
            <w:tcBorders>
              <w:bottom w:val="single" w:sz="8" w:color="auto"/>
            </w:tcBorders>
          </w:tcPr>
          <w:p>
            <w:pPr>
              <w:spacing w:after="0"/>
              <w:rPr>
                <w:sz w:val="20"/>
                <w:szCs w:val="20"/>
                <w:color w:val="auto"/>
              </w:rPr>
            </w:pPr>
          </w:p>
        </w:tc>
        <w:tc>
          <w:tcPr>
            <w:tcW w:w="44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Six Months Ended April 30,</w:t>
            </w:r>
          </w:p>
        </w:tc>
      </w:tr>
      <w:tr>
        <w:trPr>
          <w:trHeight w:val="250"/>
        </w:trPr>
        <w:tc>
          <w:tcPr>
            <w:tcW w:w="56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(Dollars in thousands, except average sales price)</w:t>
            </w:r>
          </w:p>
        </w:tc>
        <w:tc>
          <w:tcPr>
            <w:tcW w:w="5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50"/>
        </w:trPr>
        <w:tc>
          <w:tcPr>
            <w:tcW w:w="5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 total:</w:t>
            </w:r>
          </w:p>
        </w:tc>
        <w:tc>
          <w:tcPr>
            <w:tcW w:w="5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70"/>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Housing revenues</w:t>
            </w:r>
          </w:p>
        </w:tc>
        <w:tc>
          <w:tcPr>
            <w:tcW w:w="5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604,188</w:t>
            </w:r>
          </w:p>
        </w:tc>
        <w:tc>
          <w:tcPr>
            <w:tcW w:w="4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650,314</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1,179,947</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1,297,228</w:t>
            </w:r>
          </w:p>
        </w:tc>
      </w:tr>
      <w:tr>
        <w:trPr>
          <w:trHeight w:val="270"/>
        </w:trPr>
        <w:tc>
          <w:tcPr>
            <w:tcW w:w="5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Homes delivered</w:t>
            </w:r>
          </w:p>
        </w:tc>
        <w:tc>
          <w:tcPr>
            <w:tcW w:w="5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1,134</w:t>
            </w:r>
          </w:p>
        </w:tc>
        <w:tc>
          <w:tcPr>
            <w:tcW w:w="4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2,233</w:t>
            </w:r>
          </w:p>
        </w:tc>
        <w:tc>
          <w:tcPr>
            <w:tcW w:w="34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2,539</w:t>
            </w:r>
          </w:p>
        </w:tc>
      </w:tr>
      <w:tr>
        <w:trPr>
          <w:trHeight w:val="270"/>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Average sales price</w:t>
            </w:r>
          </w:p>
        </w:tc>
        <w:tc>
          <w:tcPr>
            <w:tcW w:w="5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532,794</w:t>
            </w:r>
          </w:p>
        </w:tc>
        <w:tc>
          <w:tcPr>
            <w:tcW w:w="4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506,081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528,413</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510,921</w:t>
            </w:r>
          </w:p>
        </w:tc>
      </w:tr>
      <w:tr>
        <w:trPr>
          <w:trHeight w:val="270"/>
        </w:trPr>
        <w:tc>
          <w:tcPr>
            <w:tcW w:w="1280" w:type="dxa"/>
            <w:vAlign w:val="bottom"/>
            <w:shd w:val="clear" w:color="auto" w:fill="CCEEFF"/>
          </w:tcPr>
          <w:p>
            <w:pPr>
              <w:spacing w:after="0"/>
              <w:rPr>
                <w:sz w:val="23"/>
                <w:szCs w:val="23"/>
                <w:color w:val="auto"/>
              </w:rPr>
            </w:pPr>
          </w:p>
        </w:tc>
        <w:tc>
          <w:tcPr>
            <w:tcW w:w="44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70"/>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Unconsolidated joint ventures: (1)</w:t>
            </w:r>
          </w:p>
        </w:tc>
        <w:tc>
          <w:tcPr>
            <w:tcW w:w="5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70"/>
        </w:trPr>
        <w:tc>
          <w:tcPr>
            <w:tcW w:w="5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Housing revenues</w:t>
            </w:r>
          </w:p>
        </w:tc>
        <w:tc>
          <w:tcPr>
            <w:tcW w:w="5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125,914</w:t>
            </w:r>
          </w:p>
        </w:tc>
        <w:tc>
          <w:tcPr>
            <w:tcW w:w="4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144,495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198,305</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276,271</w:t>
            </w:r>
          </w:p>
        </w:tc>
      </w:tr>
      <w:tr>
        <w:trPr>
          <w:trHeight w:val="270"/>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Homes delivered</w:t>
            </w:r>
          </w:p>
        </w:tc>
        <w:tc>
          <w:tcPr>
            <w:tcW w:w="5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181</w:t>
            </w:r>
          </w:p>
        </w:tc>
        <w:tc>
          <w:tcPr>
            <w:tcW w:w="4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2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3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r>
      <w:tr>
        <w:trPr>
          <w:trHeight w:val="270"/>
        </w:trPr>
        <w:tc>
          <w:tcPr>
            <w:tcW w:w="5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sales price</w:t>
            </w:r>
          </w:p>
        </w:tc>
        <w:tc>
          <w:tcPr>
            <w:tcW w:w="5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695,657</w:t>
            </w:r>
          </w:p>
        </w:tc>
        <w:tc>
          <w:tcPr>
            <w:tcW w:w="4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698,043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663,227</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683,839</w:t>
            </w:r>
          </w:p>
        </w:tc>
      </w:tr>
    </w:tbl>
    <w:p>
      <w:pPr>
        <w:spacing w:after="0" w:line="196" w:lineRule="exact"/>
        <w:rPr>
          <w:sz w:val="20"/>
          <w:szCs w:val="20"/>
          <w:color w:val="auto"/>
        </w:rPr>
      </w:pPr>
    </w:p>
    <w:p>
      <w:pPr>
        <w:ind w:left="340" w:right="360" w:hanging="332"/>
        <w:spacing w:after="0" w:line="261" w:lineRule="auto"/>
        <w:tabs>
          <w:tab w:leader="none" w:pos="340" w:val="left"/>
        </w:tabs>
        <w:numPr>
          <w:ilvl w:val="0"/>
          <w:numId w:val="2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Represents housing revenues and home deliveries for our unconsolidated homebuilding joint ventures for the period. We provide this data as a supplement to our consolidated results as an indicator of the volume managed in our unconsolidated joint ventures. See Note 18 to the Condensed Consolidated Financial Statements included elsewhere in this Quarterly Report on Form 10-Q for a further discussion of our unconsolidated joint ventures.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Homebuilding: Land Sales and Other Revenues</w:t>
      </w:r>
    </w:p>
    <w:p>
      <w:pPr>
        <w:spacing w:after="0" w:line="202" w:lineRule="exact"/>
        <w:rPr>
          <w:sz w:val="20"/>
          <w:szCs w:val="20"/>
          <w:color w:val="auto"/>
        </w:rPr>
      </w:pPr>
    </w:p>
    <w:p>
      <w:pPr>
        <w:ind w:right="40" w:firstLine="810"/>
        <w:spacing w:after="0" w:line="258" w:lineRule="auto"/>
        <w:rPr>
          <w:sz w:val="20"/>
          <w:szCs w:val="20"/>
          <w:color w:val="auto"/>
        </w:rPr>
      </w:pPr>
      <w:r>
        <w:rPr>
          <w:rFonts w:ascii="Times New Roman" w:cs="Times New Roman" w:eastAsia="Times New Roman" w:hAnsi="Times New Roman"/>
          <w:sz w:val="18"/>
          <w:szCs w:val="18"/>
          <w:color w:val="auto"/>
        </w:rPr>
        <w:t>Land sales and other revenues increased $25.2 million and $52.6 million for the three and six months ended April 30, 2026, respectively, compared to the same periods in the prior year. Revenue associated with land sales can vary significantly due to the mix of land parcels sold. There were three and four land sales during the three and six months ended April 30, 2026, respectively, and two and three land sales in the three and six months ended April 30, 2025, respectively. Land sales revenues increased $20.9 million and $48.8 million during the three and six months ended April 30, 2026, respectively, compared to the same periods in the prior year.</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Homebuilding: Cost of Sales</w:t>
      </w:r>
    </w:p>
    <w:p>
      <w:pPr>
        <w:spacing w:after="0" w:line="189" w:lineRule="exact"/>
        <w:rPr>
          <w:sz w:val="20"/>
          <w:szCs w:val="20"/>
          <w:color w:val="auto"/>
        </w:rPr>
      </w:pPr>
    </w:p>
    <w:p>
      <w:pPr>
        <w:ind w:right="160" w:firstLine="810"/>
        <w:spacing w:after="0" w:line="266" w:lineRule="auto"/>
        <w:rPr>
          <w:sz w:val="20"/>
          <w:szCs w:val="20"/>
          <w:color w:val="auto"/>
        </w:rPr>
      </w:pPr>
      <w:r>
        <w:rPr>
          <w:rFonts w:ascii="Times New Roman" w:cs="Times New Roman" w:eastAsia="Times New Roman" w:hAnsi="Times New Roman"/>
          <w:sz w:val="18"/>
          <w:szCs w:val="18"/>
          <w:color w:val="auto"/>
        </w:rPr>
        <w:t>Cost of sales includes expenses for consolidated housing and land and lot sales, including inventory impairments and land option write-offs (defined as “land charges” in the tables below). A breakout of such expenses for homebuilding and land and lot sales and the gross margins for each is set forth below.</w:t>
      </w:r>
    </w:p>
    <w:p>
      <w:pPr>
        <w:spacing w:after="0" w:line="149" w:lineRule="exact"/>
        <w:rPr>
          <w:sz w:val="20"/>
          <w:szCs w:val="20"/>
          <w:color w:val="auto"/>
        </w:rPr>
      </w:pPr>
    </w:p>
    <w:p>
      <w:pPr>
        <w:ind w:right="120" w:firstLine="810"/>
        <w:spacing w:after="0" w:line="282" w:lineRule="auto"/>
        <w:rPr>
          <w:sz w:val="20"/>
          <w:szCs w:val="20"/>
          <w:color w:val="auto"/>
        </w:rPr>
      </w:pPr>
      <w:r>
        <w:rPr>
          <w:rFonts w:ascii="Times New Roman" w:cs="Times New Roman" w:eastAsia="Times New Roman" w:hAnsi="Times New Roman"/>
          <w:sz w:val="18"/>
          <w:szCs w:val="18"/>
          <w:color w:val="auto"/>
        </w:rPr>
        <w:t>Homebuilding gross margin, before cost of sales interest expense and land charges, is a non-GAAP financial measure. This measure should not be considered as an alternative to homebuilding gross margin determined in accordance with U.S. GAAP as an indicator of operating performance.</w:t>
      </w:r>
    </w:p>
    <w:p>
      <w:pPr>
        <w:spacing w:after="0" w:line="121" w:lineRule="exact"/>
        <w:rPr>
          <w:sz w:val="20"/>
          <w:szCs w:val="20"/>
          <w:color w:val="auto"/>
        </w:rPr>
      </w:pPr>
    </w:p>
    <w:p>
      <w:pPr>
        <w:ind w:right="80" w:firstLine="810"/>
        <w:spacing w:after="0" w:line="281" w:lineRule="auto"/>
        <w:rPr>
          <w:sz w:val="20"/>
          <w:szCs w:val="20"/>
          <w:color w:val="auto"/>
        </w:rPr>
      </w:pPr>
      <w:r>
        <w:rPr>
          <w:rFonts w:ascii="Times New Roman" w:cs="Times New Roman" w:eastAsia="Times New Roman" w:hAnsi="Times New Roman"/>
          <w:sz w:val="17"/>
          <w:szCs w:val="17"/>
          <w:color w:val="auto"/>
        </w:rPr>
        <w:t>Management believes this non-GAAP measure enables investors to better understand our operating performance. This measure is also useful internally, helping management evaluate our operating results on a consolidated basis and relative to other companies in our industry. In particular, the magnitude and volatility of land charges for the Company, and for other homebuilders, have been significant and, as such, have made comparable financial analysis of our industry more difficult. Homebuilding metrics excluding land charges, as well as interest amortized to cost of sales, and other similar</w:t>
      </w:r>
    </w:p>
    <w:p>
      <w:pPr>
        <w:sectPr>
          <w:pgSz w:w="11900" w:h="16838" w:orient="portrait"/>
          <w:cols w:equalWidth="0" w:num="1">
            <w:col w:w="11240"/>
          </w:cols>
          <w:pgMar w:left="320" w:top="140" w:right="339" w:bottom="0" w:gutter="0" w:footer="0" w:header="0"/>
        </w:sectPr>
      </w:pPr>
    </w:p>
    <w:bookmarkStart w:id="26" w:name="page27"/>
    <w:bookmarkEnd w:id="26"/>
    <w:p>
      <w:pPr>
        <w:ind w:right="80"/>
        <w:spacing w:after="0" w:line="282" w:lineRule="auto"/>
        <w:rPr>
          <w:sz w:val="20"/>
          <w:szCs w:val="20"/>
          <w:color w:val="auto"/>
        </w:rPr>
      </w:pPr>
      <w:r>
        <w:rPr>
          <w:rFonts w:ascii="Times New Roman" w:cs="Times New Roman" w:eastAsia="Times New Roman" w:hAnsi="Times New Roman"/>
          <w:sz w:val="18"/>
          <w:szCs w:val="18"/>
          <w:color w:val="auto"/>
        </w:rPr>
        <w:t>presentations prepared by analysts and other companies are frequently used to assist investors in understanding and comparing the operating characteristics of homebuilding activities by eliminating many of the differences in companies’ respective levels of impairments and debt.</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20" w:type="dxa"/>
            <w:vAlign w:val="bottom"/>
            <w:gridSpan w:val="3"/>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20" w:type="dxa"/>
            <w:vAlign w:val="bottom"/>
          </w:tcPr>
          <w:p>
            <w:pPr>
              <w:spacing w:after="0"/>
              <w:rPr>
                <w:sz w:val="18"/>
                <w:szCs w:val="18"/>
                <w:color w:val="auto"/>
              </w:rPr>
            </w:pPr>
          </w:p>
        </w:tc>
        <w:tc>
          <w:tcPr>
            <w:tcW w:w="2680" w:type="dxa"/>
            <w:vAlign w:val="bottom"/>
            <w:gridSpan w:val="3"/>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53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9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1140" w:type="dxa"/>
            <w:vAlign w:val="bottom"/>
            <w:tcBorders>
              <w:bottom w:val="single" w:sz="8" w:color="auto"/>
            </w:tcBorders>
          </w:tcPr>
          <w:p>
            <w:pPr>
              <w:spacing w:after="0"/>
              <w:rPr>
                <w:sz w:val="20"/>
                <w:szCs w:val="20"/>
                <w:color w:val="auto"/>
              </w:rPr>
            </w:pPr>
          </w:p>
        </w:tc>
      </w:tr>
      <w:tr>
        <w:trPr>
          <w:trHeight w:val="210"/>
        </w:trPr>
        <w:tc>
          <w:tcPr>
            <w:tcW w:w="5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9"/>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 of homes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604,188</w:t>
            </w:r>
          </w:p>
        </w:tc>
        <w:tc>
          <w:tcPr>
            <w:tcW w:w="4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650,314</w:t>
            </w:r>
          </w:p>
        </w:tc>
        <w:tc>
          <w:tcPr>
            <w:tcW w:w="4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1,179,947</w:t>
            </w:r>
          </w:p>
        </w:tc>
        <w:tc>
          <w:tcPr>
            <w:tcW w:w="4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1,297,228</w:t>
            </w:r>
          </w:p>
        </w:tc>
      </w:tr>
      <w:tr>
        <w:trPr>
          <w:trHeight w:val="216"/>
        </w:trPr>
        <w:tc>
          <w:tcPr>
            <w:tcW w:w="5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Cost of sales, excluding interest expense and land charges</w:t>
            </w: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517,665</w:t>
            </w: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537,600</w:t>
            </w: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1,016,078</w:t>
            </w:r>
          </w:p>
        </w:tc>
        <w:tc>
          <w:tcPr>
            <w:tcW w:w="4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1,066,345</w:t>
            </w:r>
          </w:p>
        </w:tc>
      </w:tr>
      <w:tr>
        <w:trPr>
          <w:trHeight w:val="191"/>
        </w:trPr>
        <w:tc>
          <w:tcPr>
            <w:tcW w:w="536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w w:val="99"/>
              </w:rPr>
              <w:t>Homebuilding gross margin, before cost of sales interest expense and land</w:t>
            </w: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234"/>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charges</w:t>
            </w: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86,523</w:t>
            </w:r>
          </w:p>
        </w:tc>
        <w:tc>
          <w:tcPr>
            <w:tcW w:w="48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112,714</w:t>
            </w:r>
          </w:p>
        </w:tc>
        <w:tc>
          <w:tcPr>
            <w:tcW w:w="4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163,869</w:t>
            </w:r>
          </w:p>
        </w:tc>
        <w:tc>
          <w:tcPr>
            <w:tcW w:w="48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230,883</w:t>
            </w:r>
          </w:p>
        </w:tc>
      </w:tr>
      <w:tr>
        <w:trPr>
          <w:trHeight w:val="216"/>
        </w:trPr>
        <w:tc>
          <w:tcPr>
            <w:tcW w:w="5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Cost of sales interest expense, excluding land sales interest expense</w:t>
            </w: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15,872</w:t>
            </w: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19,938</w:t>
            </w: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32,439</w:t>
            </w:r>
          </w:p>
        </w:tc>
        <w:tc>
          <w:tcPr>
            <w:tcW w:w="4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38,676</w:t>
            </w:r>
          </w:p>
        </w:tc>
      </w:tr>
      <w:tr>
        <w:trPr>
          <w:trHeight w:val="191"/>
        </w:trPr>
        <w:tc>
          <w:tcPr>
            <w:tcW w:w="536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Homebuilding gross margin, after cost of sales interest expense, before</w:t>
            </w: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234"/>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charges</w:t>
            </w: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70,651</w:t>
            </w:r>
          </w:p>
        </w:tc>
        <w:tc>
          <w:tcPr>
            <w:tcW w:w="48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92,776</w:t>
            </w:r>
          </w:p>
        </w:tc>
        <w:tc>
          <w:tcPr>
            <w:tcW w:w="4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131,430</w:t>
            </w:r>
          </w:p>
        </w:tc>
        <w:tc>
          <w:tcPr>
            <w:tcW w:w="48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192,207</w:t>
            </w:r>
          </w:p>
        </w:tc>
      </w:tr>
      <w:tr>
        <w:trPr>
          <w:trHeight w:val="216"/>
        </w:trPr>
        <w:tc>
          <w:tcPr>
            <w:tcW w:w="5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Land charges</w:t>
            </w: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8,750</w:t>
            </w: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3,056</w:t>
            </w: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11,109</w:t>
            </w:r>
          </w:p>
        </w:tc>
        <w:tc>
          <w:tcPr>
            <w:tcW w:w="4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4,096</w:t>
            </w:r>
          </w:p>
        </w:tc>
      </w:tr>
      <w:tr>
        <w:trPr>
          <w:trHeight w:val="209"/>
        </w:trPr>
        <w:tc>
          <w:tcPr>
            <w:tcW w:w="53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Homebuilding gross margin</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61,901</w:t>
            </w:r>
          </w:p>
        </w:tc>
        <w:tc>
          <w:tcPr>
            <w:tcW w:w="48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89,720</w:t>
            </w:r>
          </w:p>
        </w:tc>
        <w:tc>
          <w:tcPr>
            <w:tcW w:w="4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120,321</w:t>
            </w:r>
          </w:p>
        </w:tc>
        <w:tc>
          <w:tcPr>
            <w:tcW w:w="48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188,111</w:t>
            </w:r>
          </w:p>
        </w:tc>
      </w:tr>
      <w:tr>
        <w:trPr>
          <w:trHeight w:val="20"/>
        </w:trPr>
        <w:tc>
          <w:tcPr>
            <w:tcW w:w="5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Homebuilding gross margin percentage</w:t>
            </w:r>
          </w:p>
        </w:tc>
        <w:tc>
          <w:tcPr>
            <w:tcW w:w="19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10.2 %</w:t>
            </w:r>
          </w:p>
        </w:tc>
        <w:tc>
          <w:tcPr>
            <w:tcW w:w="14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13.8 %</w:t>
            </w:r>
          </w:p>
        </w:tc>
        <w:tc>
          <w:tcPr>
            <w:tcW w:w="14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10.2 %</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14.5 %</w:t>
            </w:r>
          </w:p>
        </w:tc>
        <w:tc>
          <w:tcPr>
            <w:tcW w:w="20" w:type="dxa"/>
            <w:vAlign w:val="bottom"/>
          </w:tcPr>
          <w:p>
            <w:pPr>
              <w:spacing w:after="0"/>
              <w:rPr>
                <w:sz w:val="18"/>
                <w:szCs w:val="18"/>
                <w:color w:val="auto"/>
              </w:rPr>
            </w:pPr>
          </w:p>
        </w:tc>
      </w:tr>
      <w:tr>
        <w:trPr>
          <w:trHeight w:val="198"/>
        </w:trPr>
        <w:tc>
          <w:tcPr>
            <w:tcW w:w="52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Homebuilding gross margin percentage, before cost of sales interest</w:t>
            </w:r>
          </w:p>
        </w:tc>
        <w:tc>
          <w:tcPr>
            <w:tcW w:w="19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 and land charges</w:t>
            </w:r>
          </w:p>
        </w:tc>
        <w:tc>
          <w:tcPr>
            <w:tcW w:w="19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14.3 %</w:t>
            </w:r>
          </w:p>
        </w:tc>
        <w:tc>
          <w:tcPr>
            <w:tcW w:w="14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17.3 %</w:t>
            </w:r>
          </w:p>
        </w:tc>
        <w:tc>
          <w:tcPr>
            <w:tcW w:w="14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13.9 %</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17.8 %</w:t>
            </w:r>
          </w:p>
        </w:tc>
        <w:tc>
          <w:tcPr>
            <w:tcW w:w="20" w:type="dxa"/>
            <w:vAlign w:val="bottom"/>
          </w:tcPr>
          <w:p>
            <w:pPr>
              <w:spacing w:after="0"/>
              <w:rPr>
                <w:sz w:val="20"/>
                <w:szCs w:val="20"/>
                <w:color w:val="auto"/>
              </w:rPr>
            </w:pPr>
          </w:p>
        </w:tc>
      </w:tr>
      <w:tr>
        <w:trPr>
          <w:trHeight w:val="198"/>
        </w:trPr>
        <w:tc>
          <w:tcPr>
            <w:tcW w:w="52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Homebuilding gross margin percentage, after cost of sales interest</w:t>
            </w:r>
          </w:p>
        </w:tc>
        <w:tc>
          <w:tcPr>
            <w:tcW w:w="19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expense, before land charges</w:t>
            </w:r>
          </w:p>
        </w:tc>
        <w:tc>
          <w:tcPr>
            <w:tcW w:w="19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11.7 %</w:t>
            </w:r>
          </w:p>
        </w:tc>
        <w:tc>
          <w:tcPr>
            <w:tcW w:w="14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14.3 %</w:t>
            </w:r>
          </w:p>
        </w:tc>
        <w:tc>
          <w:tcPr>
            <w:tcW w:w="14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11.1 %</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14.8 %</w:t>
            </w:r>
          </w:p>
        </w:tc>
        <w:tc>
          <w:tcPr>
            <w:tcW w:w="20" w:type="dxa"/>
            <w:vAlign w:val="bottom"/>
          </w:tcPr>
          <w:p>
            <w:pPr>
              <w:spacing w:after="0"/>
              <w:rPr>
                <w:sz w:val="20"/>
                <w:szCs w:val="20"/>
                <w:color w:val="auto"/>
              </w:rPr>
            </w:pPr>
          </w:p>
        </w:tc>
      </w:tr>
      <w:tr>
        <w:trPr>
          <w:trHeight w:val="432"/>
        </w:trPr>
        <w:tc>
          <w:tcPr>
            <w:tcW w:w="5220" w:type="dxa"/>
            <w:vAlign w:val="bottom"/>
          </w:tcPr>
          <w:p>
            <w:pPr>
              <w:spacing w:after="0"/>
              <w:rPr>
                <w:sz w:val="24"/>
                <w:szCs w:val="24"/>
                <w:color w:val="auto"/>
              </w:rPr>
            </w:pPr>
          </w:p>
        </w:tc>
        <w:tc>
          <w:tcPr>
            <w:tcW w:w="1980" w:type="dxa"/>
            <w:vAlign w:val="bottom"/>
          </w:tcPr>
          <w:p>
            <w:pPr>
              <w:jc w:val="right"/>
              <w:ind w:right="1390"/>
              <w:spacing w:after="0"/>
              <w:rPr>
                <w:sz w:val="20"/>
                <w:szCs w:val="20"/>
                <w:color w:val="auto"/>
              </w:rPr>
            </w:pPr>
            <w:r>
              <w:rPr>
                <w:rFonts w:ascii="Times New Roman" w:cs="Times New Roman" w:eastAsia="Times New Roman" w:hAnsi="Times New Roman"/>
                <w:sz w:val="18"/>
                <w:szCs w:val="18"/>
                <w:color w:val="auto"/>
              </w:rPr>
              <w:t>33</w:t>
            </w:r>
          </w:p>
        </w:tc>
        <w:tc>
          <w:tcPr>
            <w:tcW w:w="14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3"/>
        </w:trPr>
        <w:tc>
          <w:tcPr>
            <w:tcW w:w="5220" w:type="dxa"/>
            <w:vAlign w:val="bottom"/>
            <w:tcBorders>
              <w:bottom w:val="single" w:sz="8" w:color="9A9A9A"/>
            </w:tcBorders>
          </w:tcPr>
          <w:p>
            <w:pPr>
              <w:spacing w:after="0"/>
              <w:rPr>
                <w:sz w:val="19"/>
                <w:szCs w:val="19"/>
                <w:color w:val="auto"/>
              </w:rPr>
            </w:pPr>
          </w:p>
        </w:tc>
        <w:tc>
          <w:tcPr>
            <w:tcW w:w="1980" w:type="dxa"/>
            <w:vAlign w:val="bottom"/>
            <w:tcBorders>
              <w:bottom w:val="single" w:sz="8" w:color="9A9A9A"/>
            </w:tcBorders>
          </w:tcPr>
          <w:p>
            <w:pPr>
              <w:spacing w:after="0"/>
              <w:rPr>
                <w:sz w:val="19"/>
                <w:szCs w:val="19"/>
                <w:color w:val="auto"/>
              </w:rPr>
            </w:pPr>
          </w:p>
        </w:tc>
        <w:tc>
          <w:tcPr>
            <w:tcW w:w="1480" w:type="dxa"/>
            <w:vAlign w:val="bottom"/>
            <w:tcBorders>
              <w:bottom w:val="single" w:sz="8" w:color="9A9A9A"/>
            </w:tcBorders>
          </w:tcPr>
          <w:p>
            <w:pPr>
              <w:spacing w:after="0"/>
              <w:rPr>
                <w:sz w:val="19"/>
                <w:szCs w:val="19"/>
                <w:color w:val="auto"/>
              </w:rPr>
            </w:pPr>
          </w:p>
        </w:tc>
        <w:tc>
          <w:tcPr>
            <w:tcW w:w="1480" w:type="dxa"/>
            <w:vAlign w:val="bottom"/>
            <w:tcBorders>
              <w:bottom w:val="single" w:sz="8" w:color="9A9A9A"/>
            </w:tcBorders>
          </w:tcPr>
          <w:p>
            <w:pPr>
              <w:spacing w:after="0"/>
              <w:rPr>
                <w:sz w:val="19"/>
                <w:szCs w:val="19"/>
                <w:color w:val="auto"/>
              </w:rPr>
            </w:pPr>
          </w:p>
        </w:tc>
        <w:tc>
          <w:tcPr>
            <w:tcW w:w="108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07"/>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6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620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453"/>
        </w:trPr>
        <w:tc>
          <w:tcPr>
            <w:tcW w:w="748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Cost of sales as a percentage of consolidated home sales revenues are presented below:</w:t>
            </w:r>
          </w:p>
        </w:tc>
        <w:tc>
          <w:tcPr>
            <w:tcW w:w="1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69"/>
        </w:trPr>
        <w:tc>
          <w:tcPr>
            <w:tcW w:w="128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2840" w:type="dxa"/>
            <w:vAlign w:val="bottom"/>
            <w:gridSpan w:val="2"/>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560" w:type="dxa"/>
            <w:vAlign w:val="bottom"/>
            <w:gridSpan w:val="2"/>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1280" w:type="dxa"/>
            <w:vAlign w:val="bottom"/>
            <w:tcBorders>
              <w:bottom w:val="single" w:sz="8" w:color="auto"/>
            </w:tcBorders>
          </w:tcPr>
          <w:p>
            <w:pPr>
              <w:spacing w:after="0"/>
              <w:rPr>
                <w:sz w:val="20"/>
                <w:szCs w:val="20"/>
                <w:color w:val="auto"/>
              </w:rPr>
            </w:pPr>
          </w:p>
        </w:tc>
        <w:tc>
          <w:tcPr>
            <w:tcW w:w="45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12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940" w:type="dxa"/>
            <w:vAlign w:val="bottom"/>
            <w:tcBorders>
              <w:bottom w:val="single" w:sz="8" w:color="auto"/>
            </w:tcBorders>
          </w:tcPr>
          <w:p>
            <w:pPr>
              <w:spacing w:after="0"/>
              <w:rPr>
                <w:sz w:val="20"/>
                <w:szCs w:val="20"/>
                <w:color w:val="auto"/>
              </w:rPr>
            </w:pPr>
          </w:p>
        </w:tc>
      </w:tr>
      <w:tr>
        <w:trPr>
          <w:trHeight w:val="210"/>
        </w:trPr>
        <w:tc>
          <w:tcPr>
            <w:tcW w:w="1280" w:type="dxa"/>
            <w:vAlign w:val="bottom"/>
            <w:tcBorders>
              <w:bottom w:val="single" w:sz="8" w:color="auto"/>
            </w:tcBorders>
          </w:tcPr>
          <w:p>
            <w:pPr>
              <w:spacing w:after="0"/>
              <w:rPr>
                <w:sz w:val="18"/>
                <w:szCs w:val="18"/>
                <w:color w:val="auto"/>
              </w:rPr>
            </w:pPr>
          </w:p>
        </w:tc>
        <w:tc>
          <w:tcPr>
            <w:tcW w:w="45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2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9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9"/>
        </w:trPr>
        <w:tc>
          <w:tcPr>
            <w:tcW w:w="584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 of homes</w:t>
            </w:r>
          </w:p>
        </w:tc>
        <w:tc>
          <w:tcPr>
            <w:tcW w:w="164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100.0%</w:t>
            </w:r>
          </w:p>
        </w:tc>
        <w:tc>
          <w:tcPr>
            <w:tcW w:w="12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100.0%</w:t>
            </w:r>
          </w:p>
        </w:tc>
        <w:tc>
          <w:tcPr>
            <w:tcW w:w="162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100.0%</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10"/>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sales, excluding interest expense and land charges:</w:t>
            </w:r>
          </w:p>
        </w:tc>
        <w:tc>
          <w:tcPr>
            <w:tcW w:w="1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Housing, land and development costs</w:t>
            </w:r>
          </w:p>
        </w:tc>
        <w:tc>
          <w:tcPr>
            <w:tcW w:w="164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73.9%</w:t>
            </w:r>
          </w:p>
        </w:tc>
        <w:tc>
          <w:tcPr>
            <w:tcW w:w="12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71.5%</w:t>
            </w:r>
          </w:p>
        </w:tc>
        <w:tc>
          <w:tcPr>
            <w:tcW w:w="16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73.9%</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w:t>
            </w:r>
          </w:p>
        </w:tc>
      </w:tr>
      <w:tr>
        <w:trPr>
          <w:trHeight w:val="216"/>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Commissions</w:t>
            </w:r>
          </w:p>
        </w:tc>
        <w:tc>
          <w:tcPr>
            <w:tcW w:w="164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3.3%</w:t>
            </w:r>
          </w:p>
        </w:tc>
        <w:tc>
          <w:tcPr>
            <w:tcW w:w="12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3.2%</w:t>
            </w:r>
          </w:p>
        </w:tc>
        <w:tc>
          <w:tcPr>
            <w:tcW w:w="16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3.2%</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concessions</w:t>
            </w:r>
          </w:p>
        </w:tc>
        <w:tc>
          <w:tcPr>
            <w:tcW w:w="164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4.3%</w:t>
            </w:r>
          </w:p>
        </w:tc>
        <w:tc>
          <w:tcPr>
            <w:tcW w:w="12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3.7%</w:t>
            </w:r>
          </w:p>
        </w:tc>
        <w:tc>
          <w:tcPr>
            <w:tcW w:w="16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4.2%</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58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Overheads</w:t>
            </w:r>
          </w:p>
        </w:tc>
        <w:tc>
          <w:tcPr>
            <w:tcW w:w="16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4.2%</w:t>
            </w:r>
          </w:p>
        </w:tc>
        <w:tc>
          <w:tcPr>
            <w:tcW w:w="12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4.3%</w:t>
            </w:r>
          </w:p>
        </w:tc>
        <w:tc>
          <w:tcPr>
            <w:tcW w:w="16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4.8%</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0"/>
        </w:trPr>
        <w:tc>
          <w:tcPr>
            <w:tcW w:w="584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 of sales, excluding interest expense and land charges</w:t>
            </w:r>
          </w:p>
        </w:tc>
        <w:tc>
          <w:tcPr>
            <w:tcW w:w="164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85.7%</w:t>
            </w:r>
          </w:p>
        </w:tc>
        <w:tc>
          <w:tcPr>
            <w:tcW w:w="12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82.7%</w:t>
            </w:r>
          </w:p>
        </w:tc>
        <w:tc>
          <w:tcPr>
            <w:tcW w:w="162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86.1%</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w:t>
            </w:r>
          </w:p>
        </w:tc>
      </w:tr>
      <w:tr>
        <w:trPr>
          <w:trHeight w:val="209"/>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sales interest</w:t>
            </w:r>
          </w:p>
        </w:tc>
        <w:tc>
          <w:tcPr>
            <w:tcW w:w="164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2.6%</w:t>
            </w:r>
          </w:p>
        </w:tc>
        <w:tc>
          <w:tcPr>
            <w:tcW w:w="12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3.0%</w:t>
            </w:r>
          </w:p>
        </w:tc>
        <w:tc>
          <w:tcPr>
            <w:tcW w:w="16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2.8%</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charges</w:t>
            </w:r>
          </w:p>
        </w:tc>
        <w:tc>
          <w:tcPr>
            <w:tcW w:w="164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1.5%</w:t>
            </w:r>
          </w:p>
        </w:tc>
        <w:tc>
          <w:tcPr>
            <w:tcW w:w="12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0.5%</w:t>
            </w:r>
          </w:p>
        </w:tc>
        <w:tc>
          <w:tcPr>
            <w:tcW w:w="16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0.9%</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16"/>
        </w:trPr>
        <w:tc>
          <w:tcPr>
            <w:tcW w:w="128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Homebuilding gross margin percentage</w:t>
            </w:r>
          </w:p>
        </w:tc>
        <w:tc>
          <w:tcPr>
            <w:tcW w:w="164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10.2%</w:t>
            </w:r>
          </w:p>
        </w:tc>
        <w:tc>
          <w:tcPr>
            <w:tcW w:w="12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13.8%</w:t>
            </w:r>
          </w:p>
        </w:tc>
        <w:tc>
          <w:tcPr>
            <w:tcW w:w="16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10.2%</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198"/>
        </w:trPr>
        <w:tc>
          <w:tcPr>
            <w:tcW w:w="58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Homebuilding gross margin percentage, before cost of sales interest expense</w:t>
            </w:r>
          </w:p>
        </w:tc>
        <w:tc>
          <w:tcPr>
            <w:tcW w:w="16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4"/>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 land charges</w:t>
            </w:r>
          </w:p>
        </w:tc>
        <w:tc>
          <w:tcPr>
            <w:tcW w:w="164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14.3%</w:t>
            </w:r>
          </w:p>
        </w:tc>
        <w:tc>
          <w:tcPr>
            <w:tcW w:w="12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17.3%</w:t>
            </w:r>
          </w:p>
        </w:tc>
        <w:tc>
          <w:tcPr>
            <w:tcW w:w="16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13.9%</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r>
      <w:tr>
        <w:trPr>
          <w:trHeight w:val="198"/>
        </w:trPr>
        <w:tc>
          <w:tcPr>
            <w:tcW w:w="58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Homebuilding gross margin percentage, after cost of sales interest expense,</w:t>
            </w:r>
          </w:p>
        </w:tc>
        <w:tc>
          <w:tcPr>
            <w:tcW w:w="16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34"/>
        </w:trPr>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before land charges</w:t>
            </w:r>
          </w:p>
        </w:tc>
        <w:tc>
          <w:tcPr>
            <w:tcW w:w="164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11.7%</w:t>
            </w:r>
          </w:p>
        </w:tc>
        <w:tc>
          <w:tcPr>
            <w:tcW w:w="12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14.3%</w:t>
            </w:r>
          </w:p>
        </w:tc>
        <w:tc>
          <w:tcPr>
            <w:tcW w:w="16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11.1%</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r>
    </w:tbl>
    <w:p>
      <w:pPr>
        <w:spacing w:after="0" w:line="171" w:lineRule="exact"/>
        <w:rPr>
          <w:sz w:val="20"/>
          <w:szCs w:val="20"/>
          <w:color w:val="auto"/>
        </w:rPr>
      </w:pPr>
    </w:p>
    <w:p>
      <w:pPr>
        <w:ind w:right="40" w:firstLine="810"/>
        <w:spacing w:after="0" w:line="255" w:lineRule="auto"/>
        <w:rPr>
          <w:sz w:val="20"/>
          <w:szCs w:val="20"/>
          <w:color w:val="auto"/>
        </w:rPr>
      </w:pPr>
      <w:r>
        <w:rPr>
          <w:rFonts w:ascii="Times New Roman" w:cs="Times New Roman" w:eastAsia="Times New Roman" w:hAnsi="Times New Roman"/>
          <w:sz w:val="18"/>
          <w:szCs w:val="18"/>
          <w:color w:val="auto"/>
        </w:rPr>
        <w:t>We sell a variety of home types in various communities, each yielding a different gross margin. As a result, depending on the mix of communities delivering homes, consolidated gross margin may fluctuate up or down. Total homebuilding gross margin percentage decreased to 10.2% for both the three and six months ended April 30, 2026, compared to 13.8% and 14.5% for the prior year periods. Total homebuilding gross margin percentage, before cost of sales interest expense and land charges decreased to 14.3% and 13.9% for the three and six months ended April 30, 2026, respectively, compared to 17.3% and 17.8% for the three and six months ended April 30, 2025, respectively. The decrease in gross margin percentage for the three and six months ended April 30, 2026 was primarily due to increased use of incentives and concessions, including additional mortgage interest rate buydowns, to make our homes more affordable.</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Land and lot sale expenses and gross margins are set forth below:</w:t>
            </w:r>
          </w:p>
        </w:tc>
        <w:tc>
          <w:tcPr>
            <w:tcW w:w="5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69"/>
        </w:trPr>
        <w:tc>
          <w:tcPr>
            <w:tcW w:w="5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40" w:type="dxa"/>
            <w:vAlign w:val="bottom"/>
            <w:gridSpan w:val="3"/>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00" w:type="dxa"/>
            <w:vAlign w:val="bottom"/>
          </w:tcPr>
          <w:p>
            <w:pPr>
              <w:spacing w:after="0"/>
              <w:rPr>
                <w:sz w:val="24"/>
                <w:szCs w:val="24"/>
                <w:color w:val="auto"/>
              </w:rPr>
            </w:pPr>
          </w:p>
        </w:tc>
        <w:tc>
          <w:tcPr>
            <w:tcW w:w="2160" w:type="dxa"/>
            <w:vAlign w:val="bottom"/>
            <w:gridSpan w:val="3"/>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57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9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800" w:type="dxa"/>
            <w:vAlign w:val="bottom"/>
            <w:tcBorders>
              <w:bottom w:val="single" w:sz="8" w:color="auto"/>
            </w:tcBorders>
          </w:tcPr>
          <w:p>
            <w:pPr>
              <w:spacing w:after="0"/>
              <w:rPr>
                <w:sz w:val="20"/>
                <w:szCs w:val="20"/>
                <w:color w:val="auto"/>
              </w:rPr>
            </w:pPr>
          </w:p>
        </w:tc>
      </w:tr>
      <w:tr>
        <w:trPr>
          <w:trHeight w:val="210"/>
        </w:trPr>
        <w:tc>
          <w:tcPr>
            <w:tcW w:w="5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0"/>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and lot sales</w:t>
            </w:r>
          </w:p>
        </w:tc>
        <w:tc>
          <w:tcPr>
            <w:tcW w:w="5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33,502</w:t>
            </w:r>
          </w:p>
        </w:tc>
        <w:tc>
          <w:tcPr>
            <w:tcW w:w="4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12,604</w:t>
            </w:r>
          </w:p>
        </w:tc>
        <w:tc>
          <w:tcPr>
            <w:tcW w:w="4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68,214</w:t>
            </w:r>
          </w:p>
        </w:tc>
        <w:tc>
          <w:tcPr>
            <w:tcW w:w="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19,430</w:t>
            </w:r>
          </w:p>
        </w:tc>
      </w:tr>
      <w:tr>
        <w:trPr>
          <w:trHeight w:val="216"/>
        </w:trPr>
        <w:tc>
          <w:tcPr>
            <w:tcW w:w="5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Cost of sales, excluding interest</w:t>
            </w: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13,396</w:t>
            </w:r>
          </w:p>
        </w:tc>
        <w:tc>
          <w:tcPr>
            <w:tcW w:w="4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5,689</w:t>
            </w: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24,614</w:t>
            </w:r>
          </w:p>
        </w:tc>
        <w:tc>
          <w:tcPr>
            <w:tcW w:w="4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10,234</w:t>
            </w:r>
          </w:p>
        </w:tc>
      </w:tr>
      <w:tr>
        <w:trPr>
          <w:trHeight w:val="210"/>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and lot sales gross margin, excluding interest</w:t>
            </w: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333333"/>
              </w:rPr>
              <w:t>20,106</w:t>
            </w: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333333"/>
              </w:rPr>
              <w:t>6,915</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333333"/>
              </w:rPr>
              <w:t>43,600</w:t>
            </w: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9,196</w:t>
            </w:r>
          </w:p>
        </w:tc>
      </w:tr>
      <w:tr>
        <w:trPr>
          <w:trHeight w:val="216"/>
        </w:trPr>
        <w:tc>
          <w:tcPr>
            <w:tcW w:w="5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Land and lot sales interest expense</w:t>
            </w: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94</w:t>
            </w:r>
          </w:p>
        </w:tc>
        <w:tc>
          <w:tcPr>
            <w:tcW w:w="4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118</w:t>
            </w:r>
          </w:p>
        </w:tc>
        <w:tc>
          <w:tcPr>
            <w:tcW w:w="4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w:t>
            </w:r>
          </w:p>
        </w:tc>
      </w:tr>
      <w:tr>
        <w:trPr>
          <w:trHeight w:val="210"/>
        </w:trPr>
        <w:tc>
          <w:tcPr>
            <w:tcW w:w="57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and lot sales gross margin, including interest</w:t>
            </w:r>
          </w:p>
        </w:tc>
        <w:tc>
          <w:tcPr>
            <w:tcW w:w="5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333333"/>
              </w:rPr>
              <w:t>20,012</w:t>
            </w:r>
          </w:p>
        </w:tc>
        <w:tc>
          <w:tcPr>
            <w:tcW w:w="4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333333"/>
              </w:rPr>
              <w:t>6,915</w:t>
            </w:r>
          </w:p>
        </w:tc>
        <w:tc>
          <w:tcPr>
            <w:tcW w:w="4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333333"/>
              </w:rPr>
              <w:t>43,482</w:t>
            </w:r>
          </w:p>
        </w:tc>
        <w:tc>
          <w:tcPr>
            <w:tcW w:w="4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333333"/>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8,578</w:t>
            </w:r>
          </w:p>
        </w:tc>
      </w:tr>
      <w:tr>
        <w:trPr>
          <w:trHeight w:val="20"/>
        </w:trPr>
        <w:tc>
          <w:tcPr>
            <w:tcW w:w="57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Land sales are ancillary to our homebuilding operations and are expected to continue in the future but may fluctuate significantly.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Homebuilding: Inventory Impairments and Land Option Write-Offs</w:t>
      </w:r>
    </w:p>
    <w:p>
      <w:pPr>
        <w:spacing w:after="0" w:line="189" w:lineRule="exact"/>
        <w:rPr>
          <w:sz w:val="20"/>
          <w:szCs w:val="20"/>
          <w:color w:val="auto"/>
        </w:rPr>
      </w:pPr>
    </w:p>
    <w:p>
      <w:pPr>
        <w:ind w:right="40" w:firstLine="810"/>
        <w:spacing w:after="0" w:line="255" w:lineRule="auto"/>
        <w:rPr>
          <w:sz w:val="20"/>
          <w:szCs w:val="20"/>
          <w:color w:val="auto"/>
        </w:rPr>
      </w:pPr>
      <w:r>
        <w:rPr>
          <w:rFonts w:ascii="Times New Roman" w:cs="Times New Roman" w:eastAsia="Times New Roman" w:hAnsi="Times New Roman"/>
          <w:sz w:val="18"/>
          <w:szCs w:val="18"/>
          <w:color w:val="auto"/>
        </w:rPr>
        <w:t>Inventory impairments and land option write-offs reflects certain inventories we have either written off or written down to their estimated fair value totaling $8.8 million and $3.1 million in expense for the three months ended April 30, 2026 and 2025, respectively, and $11.1 million and $4.1 million during the six months ended April 30, 2026 and 2025, respectively. Inventory impairments amounted to $5.3 million during both the three and six months ended April 30, 2026 and $1.2 million during both the three and six months ended April 30, 2025. The impairments recorded for fiscal 2026 were for two communities in the Southeast segment and two communities in the West segment. The impairment recorded for fiscal 2025 was for one community in the Northeast segment. We wrote-off residential land option, approval and engineering costs across each of our segments during the first half of both fiscal 2026 and 2025.</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Homebuilding: Selling, General and Administrative</w:t>
      </w:r>
    </w:p>
    <w:p>
      <w:pPr>
        <w:spacing w:after="0" w:line="202" w:lineRule="exact"/>
        <w:rPr>
          <w:sz w:val="20"/>
          <w:szCs w:val="20"/>
          <w:color w:val="auto"/>
        </w:rPr>
      </w:pPr>
    </w:p>
    <w:p>
      <w:pPr>
        <w:ind w:right="40" w:firstLine="810"/>
        <w:spacing w:after="0" w:line="258" w:lineRule="auto"/>
        <w:rPr>
          <w:sz w:val="20"/>
          <w:szCs w:val="20"/>
          <w:color w:val="auto"/>
        </w:rPr>
      </w:pPr>
      <w:r>
        <w:rPr>
          <w:rFonts w:ascii="Times New Roman" w:cs="Times New Roman" w:eastAsia="Times New Roman" w:hAnsi="Times New Roman"/>
          <w:sz w:val="18"/>
          <w:szCs w:val="18"/>
          <w:color w:val="auto"/>
        </w:rPr>
        <w:t>Homebuilding selling, general and administrative (“SGA”) expenses increased $5.9 million to $57.0 million for the three months ended April 30, 2026 and increased $2.0 million to $107.3 million for the six months ended April 30, 2026 compared to the same periods in the prior year. The increase for the three and six months ended April 30, 2026 compared to the same periods in the prior year was primarily due to the cost of annual merit increases and a decrease in unconsolidated joint venture deliveries, where we receive a management fee on each delivery, which offsets our SGA expenses incurred with respect to the applicable joint venture.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Homebuilding: Key Performance Indicators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Domestic Contracts Per Active Selling Community</w:t>
      </w:r>
    </w:p>
    <w:p>
      <w:pPr>
        <w:spacing w:after="0" w:line="200" w:lineRule="exact"/>
        <w:rPr>
          <w:sz w:val="20"/>
          <w:szCs w:val="20"/>
          <w:color w:val="auto"/>
        </w:rPr>
      </w:pPr>
    </w:p>
    <w:p>
      <w:pPr>
        <w:ind w:right="60" w:firstLine="810"/>
        <w:spacing w:after="0" w:line="261" w:lineRule="auto"/>
        <w:rPr>
          <w:sz w:val="20"/>
          <w:szCs w:val="20"/>
          <w:color w:val="auto"/>
        </w:rPr>
      </w:pPr>
      <w:r>
        <w:rPr>
          <w:rFonts w:ascii="Times New Roman" w:cs="Times New Roman" w:eastAsia="Times New Roman" w:hAnsi="Times New Roman"/>
          <w:sz w:val="18"/>
          <w:szCs w:val="18"/>
          <w:color w:val="auto"/>
        </w:rPr>
        <w:t>Net domestic contracts per active selling community for the three and six months ended April 30, 2026 were 11.3 and 21.2, respectively, compared to 11.2 and 20.8 for the same periods in the prior year, respectively. Our reported level of domestic sales contracts (net of cancellations) continues to be driven by customer demand for our available QMI homes. This approach of offering a strong selection of QMI homes allows customers to take advantage of available incentives and purchase homes quickly and affordably.</w:t>
      </w:r>
    </w:p>
    <w:p>
      <w:pPr>
        <w:sectPr>
          <w:pgSz w:w="11900" w:h="16838" w:orient="portrait"/>
          <w:cols w:equalWidth="0" w:num="1">
            <w:col w:w="11240"/>
          </w:cols>
          <w:pgMar w:left="320" w:top="108" w:right="339"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Domestic Contract Cancellation Rates</w:t>
      </w:r>
    </w:p>
    <w:p>
      <w:pPr>
        <w:sectPr>
          <w:pgSz w:w="11900" w:h="16838" w:orient="portrait"/>
          <w:cols w:equalWidth="0" w:num="1">
            <w:col w:w="11240"/>
          </w:cols>
          <w:pgMar w:left="320" w:top="108" w:right="339" w:bottom="0" w:gutter="0" w:footer="0" w:header="0"/>
          <w:type w:val="continuous"/>
        </w:sectPr>
      </w:pPr>
    </w:p>
    <w:bookmarkStart w:id="28" w:name="page29"/>
    <w:bookmarkEnd w:id="28"/>
    <w:p>
      <w:pPr>
        <w:spacing w:after="0" w:line="62" w:lineRule="exact"/>
        <w:rPr>
          <w:sz w:val="20"/>
          <w:szCs w:val="20"/>
          <w:color w:val="auto"/>
        </w:rPr>
      </w:pPr>
    </w:p>
    <w:p>
      <w:pPr>
        <w:ind w:right="160" w:firstLine="810"/>
        <w:spacing w:after="0" w:line="282" w:lineRule="auto"/>
        <w:rPr>
          <w:sz w:val="20"/>
          <w:szCs w:val="20"/>
          <w:color w:val="auto"/>
        </w:rPr>
      </w:pPr>
      <w:r>
        <w:rPr>
          <w:rFonts w:ascii="Times New Roman" w:cs="Times New Roman" w:eastAsia="Times New Roman" w:hAnsi="Times New Roman"/>
          <w:sz w:val="18"/>
          <w:szCs w:val="18"/>
          <w:color w:val="auto"/>
        </w:rPr>
        <w:t>The following table provides historical quarterly cancellation rates, which represents the number of cancelled domestic contracts in the quarter divided by the number of gross domestic sales contracts executed in the quarter, excluding unconsolidated joint ventures: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Quarter</w:t>
            </w:r>
          </w:p>
        </w:tc>
        <w:tc>
          <w:tcPr>
            <w:tcW w:w="326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3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3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38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1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09"/>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w:t>
            </w:r>
          </w:p>
        </w:tc>
        <w:tc>
          <w:tcPr>
            <w:tcW w:w="32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14%</w:t>
            </w:r>
          </w:p>
        </w:tc>
        <w:tc>
          <w:tcPr>
            <w:tcW w:w="1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16%</w:t>
            </w:r>
          </w:p>
        </w:tc>
        <w:tc>
          <w:tcPr>
            <w:tcW w:w="1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14%</w:t>
            </w:r>
          </w:p>
        </w:tc>
        <w:tc>
          <w:tcPr>
            <w:tcW w:w="1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30%</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Second</w:t>
            </w:r>
          </w:p>
        </w:tc>
        <w:tc>
          <w:tcPr>
            <w:tcW w:w="32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17%</w:t>
            </w:r>
          </w:p>
        </w:tc>
        <w:tc>
          <w:tcPr>
            <w:tcW w:w="1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15%</w:t>
            </w:r>
          </w:p>
        </w:tc>
        <w:tc>
          <w:tcPr>
            <w:tcW w:w="1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14%</w:t>
            </w:r>
          </w:p>
        </w:tc>
        <w:tc>
          <w:tcPr>
            <w:tcW w:w="1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18%</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w:t>
            </w:r>
          </w:p>
        </w:tc>
        <w:tc>
          <w:tcPr>
            <w:tcW w:w="3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19%</w:t>
            </w:r>
          </w:p>
        </w:tc>
        <w:tc>
          <w:tcPr>
            <w:tcW w:w="1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17%</w:t>
            </w:r>
          </w:p>
        </w:tc>
        <w:tc>
          <w:tcPr>
            <w:tcW w:w="1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16%</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4"/>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Fourth</w:t>
            </w:r>
          </w:p>
        </w:tc>
        <w:tc>
          <w:tcPr>
            <w:tcW w:w="3260" w:type="dxa"/>
            <w:vAlign w:val="bottom"/>
          </w:tcPr>
          <w:p>
            <w:pPr>
              <w:spacing w:after="0"/>
              <w:rPr>
                <w:sz w:val="20"/>
                <w:szCs w:val="20"/>
                <w:color w:val="auto"/>
              </w:rPr>
            </w:pPr>
          </w:p>
        </w:tc>
        <w:tc>
          <w:tcPr>
            <w:tcW w:w="1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17%</w:t>
            </w:r>
          </w:p>
        </w:tc>
        <w:tc>
          <w:tcPr>
            <w:tcW w:w="1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18%</w:t>
            </w:r>
          </w:p>
        </w:tc>
        <w:tc>
          <w:tcPr>
            <w:tcW w:w="1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25%</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bl>
    <w:p>
      <w:pPr>
        <w:spacing w:after="0" w:line="152" w:lineRule="exact"/>
        <w:rPr>
          <w:sz w:val="20"/>
          <w:szCs w:val="20"/>
          <w:color w:val="auto"/>
        </w:rPr>
      </w:pPr>
    </w:p>
    <w:p>
      <w:pPr>
        <w:ind w:right="860" w:firstLine="810"/>
        <w:spacing w:after="0" w:line="282" w:lineRule="auto"/>
        <w:rPr>
          <w:sz w:val="20"/>
          <w:szCs w:val="20"/>
          <w:color w:val="auto"/>
        </w:rPr>
      </w:pPr>
      <w:r>
        <w:rPr>
          <w:rFonts w:ascii="Times New Roman" w:cs="Times New Roman" w:eastAsia="Times New Roman" w:hAnsi="Times New Roman"/>
          <w:sz w:val="18"/>
          <w:szCs w:val="18"/>
          <w:color w:val="auto"/>
        </w:rPr>
        <w:t>The following table provides quarterly domestic contract cancellations as a percentage of the beginning domestic backlog, excluding unconsolidated joint ventures: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Quarter</w:t>
            </w:r>
          </w:p>
        </w:tc>
        <w:tc>
          <w:tcPr>
            <w:tcW w:w="326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3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3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38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1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09"/>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w:t>
            </w:r>
          </w:p>
        </w:tc>
        <w:tc>
          <w:tcPr>
            <w:tcW w:w="32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16%</w:t>
            </w:r>
          </w:p>
        </w:tc>
        <w:tc>
          <w:tcPr>
            <w:tcW w:w="1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14%</w:t>
            </w:r>
          </w:p>
        </w:tc>
        <w:tc>
          <w:tcPr>
            <w:tcW w:w="1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10%</w:t>
            </w:r>
          </w:p>
        </w:tc>
        <w:tc>
          <w:tcPr>
            <w:tcW w:w="1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16%</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Second</w:t>
            </w:r>
          </w:p>
        </w:tc>
        <w:tc>
          <w:tcPr>
            <w:tcW w:w="32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21%</w:t>
            </w:r>
          </w:p>
        </w:tc>
        <w:tc>
          <w:tcPr>
            <w:tcW w:w="1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15%</w:t>
            </w:r>
          </w:p>
        </w:tc>
        <w:tc>
          <w:tcPr>
            <w:tcW w:w="1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13%</w:t>
            </w:r>
          </w:p>
        </w:tc>
        <w:tc>
          <w:tcPr>
            <w:tcW w:w="1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16%</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w:t>
            </w:r>
          </w:p>
        </w:tc>
        <w:tc>
          <w:tcPr>
            <w:tcW w:w="3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17%</w:t>
            </w:r>
          </w:p>
        </w:tc>
        <w:tc>
          <w:tcPr>
            <w:tcW w:w="1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12%</w:t>
            </w:r>
          </w:p>
        </w:tc>
        <w:tc>
          <w:tcPr>
            <w:tcW w:w="1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12%</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4"/>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Fourth</w:t>
            </w:r>
          </w:p>
        </w:tc>
        <w:tc>
          <w:tcPr>
            <w:tcW w:w="3260" w:type="dxa"/>
            <w:vAlign w:val="bottom"/>
          </w:tcPr>
          <w:p>
            <w:pPr>
              <w:spacing w:after="0"/>
              <w:rPr>
                <w:sz w:val="20"/>
                <w:szCs w:val="20"/>
                <w:color w:val="auto"/>
              </w:rPr>
            </w:pPr>
          </w:p>
        </w:tc>
        <w:tc>
          <w:tcPr>
            <w:tcW w:w="1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17%</w:t>
            </w:r>
          </w:p>
        </w:tc>
        <w:tc>
          <w:tcPr>
            <w:tcW w:w="1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15%</w:t>
            </w:r>
          </w:p>
        </w:tc>
        <w:tc>
          <w:tcPr>
            <w:tcW w:w="1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13%</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bl>
    <w:p>
      <w:pPr>
        <w:spacing w:after="0" w:line="139" w:lineRule="exact"/>
        <w:rPr>
          <w:sz w:val="20"/>
          <w:szCs w:val="20"/>
          <w:color w:val="auto"/>
        </w:rPr>
      </w:pPr>
    </w:p>
    <w:p>
      <w:pPr>
        <w:ind w:right="60" w:firstLine="810"/>
        <w:spacing w:after="0" w:line="261" w:lineRule="auto"/>
        <w:rPr>
          <w:sz w:val="20"/>
          <w:szCs w:val="20"/>
          <w:color w:val="auto"/>
        </w:rPr>
      </w:pPr>
      <w:r>
        <w:rPr>
          <w:rFonts w:ascii="Times New Roman" w:cs="Times New Roman" w:eastAsia="Times New Roman" w:hAnsi="Times New Roman"/>
          <w:sz w:val="18"/>
          <w:szCs w:val="18"/>
          <w:color w:val="auto"/>
        </w:rPr>
        <w:t>Most cancellations occur within the legal rescission period, which varies by state but is generally less than two weeks after the signing of the contract. Cancellations also occur as a result of a buyer’s failure to qualify for a mortgage, which generally occurs during the first few weeks after signing. Generally, when sales pace is increasing, the cancellation rate as a percentage of beginning backlog tends to lag the changes seen in our cancellation rate as a percentage of gross sales. Market conditions still remain uncertain and it is difficult to predict what cancellation rates will be in the future.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Backlog</w:t>
      </w:r>
    </w:p>
    <w:p>
      <w:pPr>
        <w:spacing w:after="0" w:line="18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Our consolidated sales contracts and homes in contract backlog, excluding unconsolidated joint ventures, is set forth below:</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380" w:type="dxa"/>
            <w:vAlign w:val="bottom"/>
            <w:gridSpan w:val="3"/>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rPr>
              <w:t>Net Contracts for the</w:t>
            </w:r>
          </w:p>
        </w:tc>
        <w:tc>
          <w:tcPr>
            <w:tcW w:w="340" w:type="dxa"/>
            <w:vAlign w:val="bottom"/>
          </w:tcPr>
          <w:p>
            <w:pPr>
              <w:spacing w:after="0"/>
              <w:rPr>
                <w:sz w:val="18"/>
                <w:szCs w:val="18"/>
                <w:color w:val="auto"/>
              </w:rPr>
            </w:pPr>
          </w:p>
        </w:tc>
        <w:tc>
          <w:tcPr>
            <w:tcW w:w="2340" w:type="dxa"/>
            <w:vAlign w:val="bottom"/>
            <w:gridSpan w:val="3"/>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rPr>
              <w:t>Net Contracts for the</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2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380" w:type="dxa"/>
            <w:vAlign w:val="bottom"/>
            <w:gridSpan w:val="3"/>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340" w:type="dxa"/>
            <w:vAlign w:val="bottom"/>
          </w:tcPr>
          <w:p>
            <w:pPr>
              <w:spacing w:after="0"/>
              <w:rPr>
                <w:sz w:val="18"/>
                <w:szCs w:val="18"/>
                <w:color w:val="auto"/>
              </w:rPr>
            </w:pPr>
          </w:p>
        </w:tc>
        <w:tc>
          <w:tcPr>
            <w:tcW w:w="2340" w:type="dxa"/>
            <w:vAlign w:val="bottom"/>
            <w:gridSpan w:val="3"/>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320" w:type="dxa"/>
            <w:vAlign w:val="bottom"/>
          </w:tcPr>
          <w:p>
            <w:pPr>
              <w:spacing w:after="0"/>
              <w:rPr>
                <w:sz w:val="18"/>
                <w:szCs w:val="18"/>
                <w:color w:val="auto"/>
              </w:rPr>
            </w:pPr>
          </w:p>
        </w:tc>
        <w:tc>
          <w:tcPr>
            <w:tcW w:w="2320" w:type="dxa"/>
            <w:vAlign w:val="bottom"/>
            <w:gridSpan w:val="3"/>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Contract Backlog as of</w:t>
            </w:r>
          </w:p>
        </w:tc>
      </w:tr>
      <w:tr>
        <w:trPr>
          <w:trHeight w:val="238"/>
        </w:trPr>
        <w:tc>
          <w:tcPr>
            <w:tcW w:w="24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2"/>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April 30,</w:t>
            </w:r>
          </w:p>
        </w:tc>
        <w:tc>
          <w:tcPr>
            <w:tcW w:w="9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April 30,</w:t>
            </w:r>
          </w:p>
        </w:tc>
        <w:tc>
          <w:tcPr>
            <w:tcW w:w="9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860" w:type="dxa"/>
            <w:vAlign w:val="bottom"/>
            <w:tcBorders>
              <w:bottom w:val="single" w:sz="8" w:color="auto"/>
            </w:tcBorders>
          </w:tcPr>
          <w:p>
            <w:pPr>
              <w:spacing w:after="0"/>
              <w:rPr>
                <w:sz w:val="20"/>
                <w:szCs w:val="20"/>
                <w:color w:val="auto"/>
              </w:rPr>
            </w:pPr>
          </w:p>
        </w:tc>
      </w:tr>
      <w:tr>
        <w:trPr>
          <w:trHeight w:val="209"/>
        </w:trPr>
        <w:tc>
          <w:tcPr>
            <w:tcW w:w="2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10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0"/>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Northeast:</w:t>
            </w:r>
          </w:p>
        </w:tc>
        <w:tc>
          <w:tcPr>
            <w:tcW w:w="10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Dollars</w:t>
            </w: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299,449</w:t>
            </w:r>
          </w:p>
        </w:tc>
        <w:tc>
          <w:tcPr>
            <w:tcW w:w="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261,796</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525,909</w:t>
            </w:r>
          </w:p>
        </w:tc>
        <w:tc>
          <w:tcPr>
            <w:tcW w:w="4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513,432</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451,132</w:t>
            </w:r>
          </w:p>
        </w:tc>
        <w:tc>
          <w:tcPr>
            <w:tcW w:w="4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506,850</w:t>
            </w:r>
          </w:p>
        </w:tc>
      </w:tr>
      <w:tr>
        <w:trPr>
          <w:trHeight w:val="216"/>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homes</w:t>
            </w:r>
          </w:p>
        </w:tc>
        <w:tc>
          <w:tcPr>
            <w:tcW w:w="10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w:t>
            </w:r>
          </w:p>
        </w:tc>
      </w:tr>
      <w:tr>
        <w:trPr>
          <w:trHeight w:val="216"/>
        </w:trPr>
        <w:tc>
          <w:tcPr>
            <w:tcW w:w="2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Southeast:</w:t>
            </w:r>
          </w:p>
        </w:tc>
        <w:tc>
          <w:tcPr>
            <w:tcW w:w="10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Dollars</w:t>
            </w: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81,333</w:t>
            </w:r>
          </w:p>
        </w:tc>
        <w:tc>
          <w:tcPr>
            <w:tcW w:w="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83,871</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172,673</w:t>
            </w:r>
          </w:p>
        </w:tc>
        <w:tc>
          <w:tcPr>
            <w:tcW w:w="4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159,970</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120,014</w:t>
            </w:r>
          </w:p>
        </w:tc>
        <w:tc>
          <w:tcPr>
            <w:tcW w:w="4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155,904</w:t>
            </w:r>
          </w:p>
        </w:tc>
      </w:tr>
      <w:tr>
        <w:trPr>
          <w:trHeight w:val="216"/>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homes</w:t>
            </w:r>
          </w:p>
        </w:tc>
        <w:tc>
          <w:tcPr>
            <w:tcW w:w="10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r>
      <w:tr>
        <w:trPr>
          <w:trHeight w:val="216"/>
        </w:trPr>
        <w:tc>
          <w:tcPr>
            <w:tcW w:w="2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West (1):</w:t>
            </w:r>
          </w:p>
        </w:tc>
        <w:tc>
          <w:tcPr>
            <w:tcW w:w="10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Dollars</w:t>
            </w: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379,146</w:t>
            </w:r>
          </w:p>
        </w:tc>
        <w:tc>
          <w:tcPr>
            <w:tcW w:w="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360,952</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726,181</w:t>
            </w:r>
          </w:p>
        </w:tc>
        <w:tc>
          <w:tcPr>
            <w:tcW w:w="4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676,484</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367,249</w:t>
            </w:r>
          </w:p>
        </w:tc>
        <w:tc>
          <w:tcPr>
            <w:tcW w:w="4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325,472</w:t>
            </w:r>
          </w:p>
        </w:tc>
      </w:tr>
      <w:tr>
        <w:trPr>
          <w:trHeight w:val="216"/>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homes</w:t>
            </w:r>
          </w:p>
        </w:tc>
        <w:tc>
          <w:tcPr>
            <w:tcW w:w="10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w:t>
            </w:r>
          </w:p>
        </w:tc>
      </w:tr>
      <w:tr>
        <w:trPr>
          <w:trHeight w:val="216"/>
        </w:trPr>
        <w:tc>
          <w:tcPr>
            <w:tcW w:w="2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 subtotal:</w:t>
            </w:r>
          </w:p>
        </w:tc>
        <w:tc>
          <w:tcPr>
            <w:tcW w:w="10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Dollars</w:t>
            </w: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759,928</w:t>
            </w:r>
          </w:p>
        </w:tc>
        <w:tc>
          <w:tcPr>
            <w:tcW w:w="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706,619</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1,424,763</w:t>
            </w:r>
          </w:p>
        </w:tc>
        <w:tc>
          <w:tcPr>
            <w:tcW w:w="4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1,349,886</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938,395</w:t>
            </w:r>
          </w:p>
        </w:tc>
        <w:tc>
          <w:tcPr>
            <w:tcW w:w="4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988,226</w:t>
            </w:r>
          </w:p>
        </w:tc>
      </w:tr>
      <w:tr>
        <w:trPr>
          <w:trHeight w:val="216"/>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homes</w:t>
            </w:r>
          </w:p>
        </w:tc>
        <w:tc>
          <w:tcPr>
            <w:tcW w:w="10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w:t>
            </w: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2,654</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2,603</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w:t>
            </w:r>
          </w:p>
        </w:tc>
      </w:tr>
      <w:tr>
        <w:trPr>
          <w:trHeight w:val="216"/>
        </w:trPr>
        <w:tc>
          <w:tcPr>
            <w:tcW w:w="2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KSA:</w:t>
            </w:r>
          </w:p>
        </w:tc>
        <w:tc>
          <w:tcPr>
            <w:tcW w:w="10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Dollars</w:t>
            </w: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4,497</w:t>
            </w:r>
          </w:p>
        </w:tc>
        <w:tc>
          <w:tcPr>
            <w:tcW w:w="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4,497</w:t>
            </w:r>
          </w:p>
        </w:tc>
        <w:tc>
          <w:tcPr>
            <w:tcW w:w="4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185,964</w:t>
            </w:r>
          </w:p>
        </w:tc>
        <w:tc>
          <w:tcPr>
            <w:tcW w:w="4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homes</w:t>
            </w:r>
          </w:p>
        </w:tc>
        <w:tc>
          <w:tcPr>
            <w:tcW w:w="10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total (1):</w:t>
            </w:r>
          </w:p>
        </w:tc>
        <w:tc>
          <w:tcPr>
            <w:tcW w:w="10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Dollars</w:t>
            </w: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764,425</w:t>
            </w:r>
          </w:p>
        </w:tc>
        <w:tc>
          <w:tcPr>
            <w:tcW w:w="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706,619</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1,429,260</w:t>
            </w:r>
          </w:p>
        </w:tc>
        <w:tc>
          <w:tcPr>
            <w:tcW w:w="4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1,349,886</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1,124,359</w:t>
            </w:r>
          </w:p>
        </w:tc>
        <w:tc>
          <w:tcPr>
            <w:tcW w:w="4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988,226</w:t>
            </w:r>
          </w:p>
        </w:tc>
      </w:tr>
      <w:tr>
        <w:trPr>
          <w:trHeight w:val="216"/>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homes</w:t>
            </w:r>
          </w:p>
        </w:tc>
        <w:tc>
          <w:tcPr>
            <w:tcW w:w="10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w:t>
            </w: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2,673</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2,603</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2,378</w:t>
            </w: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w:t>
            </w:r>
          </w:p>
        </w:tc>
      </w:tr>
    </w:tbl>
    <w:p>
      <w:pPr>
        <w:spacing w:after="0" w:line="196" w:lineRule="exact"/>
        <w:rPr>
          <w:sz w:val="20"/>
          <w:szCs w:val="20"/>
          <w:color w:val="auto"/>
        </w:rPr>
      </w:pPr>
    </w:p>
    <w:p>
      <w:pPr>
        <w:ind w:right="40" w:firstLine="8"/>
        <w:spacing w:after="0" w:line="284" w:lineRule="auto"/>
        <w:tabs>
          <w:tab w:leader="none" w:pos="2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Excludes eight consolidated homes and $5.0 million of contract backlog related to the assets and liabilities contributed from the West segment to a joint venture we entered into during the three months ended January 31, 2025.</w:t>
      </w:r>
    </w:p>
    <w:p>
      <w:pPr>
        <w:spacing w:after="0" w:line="133" w:lineRule="exact"/>
        <w:rPr>
          <w:sz w:val="20"/>
          <w:szCs w:val="20"/>
          <w:color w:val="auto"/>
        </w:rPr>
      </w:pPr>
    </w:p>
    <w:p>
      <w:pPr>
        <w:ind w:right="320" w:firstLine="810"/>
        <w:spacing w:after="0" w:line="266" w:lineRule="auto"/>
        <w:rPr>
          <w:sz w:val="20"/>
          <w:szCs w:val="20"/>
          <w:color w:val="auto"/>
        </w:rPr>
      </w:pPr>
      <w:r>
        <w:rPr>
          <w:rFonts w:ascii="Times New Roman" w:cs="Times New Roman" w:eastAsia="Times New Roman" w:hAnsi="Times New Roman"/>
          <w:sz w:val="18"/>
          <w:szCs w:val="18"/>
          <w:color w:val="auto"/>
        </w:rPr>
        <w:t xml:space="preserve">Domestic contract backlog dollars decreased 5.0% as of April 30, 2026 compared to April 30, 2025, and the number of homes in domestic backlog decreased 5.7% </w:t>
      </w:r>
      <w:r>
        <w:rPr>
          <w:rFonts w:ascii="Times New Roman" w:cs="Times New Roman" w:eastAsia="Times New Roman" w:hAnsi="Times New Roman"/>
          <w:sz w:val="18"/>
          <w:szCs w:val="18"/>
          <w:color w:val="212529"/>
        </w:rPr>
        <w:t>for the same period</w:t>
      </w:r>
      <w:r>
        <w:rPr>
          <w:rFonts w:ascii="Times New Roman" w:cs="Times New Roman" w:eastAsia="Times New Roman" w:hAnsi="Times New Roman"/>
          <w:sz w:val="18"/>
          <w:szCs w:val="18"/>
          <w:color w:val="auto"/>
        </w:rPr>
        <w:t>. The decrease in domestic contract backlog dollars and number of homes as of April 30, 2026 compared to April 30, 2025, was primarily driven by an increase in sales of QMI homes and improved domestic contract backlog conversion.</w:t>
      </w:r>
    </w:p>
    <w:p>
      <w:pPr>
        <w:spacing w:after="0" w:line="13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i w:val="1"/>
          <w:iCs w:val="1"/>
          <w:color w:val="auto"/>
        </w:rPr>
        <w:t>Homebuilding: Results by Reportable Segment</w:t>
      </w:r>
    </w:p>
    <w:p>
      <w:pPr>
        <w:spacing w:after="0" w:line="18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Financial information relating to our homebuilding operations by reportable segment was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9"/>
              </w:rPr>
              <w:t>Three Months Ended April 30,</w:t>
            </w:r>
          </w:p>
        </w:tc>
        <w:tc>
          <w:tcPr>
            <w:tcW w:w="1300" w:type="dxa"/>
            <w:vAlign w:val="bottom"/>
            <w:tcBorders>
              <w:bottom w:val="single" w:sz="8" w:color="auto"/>
            </w:tcBorders>
          </w:tcPr>
          <w:p>
            <w:pPr>
              <w:spacing w:after="0"/>
              <w:rPr>
                <w:sz w:val="20"/>
                <w:szCs w:val="20"/>
                <w:color w:val="auto"/>
              </w:rPr>
            </w:pPr>
          </w:p>
        </w:tc>
      </w:tr>
      <w:tr>
        <w:trPr>
          <w:trHeight w:val="210"/>
        </w:trPr>
        <w:tc>
          <w:tcPr>
            <w:tcW w:w="4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(Dollars in thousands, except average sales price)</w:t>
            </w:r>
          </w:p>
        </w:tc>
        <w:tc>
          <w:tcPr>
            <w:tcW w:w="1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1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Variance %</w:t>
            </w:r>
          </w:p>
        </w:tc>
      </w:tr>
      <w:tr>
        <w:trPr>
          <w:trHeight w:val="209"/>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Northeast</w:t>
            </w:r>
          </w:p>
        </w:tc>
        <w:tc>
          <w:tcPr>
            <w:tcW w:w="1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29"/>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Homebuilding revenue</w:t>
            </w: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252,083</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257,281</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(5,198)</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3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41,010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37,519</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3,491</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9.3 %</w:t>
            </w:r>
          </w:p>
        </w:tc>
      </w:tr>
      <w:tr>
        <w:trPr>
          <w:trHeight w:val="229"/>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Homes delivered</w:t>
            </w:r>
          </w:p>
        </w:tc>
        <w:tc>
          <w:tcPr>
            <w:tcW w:w="1380" w:type="dxa"/>
            <w:vAlign w:val="bottom"/>
          </w:tcPr>
          <w:p>
            <w:pPr>
              <w:spacing w:after="0"/>
              <w:rPr>
                <w:sz w:val="19"/>
                <w:szCs w:val="19"/>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386</w:t>
            </w:r>
          </w:p>
        </w:tc>
        <w:tc>
          <w:tcPr>
            <w:tcW w:w="280" w:type="dxa"/>
            <w:vAlign w:val="bottom"/>
          </w:tcPr>
          <w:p>
            <w:pPr>
              <w:spacing w:after="0"/>
              <w:rPr>
                <w:sz w:val="19"/>
                <w:szCs w:val="19"/>
                <w:color w:val="auto"/>
              </w:rPr>
            </w:pP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450</w:t>
            </w:r>
          </w:p>
        </w:tc>
        <w:tc>
          <w:tcPr>
            <w:tcW w:w="320" w:type="dxa"/>
            <w:vAlign w:val="bottom"/>
          </w:tcPr>
          <w:p>
            <w:pPr>
              <w:spacing w:after="0"/>
              <w:rPr>
                <w:sz w:val="19"/>
                <w:szCs w:val="19"/>
                <w:color w:val="auto"/>
              </w:rPr>
            </w:pP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(64)</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158"/>
        </w:trPr>
        <w:tc>
          <w:tcPr>
            <w:tcW w:w="470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r>
    </w:tbl>
    <w:p>
      <w:pPr>
        <w:sectPr>
          <w:pgSz w:w="11900" w:h="16900" w:orient="portrait"/>
          <w:cols w:equalWidth="0" w:num="1">
            <w:col w:w="11240"/>
          </w:cols>
          <w:pgMar w:left="320" w:top="121" w:right="339" w:bottom="0" w:gutter="0" w:footer="0" w:header="0"/>
        </w:sectPr>
      </w:pPr>
    </w:p>
    <w:bookmarkStart w:id="29" w:name="page30"/>
    <w:bookmarkEnd w:id="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sales price</w:t>
            </w:r>
          </w:p>
        </w:tc>
        <w:tc>
          <w:tcPr>
            <w:tcW w:w="15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561,435</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569,811</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(8,376)</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r>
      <w:tr>
        <w:trPr>
          <w:trHeight w:val="230"/>
        </w:trPr>
        <w:tc>
          <w:tcPr>
            <w:tcW w:w="128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Southeast</w:t>
            </w:r>
          </w:p>
        </w:tc>
        <w:tc>
          <w:tcPr>
            <w:tcW w:w="15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Homebuilding revenue</w:t>
            </w: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73,226</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74,676</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(1,450)</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9"/>
                <w:szCs w:val="19"/>
                <w:color w:val="auto"/>
              </w:rPr>
            </w:pPr>
          </w:p>
        </w:tc>
      </w:tr>
      <w:tr>
        <w:trPr>
          <w:trHeight w:val="230"/>
        </w:trPr>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15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(5,054)</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1,160</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(6,214)</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(535.7)%</w:t>
            </w:r>
          </w:p>
        </w:tc>
        <w:tc>
          <w:tcPr>
            <w:tcW w:w="20" w:type="dxa"/>
            <w:vAlign w:val="bottom"/>
          </w:tcPr>
          <w:p>
            <w:pPr>
              <w:spacing w:after="0"/>
              <w:rPr>
                <w:sz w:val="19"/>
                <w:szCs w:val="19"/>
                <w:color w:val="auto"/>
              </w:rPr>
            </w:pPr>
          </w:p>
        </w:tc>
      </w:tr>
      <w:tr>
        <w:trPr>
          <w:trHeight w:val="229"/>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Homes delivered</w:t>
            </w:r>
          </w:p>
        </w:tc>
        <w:tc>
          <w:tcPr>
            <w:tcW w:w="1500" w:type="dxa"/>
            <w:vAlign w:val="bottom"/>
          </w:tcPr>
          <w:p>
            <w:pPr>
              <w:spacing w:after="0"/>
              <w:rPr>
                <w:sz w:val="19"/>
                <w:szCs w:val="19"/>
                <w:color w:val="auto"/>
              </w:rPr>
            </w:pPr>
          </w:p>
        </w:tc>
        <w:tc>
          <w:tcPr>
            <w:tcW w:w="10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149</w:t>
            </w:r>
          </w:p>
        </w:tc>
        <w:tc>
          <w:tcPr>
            <w:tcW w:w="280" w:type="dxa"/>
            <w:vAlign w:val="bottom"/>
          </w:tcPr>
          <w:p>
            <w:pPr>
              <w:spacing w:after="0"/>
              <w:rPr>
                <w:sz w:val="19"/>
                <w:szCs w:val="19"/>
                <w:color w:val="auto"/>
              </w:rPr>
            </w:pP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153</w:t>
            </w:r>
          </w:p>
        </w:tc>
        <w:tc>
          <w:tcPr>
            <w:tcW w:w="320" w:type="dxa"/>
            <w:vAlign w:val="bottom"/>
          </w:tcPr>
          <w:p>
            <w:pPr>
              <w:spacing w:after="0"/>
              <w:rPr>
                <w:sz w:val="19"/>
                <w:szCs w:val="19"/>
                <w:color w:val="auto"/>
              </w:rPr>
            </w:pP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9"/>
                <w:szCs w:val="19"/>
                <w:color w:val="auto"/>
              </w:rPr>
            </w:pPr>
          </w:p>
        </w:tc>
      </w:tr>
      <w:tr>
        <w:trPr>
          <w:trHeight w:val="229"/>
        </w:trPr>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sales price</w:t>
            </w:r>
          </w:p>
        </w:tc>
        <w:tc>
          <w:tcPr>
            <w:tcW w:w="15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491,228</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487,601</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3,627</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20" w:type="dxa"/>
            <w:vAlign w:val="bottom"/>
          </w:tcPr>
          <w:p>
            <w:pPr>
              <w:spacing w:after="0"/>
              <w:rPr>
                <w:sz w:val="19"/>
                <w:szCs w:val="19"/>
                <w:color w:val="auto"/>
              </w:rPr>
            </w:pPr>
          </w:p>
        </w:tc>
      </w:tr>
      <w:tr>
        <w:trPr>
          <w:trHeight w:val="230"/>
        </w:trPr>
        <w:tc>
          <w:tcPr>
            <w:tcW w:w="128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West</w:t>
            </w:r>
          </w:p>
        </w:tc>
        <w:tc>
          <w:tcPr>
            <w:tcW w:w="15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Homebuilding revenue</w:t>
            </w: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316,692</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332,385</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(15,693)</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tcPr>
          <w:p>
            <w:pPr>
              <w:spacing w:after="0"/>
              <w:rPr>
                <w:sz w:val="19"/>
                <w:szCs w:val="19"/>
                <w:color w:val="auto"/>
              </w:rPr>
            </w:pPr>
          </w:p>
        </w:tc>
      </w:tr>
      <w:tr>
        <w:trPr>
          <w:trHeight w:val="229"/>
        </w:trPr>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15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(11,323)</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13,310</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(24,633)</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w:t>
            </w:r>
          </w:p>
        </w:tc>
        <w:tc>
          <w:tcPr>
            <w:tcW w:w="20" w:type="dxa"/>
            <w:vAlign w:val="bottom"/>
          </w:tcPr>
          <w:p>
            <w:pPr>
              <w:spacing w:after="0"/>
              <w:rPr>
                <w:sz w:val="19"/>
                <w:szCs w:val="19"/>
                <w:color w:val="auto"/>
              </w:rPr>
            </w:pPr>
          </w:p>
        </w:tc>
      </w:tr>
      <w:tr>
        <w:trPr>
          <w:trHeight w:val="229"/>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Homes delivered</w:t>
            </w:r>
          </w:p>
        </w:tc>
        <w:tc>
          <w:tcPr>
            <w:tcW w:w="1500" w:type="dxa"/>
            <w:vAlign w:val="bottom"/>
          </w:tcPr>
          <w:p>
            <w:pPr>
              <w:spacing w:after="0"/>
              <w:rPr>
                <w:sz w:val="19"/>
                <w:szCs w:val="19"/>
                <w:color w:val="auto"/>
              </w:rPr>
            </w:pPr>
          </w:p>
        </w:tc>
        <w:tc>
          <w:tcPr>
            <w:tcW w:w="10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599</w:t>
            </w:r>
          </w:p>
        </w:tc>
        <w:tc>
          <w:tcPr>
            <w:tcW w:w="280" w:type="dxa"/>
            <w:vAlign w:val="bottom"/>
          </w:tcPr>
          <w:p>
            <w:pPr>
              <w:spacing w:after="0"/>
              <w:rPr>
                <w:sz w:val="19"/>
                <w:szCs w:val="19"/>
                <w:color w:val="auto"/>
              </w:rPr>
            </w:pP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682</w:t>
            </w:r>
          </w:p>
        </w:tc>
        <w:tc>
          <w:tcPr>
            <w:tcW w:w="320" w:type="dxa"/>
            <w:vAlign w:val="bottom"/>
          </w:tcPr>
          <w:p>
            <w:pPr>
              <w:spacing w:after="0"/>
              <w:rPr>
                <w:sz w:val="19"/>
                <w:szCs w:val="19"/>
                <w:color w:val="auto"/>
              </w:rPr>
            </w:pP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(83)</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0" w:type="dxa"/>
            <w:vAlign w:val="bottom"/>
          </w:tcPr>
          <w:p>
            <w:pPr>
              <w:spacing w:after="0"/>
              <w:rPr>
                <w:sz w:val="19"/>
                <w:szCs w:val="19"/>
                <w:color w:val="auto"/>
              </w:rPr>
            </w:pPr>
          </w:p>
        </w:tc>
      </w:tr>
      <w:tr>
        <w:trPr>
          <w:trHeight w:val="230"/>
        </w:trPr>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sales price</w:t>
            </w:r>
          </w:p>
        </w:tc>
        <w:tc>
          <w:tcPr>
            <w:tcW w:w="15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524,676</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468,176</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56,500</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12.1 %</w:t>
            </w:r>
          </w:p>
        </w:tc>
        <w:tc>
          <w:tcPr>
            <w:tcW w:w="20" w:type="dxa"/>
            <w:vAlign w:val="bottom"/>
          </w:tcPr>
          <w:p>
            <w:pPr>
              <w:spacing w:after="0"/>
              <w:rPr>
                <w:sz w:val="19"/>
                <w:szCs w:val="19"/>
                <w:color w:val="auto"/>
              </w:rPr>
            </w:pPr>
          </w:p>
        </w:tc>
      </w:tr>
      <w:tr>
        <w:trPr>
          <w:trHeight w:val="432"/>
        </w:trPr>
        <w:tc>
          <w:tcPr>
            <w:tcW w:w="12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5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36</w:t>
            </w: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3"/>
        </w:trPr>
        <w:tc>
          <w:tcPr>
            <w:tcW w:w="1280" w:type="dxa"/>
            <w:vAlign w:val="bottom"/>
            <w:tcBorders>
              <w:bottom w:val="single" w:sz="8" w:color="9A9A9A"/>
            </w:tcBorders>
          </w:tcPr>
          <w:p>
            <w:pPr>
              <w:spacing w:after="0"/>
              <w:rPr>
                <w:sz w:val="19"/>
                <w:szCs w:val="19"/>
                <w:color w:val="auto"/>
              </w:rPr>
            </w:pPr>
          </w:p>
        </w:tc>
        <w:tc>
          <w:tcPr>
            <w:tcW w:w="3280" w:type="dxa"/>
            <w:vAlign w:val="bottom"/>
            <w:tcBorders>
              <w:bottom w:val="single" w:sz="8" w:color="9A9A9A"/>
            </w:tcBorders>
          </w:tcPr>
          <w:p>
            <w:pPr>
              <w:spacing w:after="0"/>
              <w:rPr>
                <w:sz w:val="19"/>
                <w:szCs w:val="19"/>
                <w:color w:val="auto"/>
              </w:rPr>
            </w:pPr>
          </w:p>
        </w:tc>
        <w:tc>
          <w:tcPr>
            <w:tcW w:w="1500" w:type="dxa"/>
            <w:vAlign w:val="bottom"/>
            <w:tcBorders>
              <w:bottom w:val="single" w:sz="8" w:color="9A9A9A"/>
            </w:tcBorders>
          </w:tcPr>
          <w:p>
            <w:pPr>
              <w:spacing w:after="0"/>
              <w:rPr>
                <w:sz w:val="19"/>
                <w:szCs w:val="19"/>
                <w:color w:val="auto"/>
              </w:rPr>
            </w:pPr>
          </w:p>
        </w:tc>
        <w:tc>
          <w:tcPr>
            <w:tcW w:w="1040" w:type="dxa"/>
            <w:vAlign w:val="bottom"/>
            <w:tcBorders>
              <w:bottom w:val="single" w:sz="8" w:color="9A9A9A"/>
            </w:tcBorders>
          </w:tcPr>
          <w:p>
            <w:pPr>
              <w:spacing w:after="0"/>
              <w:rPr>
                <w:sz w:val="19"/>
                <w:szCs w:val="19"/>
                <w:color w:val="auto"/>
              </w:rPr>
            </w:pPr>
          </w:p>
        </w:tc>
        <w:tc>
          <w:tcPr>
            <w:tcW w:w="280" w:type="dxa"/>
            <w:vAlign w:val="bottom"/>
            <w:tcBorders>
              <w:bottom w:val="single" w:sz="8" w:color="9A9A9A"/>
            </w:tcBorders>
          </w:tcPr>
          <w:p>
            <w:pPr>
              <w:spacing w:after="0"/>
              <w:rPr>
                <w:sz w:val="19"/>
                <w:szCs w:val="19"/>
                <w:color w:val="auto"/>
              </w:rPr>
            </w:pPr>
          </w:p>
        </w:tc>
        <w:tc>
          <w:tcPr>
            <w:tcW w:w="1100" w:type="dxa"/>
            <w:vAlign w:val="bottom"/>
            <w:tcBorders>
              <w:bottom w:val="single" w:sz="8" w:color="9A9A9A"/>
            </w:tcBorders>
          </w:tcPr>
          <w:p>
            <w:pPr>
              <w:spacing w:after="0"/>
              <w:rPr>
                <w:sz w:val="19"/>
                <w:szCs w:val="19"/>
                <w:color w:val="auto"/>
              </w:rPr>
            </w:pPr>
          </w:p>
        </w:tc>
        <w:tc>
          <w:tcPr>
            <w:tcW w:w="320" w:type="dxa"/>
            <w:vAlign w:val="bottom"/>
            <w:tcBorders>
              <w:bottom w:val="single" w:sz="8" w:color="9A9A9A"/>
            </w:tcBorders>
          </w:tcPr>
          <w:p>
            <w:pPr>
              <w:spacing w:after="0"/>
              <w:rPr>
                <w:sz w:val="19"/>
                <w:szCs w:val="19"/>
                <w:color w:val="auto"/>
              </w:rPr>
            </w:pPr>
          </w:p>
        </w:tc>
        <w:tc>
          <w:tcPr>
            <w:tcW w:w="1160" w:type="dxa"/>
            <w:vAlign w:val="bottom"/>
            <w:tcBorders>
              <w:bottom w:val="single" w:sz="8" w:color="9A9A9A"/>
            </w:tcBorders>
          </w:tcPr>
          <w:p>
            <w:pPr>
              <w:spacing w:after="0"/>
              <w:rPr>
                <w:sz w:val="19"/>
                <w:szCs w:val="19"/>
                <w:color w:val="auto"/>
              </w:rPr>
            </w:pPr>
          </w:p>
        </w:tc>
        <w:tc>
          <w:tcPr>
            <w:tcW w:w="128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r>
      <w:tr>
        <w:trPr>
          <w:trHeight w:val="391"/>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66"/>
        </w:trPr>
        <w:tc>
          <w:tcPr>
            <w:tcW w:w="1280" w:type="dxa"/>
            <w:vAlign w:val="bottom"/>
            <w:tcBorders>
              <w:top w:val="single" w:sz="8" w:color="0000FF"/>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3"/>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Six Months Ended April 30,</w:t>
            </w:r>
          </w:p>
        </w:tc>
        <w:tc>
          <w:tcPr>
            <w:tcW w:w="12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09"/>
        </w:trPr>
        <w:tc>
          <w:tcPr>
            <w:tcW w:w="4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(Dollars in thousands, except average sales price)</w:t>
            </w:r>
          </w:p>
        </w:tc>
        <w:tc>
          <w:tcPr>
            <w:tcW w:w="15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1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Variance %</w:t>
            </w:r>
          </w:p>
        </w:tc>
        <w:tc>
          <w:tcPr>
            <w:tcW w:w="20" w:type="dxa"/>
            <w:vAlign w:val="bottom"/>
          </w:tcPr>
          <w:p>
            <w:pPr>
              <w:spacing w:after="0"/>
              <w:rPr>
                <w:sz w:val="18"/>
                <w:szCs w:val="18"/>
                <w:color w:val="auto"/>
              </w:rPr>
            </w:pPr>
          </w:p>
        </w:tc>
      </w:tr>
      <w:tr>
        <w:trPr>
          <w:trHeight w:val="209"/>
        </w:trPr>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Northeast</w:t>
            </w:r>
          </w:p>
        </w:tc>
        <w:tc>
          <w:tcPr>
            <w:tcW w:w="15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Homebuilding revenue</w:t>
            </w:r>
          </w:p>
        </w:tc>
        <w:tc>
          <w:tcPr>
            <w:tcW w:w="15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526,680</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541,029</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(14,349)</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9"/>
                <w:szCs w:val="19"/>
                <w:color w:val="auto"/>
              </w:rPr>
            </w:pPr>
          </w:p>
        </w:tc>
      </w:tr>
      <w:tr>
        <w:trPr>
          <w:trHeight w:val="229"/>
        </w:trPr>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5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98,773</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79,793</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18,980</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23.8 %</w:t>
            </w:r>
          </w:p>
        </w:tc>
        <w:tc>
          <w:tcPr>
            <w:tcW w:w="20" w:type="dxa"/>
            <w:vAlign w:val="bottom"/>
          </w:tcPr>
          <w:p>
            <w:pPr>
              <w:spacing w:after="0"/>
              <w:rPr>
                <w:sz w:val="19"/>
                <w:szCs w:val="19"/>
                <w:color w:val="auto"/>
              </w:rPr>
            </w:pPr>
          </w:p>
        </w:tc>
      </w:tr>
      <w:tr>
        <w:trPr>
          <w:trHeight w:val="229"/>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Homes delivered</w:t>
            </w:r>
          </w:p>
        </w:tc>
        <w:tc>
          <w:tcPr>
            <w:tcW w:w="1500" w:type="dxa"/>
            <w:vAlign w:val="bottom"/>
          </w:tcPr>
          <w:p>
            <w:pPr>
              <w:spacing w:after="0"/>
              <w:rPr>
                <w:sz w:val="19"/>
                <w:szCs w:val="19"/>
                <w:color w:val="auto"/>
              </w:rPr>
            </w:pP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803</w:t>
            </w:r>
          </w:p>
        </w:tc>
        <w:tc>
          <w:tcPr>
            <w:tcW w:w="280" w:type="dxa"/>
            <w:vAlign w:val="bottom"/>
          </w:tcPr>
          <w:p>
            <w:pPr>
              <w:spacing w:after="0"/>
              <w:rPr>
                <w:sz w:val="19"/>
                <w:szCs w:val="19"/>
                <w:color w:val="auto"/>
              </w:rPr>
            </w:pP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895</w:t>
            </w:r>
          </w:p>
        </w:tc>
        <w:tc>
          <w:tcPr>
            <w:tcW w:w="320" w:type="dxa"/>
            <w:vAlign w:val="bottom"/>
          </w:tcPr>
          <w:p>
            <w:pPr>
              <w:spacing w:after="0"/>
              <w:rPr>
                <w:sz w:val="19"/>
                <w:szCs w:val="19"/>
                <w:color w:val="auto"/>
              </w:rPr>
            </w:pP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(92)</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0" w:type="dxa"/>
            <w:vAlign w:val="bottom"/>
          </w:tcPr>
          <w:p>
            <w:pPr>
              <w:spacing w:after="0"/>
              <w:rPr>
                <w:sz w:val="19"/>
                <w:szCs w:val="19"/>
                <w:color w:val="auto"/>
              </w:rPr>
            </w:pPr>
          </w:p>
        </w:tc>
      </w:tr>
      <w:tr>
        <w:trPr>
          <w:trHeight w:val="230"/>
        </w:trPr>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sales price</w:t>
            </w:r>
          </w:p>
        </w:tc>
        <w:tc>
          <w:tcPr>
            <w:tcW w:w="15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568,513</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601,188</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(32,675)</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 w:type="dxa"/>
            <w:vAlign w:val="bottom"/>
          </w:tcPr>
          <w:p>
            <w:pPr>
              <w:spacing w:after="0"/>
              <w:rPr>
                <w:sz w:val="19"/>
                <w:szCs w:val="19"/>
                <w:color w:val="auto"/>
              </w:rPr>
            </w:pPr>
          </w:p>
        </w:tc>
      </w:tr>
      <w:tr>
        <w:trPr>
          <w:trHeight w:val="229"/>
        </w:trPr>
        <w:tc>
          <w:tcPr>
            <w:tcW w:w="128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Southeast</w:t>
            </w:r>
          </w:p>
        </w:tc>
        <w:tc>
          <w:tcPr>
            <w:tcW w:w="15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Homebuilding revenue</w:t>
            </w:r>
          </w:p>
        </w:tc>
        <w:tc>
          <w:tcPr>
            <w:tcW w:w="15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147,518</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126,278</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21,240</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16.8 %</w:t>
            </w:r>
          </w:p>
        </w:tc>
        <w:tc>
          <w:tcPr>
            <w:tcW w:w="20" w:type="dxa"/>
            <w:vAlign w:val="bottom"/>
          </w:tcPr>
          <w:p>
            <w:pPr>
              <w:spacing w:after="0"/>
              <w:rPr>
                <w:sz w:val="19"/>
                <w:szCs w:val="19"/>
                <w:color w:val="auto"/>
              </w:rPr>
            </w:pPr>
          </w:p>
        </w:tc>
      </w:tr>
      <w:tr>
        <w:trPr>
          <w:trHeight w:val="230"/>
        </w:trPr>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15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(8,596)</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606</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(9,202)</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(1,518.5)%</w:t>
            </w:r>
          </w:p>
        </w:tc>
        <w:tc>
          <w:tcPr>
            <w:tcW w:w="20" w:type="dxa"/>
            <w:vAlign w:val="bottom"/>
          </w:tcPr>
          <w:p>
            <w:pPr>
              <w:spacing w:after="0"/>
              <w:rPr>
                <w:sz w:val="19"/>
                <w:szCs w:val="19"/>
                <w:color w:val="auto"/>
              </w:rPr>
            </w:pPr>
          </w:p>
        </w:tc>
      </w:tr>
      <w:tr>
        <w:trPr>
          <w:trHeight w:val="230"/>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Homes delivered</w:t>
            </w:r>
          </w:p>
        </w:tc>
        <w:tc>
          <w:tcPr>
            <w:tcW w:w="1500" w:type="dxa"/>
            <w:vAlign w:val="bottom"/>
          </w:tcPr>
          <w:p>
            <w:pPr>
              <w:spacing w:after="0"/>
              <w:rPr>
                <w:sz w:val="19"/>
                <w:szCs w:val="19"/>
                <w:color w:val="auto"/>
              </w:rPr>
            </w:pP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307</w:t>
            </w:r>
          </w:p>
        </w:tc>
        <w:tc>
          <w:tcPr>
            <w:tcW w:w="280" w:type="dxa"/>
            <w:vAlign w:val="bottom"/>
          </w:tcPr>
          <w:p>
            <w:pPr>
              <w:spacing w:after="0"/>
              <w:rPr>
                <w:sz w:val="19"/>
                <w:szCs w:val="19"/>
                <w:color w:val="auto"/>
              </w:rPr>
            </w:pP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277</w:t>
            </w:r>
          </w:p>
        </w:tc>
        <w:tc>
          <w:tcPr>
            <w:tcW w:w="320" w:type="dxa"/>
            <w:vAlign w:val="bottom"/>
          </w:tcPr>
          <w:p>
            <w:pPr>
              <w:spacing w:after="0"/>
              <w:rPr>
                <w:sz w:val="19"/>
                <w:szCs w:val="19"/>
                <w:color w:val="auto"/>
              </w:rPr>
            </w:pPr>
          </w:p>
        </w:tc>
        <w:tc>
          <w:tcPr>
            <w:tcW w:w="11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30</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10.8 %</w:t>
            </w:r>
          </w:p>
        </w:tc>
        <w:tc>
          <w:tcPr>
            <w:tcW w:w="20" w:type="dxa"/>
            <w:vAlign w:val="bottom"/>
          </w:tcPr>
          <w:p>
            <w:pPr>
              <w:spacing w:after="0"/>
              <w:rPr>
                <w:sz w:val="19"/>
                <w:szCs w:val="19"/>
                <w:color w:val="auto"/>
              </w:rPr>
            </w:pPr>
          </w:p>
        </w:tc>
      </w:tr>
      <w:tr>
        <w:trPr>
          <w:trHeight w:val="229"/>
        </w:trPr>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sales price</w:t>
            </w:r>
          </w:p>
        </w:tc>
        <w:tc>
          <w:tcPr>
            <w:tcW w:w="15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480,208</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455,018</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25,190</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20" w:type="dxa"/>
            <w:vAlign w:val="bottom"/>
          </w:tcPr>
          <w:p>
            <w:pPr>
              <w:spacing w:after="0"/>
              <w:rPr>
                <w:sz w:val="19"/>
                <w:szCs w:val="19"/>
                <w:color w:val="auto"/>
              </w:rPr>
            </w:pPr>
          </w:p>
        </w:tc>
      </w:tr>
      <w:tr>
        <w:trPr>
          <w:trHeight w:val="230"/>
        </w:trPr>
        <w:tc>
          <w:tcPr>
            <w:tcW w:w="128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West</w:t>
            </w:r>
          </w:p>
        </w:tc>
        <w:tc>
          <w:tcPr>
            <w:tcW w:w="15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Homebuilding revenue</w:t>
            </w:r>
          </w:p>
        </w:tc>
        <w:tc>
          <w:tcPr>
            <w:tcW w:w="15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578,749</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652,339</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(73,590)</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0" w:type="dxa"/>
            <w:vAlign w:val="bottom"/>
          </w:tcPr>
          <w:p>
            <w:pPr>
              <w:spacing w:after="0"/>
              <w:rPr>
                <w:sz w:val="19"/>
                <w:szCs w:val="19"/>
                <w:color w:val="auto"/>
              </w:rPr>
            </w:pPr>
          </w:p>
        </w:tc>
      </w:tr>
      <w:tr>
        <w:trPr>
          <w:trHeight w:val="229"/>
        </w:trPr>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15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(22,718)</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22,413</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(45,131)</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w:t>
            </w:r>
          </w:p>
        </w:tc>
        <w:tc>
          <w:tcPr>
            <w:tcW w:w="20" w:type="dxa"/>
            <w:vAlign w:val="bottom"/>
          </w:tcPr>
          <w:p>
            <w:pPr>
              <w:spacing w:after="0"/>
              <w:rPr>
                <w:sz w:val="19"/>
                <w:szCs w:val="19"/>
                <w:color w:val="auto"/>
              </w:rPr>
            </w:pPr>
          </w:p>
        </w:tc>
      </w:tr>
      <w:tr>
        <w:trPr>
          <w:trHeight w:val="230"/>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Homes delivered</w:t>
            </w:r>
          </w:p>
        </w:tc>
        <w:tc>
          <w:tcPr>
            <w:tcW w:w="1500" w:type="dxa"/>
            <w:vAlign w:val="bottom"/>
          </w:tcPr>
          <w:p>
            <w:pPr>
              <w:spacing w:after="0"/>
              <w:rPr>
                <w:sz w:val="19"/>
                <w:szCs w:val="19"/>
                <w:color w:val="auto"/>
              </w:rPr>
            </w:pP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1,123</w:t>
            </w:r>
          </w:p>
        </w:tc>
        <w:tc>
          <w:tcPr>
            <w:tcW w:w="280" w:type="dxa"/>
            <w:vAlign w:val="bottom"/>
          </w:tcPr>
          <w:p>
            <w:pPr>
              <w:spacing w:after="0"/>
              <w:rPr>
                <w:sz w:val="19"/>
                <w:szCs w:val="19"/>
                <w:color w:val="auto"/>
              </w:rPr>
            </w:pP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1,367</w:t>
            </w:r>
          </w:p>
        </w:tc>
        <w:tc>
          <w:tcPr>
            <w:tcW w:w="320" w:type="dxa"/>
            <w:vAlign w:val="bottom"/>
          </w:tcPr>
          <w:p>
            <w:pPr>
              <w:spacing w:after="0"/>
              <w:rPr>
                <w:sz w:val="19"/>
                <w:szCs w:val="19"/>
                <w:color w:val="auto"/>
              </w:rPr>
            </w:pP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(244)</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0" w:type="dxa"/>
            <w:vAlign w:val="bottom"/>
          </w:tcPr>
          <w:p>
            <w:pPr>
              <w:spacing w:after="0"/>
              <w:rPr>
                <w:sz w:val="19"/>
                <w:szCs w:val="19"/>
                <w:color w:val="auto"/>
              </w:rPr>
            </w:pPr>
          </w:p>
        </w:tc>
      </w:tr>
      <w:tr>
        <w:trPr>
          <w:trHeight w:val="230"/>
        </w:trPr>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sales price</w:t>
            </w:r>
          </w:p>
        </w:tc>
        <w:tc>
          <w:tcPr>
            <w:tcW w:w="15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512,918</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463,149</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49,769</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10.7 %</w:t>
            </w: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-3209290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-3209290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176" w:lineRule="exact"/>
        <w:rPr>
          <w:sz w:val="20"/>
          <w:szCs w:val="20"/>
          <w:color w:val="auto"/>
        </w:rPr>
      </w:pPr>
    </w:p>
    <w:p>
      <w:pPr>
        <w:ind w:right="100" w:firstLine="81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Northeast - </w:t>
      </w:r>
      <w:r>
        <w:rPr>
          <w:rFonts w:ascii="Times New Roman" w:cs="Times New Roman" w:eastAsia="Times New Roman" w:hAnsi="Times New Roman"/>
          <w:sz w:val="18"/>
          <w:szCs w:val="18"/>
          <w:color w:val="auto"/>
        </w:rPr>
        <w:t>Homebuilding revenue decreased 2.0% for the three months ended April 30, 2026 compared to the same period in the prior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decrease for the three months ended April 30, 2026 was attributed to a 14.2% decrease in homes delivered and a 1.5% decrease in average sales price, partially offset by a $34.5 million increase in land sales and other revenue. The decrease in average sales price was the result of new communities delivering lower priced, smaller single family homes and townhomes in lower-end submarkets of the segment for the three months ended April 30, 2026 compared to some communities delivering higher priced, larger single family homes and townhomes in higher-end submarkets of the segment for the three months ended April 30, 2025, which were no longer delivering in the second quarter of the current year.</w:t>
      </w:r>
    </w:p>
    <w:p>
      <w:pPr>
        <w:spacing w:after="0" w:line="184" w:lineRule="exact"/>
        <w:rPr>
          <w:sz w:val="20"/>
          <w:szCs w:val="20"/>
          <w:color w:val="auto"/>
        </w:rPr>
      </w:pPr>
    </w:p>
    <w:p>
      <w:pPr>
        <w:ind w:right="160" w:firstLine="810"/>
        <w:spacing w:after="0" w:line="266" w:lineRule="auto"/>
        <w:rPr>
          <w:sz w:val="20"/>
          <w:szCs w:val="20"/>
          <w:color w:val="auto"/>
        </w:rPr>
      </w:pPr>
      <w:r>
        <w:rPr>
          <w:rFonts w:ascii="Times New Roman" w:cs="Times New Roman" w:eastAsia="Times New Roman" w:hAnsi="Times New Roman"/>
          <w:sz w:val="18"/>
          <w:szCs w:val="18"/>
          <w:color w:val="auto"/>
        </w:rPr>
        <w:t>Income before income taxes increased $3.5 million to $41.0 million for the three months ended April 30, 2026 as compared to the same period in the prior year. This was primarily due to the $34.5 million increase in land sales and other revenue, partially offset by a decrease in gross margin percentage. For a discussion of gross margin see “Homebuilding: Cost of Sales” above.</w:t>
      </w:r>
    </w:p>
    <w:p>
      <w:pPr>
        <w:spacing w:after="0" w:line="176" w:lineRule="exact"/>
        <w:rPr>
          <w:sz w:val="20"/>
          <w:szCs w:val="20"/>
          <w:color w:val="auto"/>
        </w:rPr>
      </w:pPr>
    </w:p>
    <w:p>
      <w:pPr>
        <w:ind w:right="80" w:firstLine="810"/>
        <w:spacing w:after="0" w:line="256" w:lineRule="auto"/>
        <w:rPr>
          <w:sz w:val="20"/>
          <w:szCs w:val="20"/>
          <w:color w:val="auto"/>
        </w:rPr>
      </w:pPr>
      <w:r>
        <w:rPr>
          <w:rFonts w:ascii="Times New Roman" w:cs="Times New Roman" w:eastAsia="Times New Roman" w:hAnsi="Times New Roman"/>
          <w:sz w:val="18"/>
          <w:szCs w:val="18"/>
          <w:color w:val="auto"/>
        </w:rPr>
        <w:t>Homebuilding revenue decreased 2.7% for the six months ended April 30, 2026 compared to the same period in the prior year. The decrease for the six months ended April 30, 2026 was attributed to a 10.3% decrease in homes delivered and a 5.4% decrease in average sales price, partially offset by a $67.2 million increase in land sales and other revenue. The decrease in the average sales price was the result of new communities delivering lower priced, smaller single family homes, townhomes and affordable-housing homes in lower-end submarkets of the segment for the six months ended April 30, 2026 compared to some communities delivering higher priced, larger single family homes and townhomes in higher-end submarkets of the segment for the six months ended April 30, 2025, which we are no longer delivering in the current year.</w:t>
      </w:r>
    </w:p>
    <w:p>
      <w:pPr>
        <w:spacing w:after="0" w:line="187" w:lineRule="exact"/>
        <w:rPr>
          <w:sz w:val="20"/>
          <w:szCs w:val="20"/>
          <w:color w:val="auto"/>
        </w:rPr>
      </w:pPr>
    </w:p>
    <w:p>
      <w:pPr>
        <w:ind w:right="40" w:firstLine="810"/>
        <w:spacing w:after="0" w:line="266" w:lineRule="auto"/>
        <w:rPr>
          <w:sz w:val="20"/>
          <w:szCs w:val="20"/>
          <w:color w:val="auto"/>
        </w:rPr>
      </w:pPr>
      <w:r>
        <w:rPr>
          <w:rFonts w:ascii="Times New Roman" w:cs="Times New Roman" w:eastAsia="Times New Roman" w:hAnsi="Times New Roman"/>
          <w:sz w:val="18"/>
          <w:szCs w:val="18"/>
          <w:color w:val="auto"/>
        </w:rPr>
        <w:t>Income before income taxes increased $19.0 million to $98.8 million for the six months ended April 30, 2026 as compared to the same period in the prior year. This was primarily due to the $67.2 million increase in land sales and other revenue discussed above, partially offset by a decrease in gross margin percentage.</w:t>
      </w:r>
    </w:p>
    <w:p>
      <w:pPr>
        <w:spacing w:after="0" w:line="174" w:lineRule="exact"/>
        <w:rPr>
          <w:sz w:val="20"/>
          <w:szCs w:val="20"/>
          <w:color w:val="auto"/>
        </w:rPr>
      </w:pPr>
    </w:p>
    <w:p>
      <w:pPr>
        <w:ind w:right="160" w:firstLine="81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Southeast </w:t>
      </w:r>
      <w:r>
        <w:rPr>
          <w:rFonts w:ascii="Times New Roman" w:cs="Times New Roman" w:eastAsia="Times New Roman" w:hAnsi="Times New Roman"/>
          <w:sz w:val="18"/>
          <w:szCs w:val="18"/>
          <w:color w:val="auto"/>
        </w:rPr>
        <w:t>– Homebuilding revenue decreased 1.9% for the three months ended April 30, 2026 compared to the same period in the prior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decrease for the three months ended April 30, 2026 was attributed to a 2.6% decrease in homes delivered, while the average sales price was relatively flat with a 0.7% increase.</w:t>
      </w:r>
    </w:p>
    <w:p>
      <w:pPr>
        <w:spacing w:after="0" w:line="175" w:lineRule="exact"/>
        <w:rPr>
          <w:sz w:val="20"/>
          <w:szCs w:val="20"/>
          <w:color w:val="auto"/>
        </w:rPr>
      </w:pPr>
    </w:p>
    <w:p>
      <w:pPr>
        <w:ind w:right="100" w:firstLine="810"/>
        <w:spacing w:after="0" w:line="261" w:lineRule="auto"/>
        <w:rPr>
          <w:sz w:val="20"/>
          <w:szCs w:val="20"/>
          <w:color w:val="auto"/>
        </w:rPr>
      </w:pPr>
      <w:r>
        <w:rPr>
          <w:rFonts w:ascii="Times New Roman" w:cs="Times New Roman" w:eastAsia="Times New Roman" w:hAnsi="Times New Roman"/>
          <w:sz w:val="18"/>
          <w:szCs w:val="18"/>
          <w:color w:val="auto"/>
        </w:rPr>
        <w:t>Income before income taxes decreased $6.2 million to a loss of $5.1 million for the three months ended April 30, 2026 compared to the same period in the prior year. This was primarily due to a $4.0 million increase in inventory impairments and land option write-offs, a $1.8 million decrease in income from unconsolidated joint ventures and a decrease in gross margin percentage. For a discussion of gross margin see “Homebuilding: Cost of Sales” above.</w:t>
      </w:r>
    </w:p>
    <w:p>
      <w:pPr>
        <w:spacing w:after="0" w:line="180" w:lineRule="exact"/>
        <w:rPr>
          <w:sz w:val="20"/>
          <w:szCs w:val="20"/>
          <w:color w:val="auto"/>
        </w:rPr>
      </w:pPr>
    </w:p>
    <w:p>
      <w:pPr>
        <w:ind w:right="300" w:firstLine="816"/>
        <w:spacing w:after="0" w:line="266" w:lineRule="auto"/>
        <w:rPr>
          <w:sz w:val="20"/>
          <w:szCs w:val="20"/>
          <w:color w:val="auto"/>
        </w:rPr>
      </w:pPr>
      <w:r>
        <w:rPr>
          <w:rFonts w:ascii="Times New Roman" w:cs="Times New Roman" w:eastAsia="Times New Roman" w:hAnsi="Times New Roman"/>
          <w:sz w:val="18"/>
          <w:szCs w:val="18"/>
          <w:color w:val="auto"/>
        </w:rPr>
        <w:t>Homebuilding revenue increased 16.8% for the six months ended April 30, 2026 compared to the same period in the prior year. The increase was due to a 10.8% increase in homes delivered and a 5.5% increase in average sales price. The increase in average sales price was the result of new communities delivering higher priced, larger single family homes in higher-end submarkets of the segment for the six months ended April 30, 2026</w:t>
      </w:r>
    </w:p>
    <w:p>
      <w:pPr>
        <w:sectPr>
          <w:pgSz w:w="11900" w:h="16838" w:orient="portrait"/>
          <w:cols w:equalWidth="0" w:num="1">
            <w:col w:w="11260"/>
          </w:cols>
          <w:pgMar w:left="320" w:top="140" w:right="319" w:bottom="0" w:gutter="0" w:footer="0" w:header="0"/>
        </w:sectPr>
      </w:pPr>
    </w:p>
    <w:bookmarkStart w:id="30" w:name="page31"/>
    <w:bookmarkEnd w:id="30"/>
    <w:p>
      <w:pPr>
        <w:ind w:right="80"/>
        <w:spacing w:after="0" w:line="282" w:lineRule="auto"/>
        <w:rPr>
          <w:sz w:val="20"/>
          <w:szCs w:val="20"/>
          <w:color w:val="auto"/>
        </w:rPr>
      </w:pPr>
      <w:r>
        <w:rPr>
          <w:rFonts w:ascii="Times New Roman" w:cs="Times New Roman" w:eastAsia="Times New Roman" w:hAnsi="Times New Roman"/>
          <w:sz w:val="18"/>
          <w:szCs w:val="18"/>
          <w:color w:val="auto"/>
        </w:rPr>
        <w:t>compared to some communities delivering lower priced, smaller single family homes and build-for-rent homes in lower-end submarkets of the segment for the six months ended April 30, 2025, which we are no longer delivering in the current year.</w:t>
      </w:r>
    </w:p>
    <w:p>
      <w:pPr>
        <w:spacing w:after="0" w:line="162" w:lineRule="exact"/>
        <w:rPr>
          <w:sz w:val="20"/>
          <w:szCs w:val="20"/>
          <w:color w:val="auto"/>
        </w:rPr>
      </w:pPr>
    </w:p>
    <w:p>
      <w:pPr>
        <w:ind w:right="140" w:firstLine="810"/>
        <w:spacing w:after="0" w:line="261" w:lineRule="auto"/>
        <w:rPr>
          <w:sz w:val="20"/>
          <w:szCs w:val="20"/>
          <w:color w:val="auto"/>
        </w:rPr>
      </w:pPr>
      <w:r>
        <w:rPr>
          <w:rFonts w:ascii="Times New Roman" w:cs="Times New Roman" w:eastAsia="Times New Roman" w:hAnsi="Times New Roman"/>
          <w:sz w:val="18"/>
          <w:szCs w:val="18"/>
          <w:color w:val="auto"/>
        </w:rPr>
        <w:t>Income before income taxes decreased $9.2 million to a loss of $8.6 million for the six months ended April 30, 2026 compared to the same period in the prior year. This was primarily due to a $5.1 million decrease in income from unconsolidated joint ventures, a $5.3 million increase in inventory impairments and land option write-offs, along with a decrease in gross margin percentage. For a discussion of gross margin see “Homebuilding: Cost of Sales” above.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3" w:lineRule="exact"/>
        <w:rPr>
          <w:sz w:val="20"/>
          <w:szCs w:val="20"/>
          <w:color w:val="auto"/>
        </w:rPr>
      </w:pPr>
    </w:p>
    <w:p>
      <w:pPr>
        <w:ind w:right="20" w:firstLine="81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West </w:t>
      </w:r>
      <w:r>
        <w:rPr>
          <w:rFonts w:ascii="Times New Roman" w:cs="Times New Roman" w:eastAsia="Times New Roman" w:hAnsi="Times New Roman"/>
          <w:sz w:val="18"/>
          <w:szCs w:val="18"/>
          <w:color w:val="auto"/>
        </w:rPr>
        <w:t>– Homebuilding revenue decreased 4.7% for the three months ended April 30, 2026 compared to the same period in the prior year.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 was due to a 12.2% decrease in homes delivered and a $10.7 million decrease in land sales and other revenue, partially offset by a 12.1% increase in average sales price. The increase in average sales price was the result of new communities delivering higher priced, larger single family homes in higher-end submarkets of the segment for the three months ended April 30, 2026 compared to some communities delivering lower priced, smaller single family homes and townhomes in lower-end submarkets of the segment for the three months ended April 30, 2025, which we are no longer delivering in the current year.</w:t>
      </w:r>
    </w:p>
    <w:p>
      <w:pPr>
        <w:spacing w:after="0" w:line="184" w:lineRule="exact"/>
        <w:rPr>
          <w:sz w:val="20"/>
          <w:szCs w:val="20"/>
          <w:color w:val="auto"/>
        </w:rPr>
      </w:pPr>
    </w:p>
    <w:p>
      <w:pPr>
        <w:ind w:right="100" w:firstLine="810"/>
        <w:spacing w:after="0" w:line="261" w:lineRule="auto"/>
        <w:rPr>
          <w:sz w:val="20"/>
          <w:szCs w:val="20"/>
          <w:color w:val="auto"/>
        </w:rPr>
      </w:pPr>
      <w:r>
        <w:rPr>
          <w:rFonts w:ascii="Times New Roman" w:cs="Times New Roman" w:eastAsia="Times New Roman" w:hAnsi="Times New Roman"/>
          <w:sz w:val="18"/>
          <w:szCs w:val="18"/>
          <w:color w:val="auto"/>
        </w:rPr>
        <w:t>Income before income taxes decreased $24.6 million to a loss of $11.3 million for the three months ended April 30, 2026 compared to the same period in the prior year. This is primarily due to the decrease in homebuilding revenue discussed above, a $3.6 million decrease in income from unconsolidated joint ventures, a $3.3 million increase in inventory impairments and land option write-offs and a significant decrease in gross margin percentage. For a discussion of gross margin see “Homebuilding: Cost of Sales” above.</w:t>
      </w:r>
    </w:p>
    <w:p>
      <w:pPr>
        <w:spacing w:after="0" w:line="180" w:lineRule="exact"/>
        <w:rPr>
          <w:sz w:val="20"/>
          <w:szCs w:val="20"/>
          <w:color w:val="auto"/>
        </w:rPr>
      </w:pPr>
    </w:p>
    <w:p>
      <w:pPr>
        <w:ind w:right="180" w:firstLine="816"/>
        <w:spacing w:after="0" w:line="256" w:lineRule="auto"/>
        <w:rPr>
          <w:sz w:val="20"/>
          <w:szCs w:val="20"/>
          <w:color w:val="auto"/>
        </w:rPr>
      </w:pPr>
      <w:r>
        <w:rPr>
          <w:rFonts w:ascii="Times New Roman" w:cs="Times New Roman" w:eastAsia="Times New Roman" w:hAnsi="Times New Roman"/>
          <w:sz w:val="18"/>
          <w:szCs w:val="18"/>
          <w:color w:val="auto"/>
        </w:rPr>
        <w:t>Homebuilding revenue decreased 11.3% for the six months ended April 30, 2026 compared to the same period in the prior year. The decrease was due to a 17.8% decrease in homes delivered and a $16.5 million decrease in land sales and other revenue, partially offset by a 10.7% increase in average sales price. The increase in average sales price was the result of new communities delivering higher priced, larger single family homes in higher-end submarkets of the segment for the six months ended April 30, 2026 compared to some communities delivering lower priced, smaller single family homes and townhomes in lower-end submarkets of the segment for the six months ended April 30, 2025, which we are no longer delivering in the current year.</w:t>
      </w:r>
    </w:p>
    <w:p>
      <w:pPr>
        <w:spacing w:after="0" w:line="187" w:lineRule="exact"/>
        <w:rPr>
          <w:sz w:val="20"/>
          <w:szCs w:val="20"/>
          <w:color w:val="auto"/>
        </w:rPr>
      </w:pPr>
    </w:p>
    <w:p>
      <w:pPr>
        <w:ind w:right="240" w:firstLine="810"/>
        <w:spacing w:after="0" w:line="261" w:lineRule="auto"/>
        <w:rPr>
          <w:sz w:val="20"/>
          <w:szCs w:val="20"/>
          <w:color w:val="auto"/>
        </w:rPr>
      </w:pPr>
      <w:r>
        <w:rPr>
          <w:rFonts w:ascii="Times New Roman" w:cs="Times New Roman" w:eastAsia="Times New Roman" w:hAnsi="Times New Roman"/>
          <w:sz w:val="18"/>
          <w:szCs w:val="18"/>
          <w:color w:val="auto"/>
        </w:rPr>
        <w:t>Income before income taxes decreased $45.1 million to a loss of $22.7 million for the six months ended April 30, 2026 compared to the same period in the prior year. This is primarily due to the decrease in homebuilding revenue discussed above, a $7.1 million decrease in income from unconsolidated joint ventures, a $3.1 million increase in inventory impairments and land option write-offs and a significant decrease in gross margin percentage. For a discussion of gross margin see “Homebuilding: Cost of Sales” above.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Services</w:t>
      </w:r>
    </w:p>
    <w:p>
      <w:pPr>
        <w:spacing w:after="0" w:line="187" w:lineRule="exact"/>
        <w:rPr>
          <w:sz w:val="20"/>
          <w:szCs w:val="20"/>
          <w:color w:val="auto"/>
        </w:rPr>
      </w:pPr>
    </w:p>
    <w:p>
      <w:pPr>
        <w:ind w:right="80" w:firstLine="810"/>
        <w:spacing w:after="0" w:line="255" w:lineRule="auto"/>
        <w:rPr>
          <w:sz w:val="20"/>
          <w:szCs w:val="20"/>
          <w:color w:val="auto"/>
        </w:rPr>
      </w:pPr>
      <w:r>
        <w:rPr>
          <w:rFonts w:ascii="Times New Roman" w:cs="Times New Roman" w:eastAsia="Times New Roman" w:hAnsi="Times New Roman"/>
          <w:sz w:val="18"/>
          <w:szCs w:val="18"/>
          <w:color w:val="auto"/>
        </w:rPr>
        <w:t>Financial services consists primarily of originating mortgages from our home buyers, selling such mortgages in the secondary market, and title insurance activities. We use mandatory investor commitments and forward sales of mortgage-backed securities (“MBS”) to hedge our mortgage-related interest rate exposure on agency and government loans. For the six months ended April 30, 2026 and 2025, Federal Housing Administration and Veterans Administration (“FHA/VA”) loans represented 35.5% and 40.6%, respectively, of our total loans. For the six months ended April 30, 2026 compared to the same period in the prior year, our conforming conventional loan originations as a percentage of our total loans increased from 58.5% to 62.9%. The origination of loans which exceed conforming conventions increased from 0.9% to 1.6% for the six months ended April 30, 2026 compared to the same period in the prior year.</w:t>
      </w:r>
    </w:p>
    <w:p>
      <w:pPr>
        <w:spacing w:after="0" w:line="162" w:lineRule="exact"/>
        <w:rPr>
          <w:sz w:val="20"/>
          <w:szCs w:val="20"/>
          <w:color w:val="auto"/>
        </w:rPr>
      </w:pPr>
    </w:p>
    <w:p>
      <w:pPr>
        <w:ind w:right="180" w:firstLine="810"/>
        <w:spacing w:after="0" w:line="255" w:lineRule="auto"/>
        <w:rPr>
          <w:sz w:val="20"/>
          <w:szCs w:val="20"/>
          <w:color w:val="auto"/>
        </w:rPr>
      </w:pPr>
      <w:r>
        <w:rPr>
          <w:rFonts w:ascii="Times New Roman" w:cs="Times New Roman" w:eastAsia="Times New Roman" w:hAnsi="Times New Roman"/>
          <w:sz w:val="18"/>
          <w:szCs w:val="18"/>
          <w:color w:val="auto"/>
        </w:rPr>
        <w:t>During the three and six months ended April 30, 2026 and 2025, financial services provided $10.0 million and $15.8 million of income before income taxes, respectively, compared to $8.4 million and $11.9 million for the same periods in the prior year. The increase in financial services income before income taxes for the three and six months ended April 30, 2026 compared to the same periods in the prior year was primarily due to an increase in the basis point spread between the loans originated and the implied rate from our sale of the loans. In the markets served by our wholly owned mortgage banking subsidiaries, 83.6% and 78.1% of our non-cash homebuyers obtained mortgages originated by these subsidiaries during the three months ended April 30, 2026 and 2025, respectively, and 81.6% and 79.2% of our non-cash homebuyers obtained mortgages originated by these subsidiaries during the six months ended April 30, 2026 and 2025, respectively.</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General and Administrative</w:t>
      </w:r>
    </w:p>
    <w:p>
      <w:pPr>
        <w:spacing w:after="0" w:line="187" w:lineRule="exact"/>
        <w:rPr>
          <w:sz w:val="20"/>
          <w:szCs w:val="20"/>
          <w:color w:val="auto"/>
        </w:rPr>
      </w:pPr>
    </w:p>
    <w:p>
      <w:pPr>
        <w:ind w:firstLine="810"/>
        <w:spacing w:after="0" w:line="254" w:lineRule="auto"/>
        <w:rPr>
          <w:sz w:val="20"/>
          <w:szCs w:val="20"/>
          <w:color w:val="auto"/>
        </w:rPr>
      </w:pPr>
      <w:r>
        <w:rPr>
          <w:rFonts w:ascii="Times New Roman" w:cs="Times New Roman" w:eastAsia="Times New Roman" w:hAnsi="Times New Roman"/>
          <w:sz w:val="18"/>
          <w:szCs w:val="18"/>
          <w:color w:val="auto"/>
        </w:rPr>
        <w:t>Corporate general and administrative expenses include operations at our headquarters in New Jersey. These expenses include payroll, stock compensation, facility costs and rent and other costs associated with our executive offices, legal expenses, information services, human resources, corporate accounting, training, treasury, process redesign, internal audit, national and digital marketing, construction services and administration of insurance, quality and safety. Corporate general and administrative expenses decreased to $27.0 million for the three months ended April 30, 2026 compared to $29.5 million for the three months ended April 30, 2025 and decreased to $60.7 million for the six months ended April 30, 2026 compared to $62.2 million for the six months ended April 30, 2025. The decrease for the three months ended April 30, 2026 was primarily due to a decrease in bonus expense due to lower profitability. The decrease in the six months ended April 30, 2026 compared to the same period in the prior year was primarily due to lower stock compensation expense compared to the same period in the prior year and.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Income from Unconsolidated Joint Ventures</w:t>
      </w:r>
    </w:p>
    <w:p>
      <w:pPr>
        <w:spacing w:after="0" w:line="187" w:lineRule="exact"/>
        <w:rPr>
          <w:sz w:val="20"/>
          <w:szCs w:val="20"/>
          <w:color w:val="auto"/>
        </w:rPr>
      </w:pPr>
    </w:p>
    <w:p>
      <w:pPr>
        <w:ind w:right="200" w:firstLine="810"/>
        <w:spacing w:after="0" w:line="289" w:lineRule="auto"/>
        <w:rPr>
          <w:sz w:val="20"/>
          <w:szCs w:val="20"/>
          <w:color w:val="auto"/>
        </w:rPr>
      </w:pPr>
      <w:r>
        <w:rPr>
          <w:rFonts w:ascii="Times New Roman" w:cs="Times New Roman" w:eastAsia="Times New Roman" w:hAnsi="Times New Roman"/>
          <w:sz w:val="17"/>
          <w:szCs w:val="17"/>
          <w:color w:val="auto"/>
        </w:rPr>
        <w:t>Income from unconsolidated joint ventures consists of our share of the earnings or losses of our unconsolidated joint ventures. Income from unconsolidated joint ventures decreased $10.1 million to a loss of $1.1 million for the three months ended April 30, 2026 and decreased $15.9 million to $2.3 million for the six months ended April 30, 2026 compared to the same periods in the prior year. The decrease was primarily due to less open for sale</w:t>
      </w:r>
    </w:p>
    <w:p>
      <w:pPr>
        <w:sectPr>
          <w:pgSz w:w="11900" w:h="16838" w:orient="portrait"/>
          <w:cols w:equalWidth="0" w:num="1">
            <w:col w:w="11240"/>
          </w:cols>
          <w:pgMar w:left="320" w:top="121" w:right="339" w:bottom="0" w:gutter="0" w:footer="0" w:header="0"/>
        </w:sectPr>
      </w:pPr>
    </w:p>
    <w:bookmarkStart w:id="31" w:name="page32"/>
    <w:bookmarkEnd w:id="31"/>
    <w:p>
      <w:pPr>
        <w:ind w:right="240"/>
        <w:spacing w:after="0" w:line="282" w:lineRule="auto"/>
        <w:rPr>
          <w:sz w:val="20"/>
          <w:szCs w:val="20"/>
          <w:color w:val="auto"/>
        </w:rPr>
      </w:pPr>
      <w:r>
        <w:rPr>
          <w:rFonts w:ascii="Times New Roman" w:cs="Times New Roman" w:eastAsia="Times New Roman" w:hAnsi="Times New Roman"/>
          <w:sz w:val="18"/>
          <w:szCs w:val="18"/>
          <w:color w:val="auto"/>
        </w:rPr>
        <w:t>unconsolidated joint venture communities leading to fewer deliveries. Additionally, several joint venture communities are currently in the early stages of development and incurring typical start-up costs ahead of first deliveries.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Interest</w:t>
      </w:r>
    </w:p>
    <w:p>
      <w:pPr>
        <w:spacing w:after="0" w:line="200" w:lineRule="exact"/>
        <w:rPr>
          <w:sz w:val="20"/>
          <w:szCs w:val="20"/>
          <w:color w:val="auto"/>
        </w:rPr>
      </w:pPr>
    </w:p>
    <w:p>
      <w:pPr>
        <w:jc w:val="both"/>
        <w:ind w:right="80" w:firstLine="809"/>
        <w:spacing w:after="0" w:line="266" w:lineRule="auto"/>
        <w:rPr>
          <w:sz w:val="20"/>
          <w:szCs w:val="20"/>
          <w:color w:val="auto"/>
        </w:rPr>
      </w:pPr>
      <w:r>
        <w:rPr>
          <w:rFonts w:ascii="Times New Roman" w:cs="Times New Roman" w:eastAsia="Times New Roman" w:hAnsi="Times New Roman"/>
          <w:sz w:val="18"/>
          <w:szCs w:val="18"/>
          <w:color w:val="auto"/>
        </w:rPr>
        <w:t>Other interest increased $3.3 million to $12.5 million for the three months ended April 30, 2026 compared to the same quarter of the prior year and increased $6.0 million to $24.6 million for the six months ended April 30, 2026 compared to the same period of the prior year. Other interest increased primarily due to an increase in communities in planning, along with higher model lease financing activity during the period.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91" w:lineRule="exact"/>
        <w:rPr>
          <w:sz w:val="20"/>
          <w:szCs w:val="20"/>
          <w:color w:val="auto"/>
        </w:rPr>
      </w:pPr>
    </w:p>
    <w:p>
      <w:pPr>
        <w:ind w:right="40" w:firstLine="816"/>
        <w:spacing w:after="0" w:line="301" w:lineRule="auto"/>
        <w:rPr>
          <w:sz w:val="20"/>
          <w:szCs w:val="20"/>
          <w:color w:val="auto"/>
        </w:rPr>
      </w:pPr>
      <w:r>
        <w:rPr>
          <w:rFonts w:ascii="Arial" w:cs="Arial" w:eastAsia="Arial" w:hAnsi="Arial"/>
          <w:sz w:val="16"/>
          <w:szCs w:val="16"/>
          <w:color w:val="auto"/>
        </w:rPr>
        <w:t>For the three months ended April 30, 2026 and 2025, we recorded income tax expense of $0.9 million and $6.8 million, respectively. For the six months ended April 30, 2026 and 2025, we recorded income tax expense of $8.8 million and $18.5 million, respectively. For both the three and six months ended April 30, 2026 and 2025, the expense was primarily due to federal and state tax expense on income (loss) before income taxes and permanent differences, partially offset by energy home credits. Federal tax expense is not paid in cash as it is offset by the use of our existing NOL carryforwards.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Resources and Liquidity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187" w:lineRule="exact"/>
        <w:rPr>
          <w:sz w:val="20"/>
          <w:szCs w:val="20"/>
          <w:color w:val="auto"/>
        </w:rPr>
      </w:pPr>
    </w:p>
    <w:p>
      <w:pPr>
        <w:jc w:val="both"/>
        <w:ind w:firstLine="810"/>
        <w:spacing w:after="0" w:line="266" w:lineRule="auto"/>
        <w:rPr>
          <w:sz w:val="20"/>
          <w:szCs w:val="20"/>
          <w:color w:val="auto"/>
        </w:rPr>
      </w:pPr>
      <w:r>
        <w:rPr>
          <w:rFonts w:ascii="Times New Roman" w:cs="Times New Roman" w:eastAsia="Times New Roman" w:hAnsi="Times New Roman"/>
          <w:sz w:val="18"/>
          <w:szCs w:val="18"/>
          <w:color w:val="auto"/>
        </w:rPr>
        <w:t>Our total liquidity at April 30, 2026 was $442.0 million, including $310.9 million in homebuilding cash and cash equivalents and $125.0 million of borrowing capacity under our senior secured revolving credit facility. We believe that our cash on hand together with available borrowings on our senior secured revolving credit facility will be sufficient for at least the next 12 months to finance our working capital requirements.</w:t>
      </w:r>
    </w:p>
    <w:p>
      <w:pPr>
        <w:spacing w:after="0" w:line="135" w:lineRule="exact"/>
        <w:rPr>
          <w:sz w:val="20"/>
          <w:szCs w:val="20"/>
          <w:color w:val="auto"/>
        </w:rPr>
      </w:pPr>
    </w:p>
    <w:p>
      <w:pPr>
        <w:ind w:right="20" w:firstLine="810"/>
        <w:spacing w:after="0" w:line="258" w:lineRule="auto"/>
        <w:rPr>
          <w:sz w:val="20"/>
          <w:szCs w:val="20"/>
          <w:color w:val="auto"/>
        </w:rPr>
      </w:pPr>
      <w:r>
        <w:rPr>
          <w:rFonts w:ascii="Times New Roman" w:cs="Times New Roman" w:eastAsia="Times New Roman" w:hAnsi="Times New Roman"/>
          <w:sz w:val="18"/>
          <w:szCs w:val="18"/>
          <w:color w:val="auto"/>
        </w:rPr>
        <w:t>We have historically funded our homebuilding and financial services operations with cash flows from operating activities, borrowings under our credit facilities, the issuance of new debt and equity securities, and other financing activities. We may not be able to obtain desired financing even if market conditions, including then-current market available interest rates (in recent years, we have not been able to access the traditional capital and bank lending markets at competitive interest rates due to our highly leveraged capital structure), would otherwise be favorable, which could impact our ability to grow our business.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Investing and Financing Cash Flow Activities</w:t>
      </w:r>
    </w:p>
    <w:p>
      <w:pPr>
        <w:spacing w:after="0" w:line="187" w:lineRule="exact"/>
        <w:rPr>
          <w:sz w:val="20"/>
          <w:szCs w:val="20"/>
          <w:color w:val="auto"/>
        </w:rPr>
      </w:pPr>
    </w:p>
    <w:p>
      <w:pPr>
        <w:ind w:right="20" w:firstLine="810"/>
        <w:spacing w:after="0" w:line="254" w:lineRule="auto"/>
        <w:rPr>
          <w:sz w:val="20"/>
          <w:szCs w:val="20"/>
          <w:color w:val="auto"/>
        </w:rPr>
      </w:pPr>
      <w:r>
        <w:rPr>
          <w:rFonts w:ascii="Times New Roman" w:cs="Times New Roman" w:eastAsia="Times New Roman" w:hAnsi="Times New Roman"/>
          <w:sz w:val="18"/>
          <w:szCs w:val="18"/>
          <w:color w:val="auto"/>
        </w:rPr>
        <w:t>We spent $413.0 million on domestic land and land development during the first half of fiscal 2026. After land and land development spending and all other operating activities, including revenue received from deliveries, cash from operations was $73.8 million. During the first half of fiscal 2026, cash used in investing activities was $31.3 million, primarily due to a new joint venture entered into during the first half of fiscal 2026, along with spending on capitalized software, partially offset by net cash acquired through acquisitions. Cash used in financing activities was $10.8 million during the first half of fiscal 2026, primarily due to net payments for nonrecourse mortgage financings, net payments for model sale leaseback financings, treasury stock purchases and payments of preferred dividends, partially offset by net proceeds from our mortgage warehouse lines of credit and net proceeds from land banking financings. We intend to continue to use nonrecourse mortgages, model sale leasebacks, joint ventures, and, subject to covenant restrictions in our debt instruments, land banking programs as our business needs dictate.</w:t>
      </w:r>
    </w:p>
    <w:p>
      <w:pPr>
        <w:spacing w:after="0" w:line="151" w:lineRule="exact"/>
        <w:rPr>
          <w:sz w:val="20"/>
          <w:szCs w:val="20"/>
          <w:color w:val="auto"/>
        </w:rPr>
      </w:pPr>
    </w:p>
    <w:p>
      <w:pPr>
        <w:ind w:right="40" w:firstLine="810"/>
        <w:spacing w:after="0" w:line="258" w:lineRule="auto"/>
        <w:rPr>
          <w:sz w:val="20"/>
          <w:szCs w:val="20"/>
          <w:color w:val="auto"/>
        </w:rPr>
      </w:pPr>
      <w:r>
        <w:rPr>
          <w:rFonts w:ascii="Times New Roman" w:cs="Times New Roman" w:eastAsia="Times New Roman" w:hAnsi="Times New Roman"/>
          <w:sz w:val="18"/>
          <w:szCs w:val="18"/>
          <w:color w:val="auto"/>
        </w:rPr>
        <w:t>Our cash uses during the six months ended April 30, 2026 and 2025 were for operating expenses, land purchases, land deposits, land development, construction spending, nonrecourse mortgage transactions, model sale leasebacks, state income taxes, interest payments, preferred dividends, equity repurchases, investments in unconsolidated joint ventures and acquisitions. During these periods, we provided for our cash requirements from available cash on hand, home and land sales, land banking transactions, income from unconsolidated joint ventures, financial service revenues and other revenues.</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5" w:lineRule="exact"/>
        <w:rPr>
          <w:sz w:val="20"/>
          <w:szCs w:val="20"/>
          <w:color w:val="auto"/>
        </w:rPr>
      </w:pPr>
    </w:p>
    <w:p>
      <w:pPr>
        <w:ind w:right="220" w:firstLine="810"/>
        <w:spacing w:after="0" w:line="254" w:lineRule="auto"/>
        <w:rPr>
          <w:sz w:val="20"/>
          <w:szCs w:val="20"/>
          <w:color w:val="auto"/>
        </w:rPr>
      </w:pPr>
      <w:r>
        <w:rPr>
          <w:rFonts w:ascii="Times New Roman" w:cs="Times New Roman" w:eastAsia="Times New Roman" w:hAnsi="Times New Roman"/>
          <w:sz w:val="18"/>
          <w:szCs w:val="18"/>
          <w:color w:val="auto"/>
        </w:rPr>
        <w:t>Our net income historically does not approximate cash flow from operating activities. The difference between net income and cash flow from operating activities is primarily caused by changes in inventory levels together with changes in receivables, prepaid expenses and other assets, mortgage loans held for sale, accrued interest, deferred income taxes, accounts payable and other liabilities, and noncash charges relating to depreciation, stock compensation and impairments. When we are expanding our operations, inventory levels, prepaid expenses and other assets increase, causing cash flow from operating activities to decrease. Certain liabilities also increase as operations expand and partially offset the negative effect on cash flow from operations caused by the increase in inventory, prepaid expenses and other assets. Similarly, as our mortgage operations expand, net income from these operations increases, but for cash flow purposes, net income is partially offset by the net change in mortgage assets and liabilities. The opposite is true as our investment in new land purchases and development of new communities decrease, causing us to generate positive cash flow from operations.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4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Debt Transactions</w:t>
            </w:r>
          </w:p>
        </w:tc>
        <w:tc>
          <w:tcPr>
            <w:tcW w:w="4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92"/>
        </w:trPr>
        <w:tc>
          <w:tcPr>
            <w:tcW w:w="84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Senior notes and credit facilities balances as of April 30, 2026 and October 31, 2025, were as follows:</w:t>
            </w: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10"/>
        </w:trPr>
        <w:tc>
          <w:tcPr>
            <w:tcW w:w="8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180" w:type="dxa"/>
            <w:vAlign w:val="bottom"/>
          </w:tcPr>
          <w:p>
            <w:pPr>
              <w:spacing w:after="0"/>
              <w:rPr>
                <w:sz w:val="24"/>
                <w:szCs w:val="24"/>
                <w:color w:val="auto"/>
              </w:rPr>
            </w:pP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October 31,</w:t>
            </w:r>
          </w:p>
        </w:tc>
      </w:tr>
      <w:tr>
        <w:trPr>
          <w:trHeight w:val="225"/>
        </w:trPr>
        <w:tc>
          <w:tcPr>
            <w:tcW w:w="8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0"/>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Senior Notes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924,968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924,968</w:t>
            </w:r>
          </w:p>
        </w:tc>
      </w:tr>
      <w:tr>
        <w:trPr>
          <w:trHeight w:val="229"/>
        </w:trPr>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Secured Revolving Credit Facility (1)</w:t>
            </w: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Less: Net (discounts), premiums and unamortized debt issuance costs</w:t>
            </w: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(23,069)</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(24,250)</w:t>
            </w:r>
          </w:p>
        </w:tc>
      </w:tr>
      <w:tr>
        <w:trPr>
          <w:trHeight w:val="196"/>
        </w:trPr>
        <w:tc>
          <w:tcPr>
            <w:tcW w:w="8420" w:type="dxa"/>
            <w:vAlign w:val="bottom"/>
            <w:tcBorders>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Total senior notes and credit facilities, net of discounts, premiums and unamortized debt issuance costs</w:t>
            </w:r>
          </w:p>
        </w:tc>
        <w:tc>
          <w:tcPr>
            <w:tcW w:w="4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901,899</w:t>
            </w: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900,718</w:t>
            </w:r>
          </w:p>
        </w:tc>
      </w:tr>
      <w:tr>
        <w:trPr>
          <w:trHeight w:val="20"/>
        </w:trPr>
        <w:tc>
          <w:tcPr>
            <w:tcW w:w="84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ind w:right="140" w:firstLine="8"/>
        <w:spacing w:after="0" w:line="258" w:lineRule="auto"/>
        <w:tabs>
          <w:tab w:leader="none" w:pos="255"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At April 30, 2026, provides for up to $125.0 million in aggregate amount of senior secured first lien revolving loans. The revolving loans under the revolving credit facility have a maturity of June 30, 2028 and borrowings bear interest, at K. Hovnanian’s option, at either (i) a term secured overnight financing rate (subject to a floor of 3.00%) plus an applicable margin of 4.50% or (ii) an alternate base rate (subject to a floor of 3.00%) plus an applicable margin of 3.50%. In addition, K. Hovnanian will pay an unused commitment fee on the undrawn revolving commitments at a rate of 1.00% per annum.</w:t>
      </w:r>
    </w:p>
    <w:p>
      <w:pPr>
        <w:spacing w:after="0" w:line="185" w:lineRule="exact"/>
        <w:rPr>
          <w:sz w:val="20"/>
          <w:szCs w:val="20"/>
          <w:color w:val="auto"/>
        </w:rPr>
      </w:pPr>
    </w:p>
    <w:p>
      <w:pPr>
        <w:ind w:right="20" w:firstLine="810"/>
        <w:spacing w:after="0" w:line="261" w:lineRule="auto"/>
        <w:rPr>
          <w:sz w:val="20"/>
          <w:szCs w:val="20"/>
          <w:color w:val="auto"/>
        </w:rPr>
      </w:pPr>
      <w:r>
        <w:rPr>
          <w:rFonts w:ascii="Times New Roman" w:cs="Times New Roman" w:eastAsia="Times New Roman" w:hAnsi="Times New Roman"/>
          <w:sz w:val="18"/>
          <w:szCs w:val="18"/>
          <w:color w:val="auto"/>
        </w:rPr>
        <w:t>Except for K. Hovnanian, the issuer of the notes and borrower under the credit agreement governing our secured revolving credit facility (the "Secured Credit Facility"), our home mortgage subsidiaries, certain of our title insurance subsidiaries, joint ventures and subsidiaries holding interests in our joint ventures, we and each of our subsidiaries are guarantors of the Secured Credit Facility and senior notes outstanding at April 30, 2026 (collectively, the “Notes Guarantors”).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748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2" w:lineRule="exact"/>
        <w:rPr>
          <w:sz w:val="20"/>
          <w:szCs w:val="20"/>
          <w:color w:val="auto"/>
        </w:rPr>
      </w:pPr>
    </w:p>
    <w:p>
      <w:pPr>
        <w:ind w:firstLine="810"/>
        <w:spacing w:after="0" w:line="252" w:lineRule="auto"/>
        <w:rPr>
          <w:sz w:val="20"/>
          <w:szCs w:val="20"/>
          <w:color w:val="auto"/>
        </w:rPr>
      </w:pPr>
      <w:r>
        <w:rPr>
          <w:rFonts w:ascii="Times New Roman" w:cs="Times New Roman" w:eastAsia="Times New Roman" w:hAnsi="Times New Roman"/>
          <w:sz w:val="18"/>
          <w:szCs w:val="18"/>
          <w:color w:val="auto"/>
        </w:rPr>
        <w:t xml:space="preserve">The credit agreement governing the Secured Credit Facility and the indentures governing the senior notes (together, the “Debt Instruments”) outstanding at </w:t>
      </w:r>
      <w:r>
        <w:rPr>
          <w:rFonts w:ascii="Times New Roman" w:cs="Times New Roman" w:eastAsia="Times New Roman" w:hAnsi="Times New Roman"/>
          <w:sz w:val="18"/>
          <w:szCs w:val="18"/>
          <w:color w:val="212529"/>
        </w:rPr>
        <w:t>April 30, 2026</w:t>
      </w:r>
      <w:r>
        <w:rPr>
          <w:rFonts w:ascii="Times New Roman" w:cs="Times New Roman" w:eastAsia="Times New Roman" w:hAnsi="Times New Roman"/>
          <w:sz w:val="18"/>
          <w:szCs w:val="18"/>
          <w:color w:val="auto"/>
        </w:rPr>
        <w:t xml:space="preserve"> do not contain any financial maintenance covenants, but do contain restrictive covenants that limit, among other things, the ability of HEI and certain of its subsidiaries, including K. Hovnanian, to incur (including through exchanges or certain other types of transactions) indebtedness, pay dividends, and make distributions on common and preferred stock, repay/repurchase certain indebtedness prior to its respective stated maturity, repurchase common and preferred stock, make other restricted payments (including investments), sell certain assets (including in certain land banking transactions), incur liens, consolidate, merge, sell or otherwise dispose of all or substantially all of their assets and enter into certain transactions with affiliates. The Debt Instruments also contain customary events of default which would permit the lenders or holders thereof to exercise remedies with respect to the collateral (as applicable), declare the loans (the “Secured Revolving Loans”) made under the Credit Agreement, dated as of October 31, 2019, as amended, by and among K. Hovnanian, the Company, the other guarantors party thereto, Wilmington Trust, National Association, as administrative agent, and the lenders party thereto (the “Secured Credit Agreement”) or notes to be immediately due and payable if not cured within applicable grace periods, including the failure to make timely payments on the Secured Revolving Loans or notes or other material indebtedness, cross default to other material indebtedness, the failure to comply with agreements and covenants and specified events of bankruptcy and insolvency and, with respect to the Secured Revolving Loans, material inaccuracy of representations and warranties, a change of control, the failure of the documents granting security for the obligations under the Secured Credit Agreement to be in full force and effect, and the failure of the liens on any material portion of the collateral securing the obligations under the Secured Credit Agreement to be valid and perfected. As of </w:t>
      </w:r>
      <w:r>
        <w:rPr>
          <w:rFonts w:ascii="Times New Roman" w:cs="Times New Roman" w:eastAsia="Times New Roman" w:hAnsi="Times New Roman"/>
          <w:sz w:val="18"/>
          <w:szCs w:val="18"/>
          <w:color w:val="212529"/>
        </w:rPr>
        <w:t>April 30, 2026</w:t>
      </w:r>
      <w:r>
        <w:rPr>
          <w:rFonts w:ascii="Times New Roman" w:cs="Times New Roman" w:eastAsia="Times New Roman" w:hAnsi="Times New Roman"/>
          <w:sz w:val="18"/>
          <w:szCs w:val="18"/>
          <w:color w:val="auto"/>
        </w:rPr>
        <w:t>, we believe we were in compliance with the covenants of the Debt Instruments.</w:t>
      </w:r>
    </w:p>
    <w:p>
      <w:pPr>
        <w:spacing w:after="0" w:line="235" w:lineRule="exact"/>
        <w:rPr>
          <w:sz w:val="20"/>
          <w:szCs w:val="20"/>
          <w:color w:val="auto"/>
        </w:rPr>
      </w:pPr>
    </w:p>
    <w:p>
      <w:pPr>
        <w:ind w:right="40" w:firstLine="810"/>
        <w:spacing w:after="0" w:line="256" w:lineRule="auto"/>
        <w:rPr>
          <w:sz w:val="20"/>
          <w:szCs w:val="20"/>
          <w:color w:val="auto"/>
        </w:rPr>
      </w:pPr>
      <w:r>
        <w:rPr>
          <w:rFonts w:ascii="Times New Roman" w:cs="Times New Roman" w:eastAsia="Times New Roman" w:hAnsi="Times New Roman"/>
          <w:sz w:val="18"/>
          <w:szCs w:val="18"/>
          <w:color w:val="auto"/>
        </w:rPr>
        <w:t>Under the terms of our Debt Instruments, we have the right to make certain redemptions and prepayments and, depending on market conditions, our strategic priorities and covenant restrictions, may do so from time to time. We also continue to analyze and evaluate our capital structure and explore transactions to strengthen our balance sheet, including those that reduce leverage, interest rates and/or extend maturities, and will seek to do so with the right opportunity. We may also continue to make debt or equity purchases and/or exchanges from time to time through tender offers, exchange offers, redemptions, open market purchases, private transactions, or otherwise, or seek to raise additional debt or equity capital, depending on market conditions and covenant restrictions.</w:t>
      </w:r>
    </w:p>
    <w:p>
      <w:pPr>
        <w:spacing w:after="0" w:line="147" w:lineRule="exact"/>
        <w:rPr>
          <w:sz w:val="20"/>
          <w:szCs w:val="20"/>
          <w:color w:val="auto"/>
        </w:rPr>
      </w:pPr>
    </w:p>
    <w:p>
      <w:pPr>
        <w:ind w:right="120" w:firstLine="810"/>
        <w:spacing w:after="0" w:line="261" w:lineRule="auto"/>
        <w:rPr>
          <w:sz w:val="20"/>
          <w:szCs w:val="20"/>
          <w:color w:val="auto"/>
        </w:rPr>
      </w:pPr>
      <w:r>
        <w:rPr>
          <w:rFonts w:ascii="Times New Roman" w:cs="Times New Roman" w:eastAsia="Times New Roman" w:hAnsi="Times New Roman"/>
          <w:sz w:val="18"/>
          <w:szCs w:val="18"/>
          <w:color w:val="auto"/>
        </w:rPr>
        <w:t>Due to covenant restrictions in our Debt Instruments, we may be limited in the amount of debt we can incur, even if market conditions, including then-current market available interest rates (prior to the fourth quarter of fiscal 2025, we had not been able to access the traditional capital and bank lending markets at competitive interest rates for some time due to our highly leveraged capital structure), would otherwise be favorable, which could also impact our ability to grow our business.</w:t>
      </w:r>
    </w:p>
    <w:p>
      <w:pPr>
        <w:spacing w:after="0" w:line="180" w:lineRule="exact"/>
        <w:rPr>
          <w:sz w:val="20"/>
          <w:szCs w:val="20"/>
          <w:color w:val="auto"/>
        </w:rPr>
      </w:pPr>
    </w:p>
    <w:p>
      <w:pPr>
        <w:ind w:right="520" w:firstLine="810"/>
        <w:spacing w:after="0" w:line="282" w:lineRule="auto"/>
        <w:rPr>
          <w:sz w:val="20"/>
          <w:szCs w:val="20"/>
          <w:color w:val="auto"/>
        </w:rPr>
      </w:pPr>
      <w:r>
        <w:rPr>
          <w:rFonts w:ascii="Times New Roman" w:cs="Times New Roman" w:eastAsia="Times New Roman" w:hAnsi="Times New Roman"/>
          <w:sz w:val="18"/>
          <w:szCs w:val="18"/>
          <w:color w:val="auto"/>
        </w:rPr>
        <w:t>See Note 12 to the Condensed Consolidated Financial Statements included elsewhere in this Quarterly Report on Form 10-Q for a further discussion of K. Hovnanian’s Debt Instruments, including information with respect to the collateral securing our Secured Credit Agreement.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Mortgages and Notes Payable</w:t>
      </w:r>
    </w:p>
    <w:p>
      <w:pPr>
        <w:spacing w:after="0" w:line="20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We had nonrecourse mortgage loans for certain communities totaling $32.7 million and $29.5 million, net of debt issuance costs, as of April 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2026 and October 31, 2025, respectively, which are secured by the related real property, including any improvements, with an aggregate book value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$55.2 million and $113.9 million, respectively. The weighted-average interest rate on these obligations was 7.2% and 7.4% at April 30, 2026 and October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 2025, respectively, and the mortgage loan payments primarily correspond to home deliveries.</w:t>
      </w:r>
    </w:p>
    <w:p>
      <w:pPr>
        <w:sectPr>
          <w:pgSz w:w="11900" w:h="16838" w:orient="portrait"/>
          <w:cols w:equalWidth="0" w:num="1">
            <w:col w:w="11240"/>
          </w:cols>
          <w:pgMar w:left="320" w:top="121" w:right="339" w:bottom="0" w:gutter="0" w:footer="0" w:header="0"/>
        </w:sectPr>
      </w:pPr>
    </w:p>
    <w:bookmarkStart w:id="33" w:name="page34"/>
    <w:bookmarkEnd w:id="33"/>
    <w:p>
      <w:pPr>
        <w:ind w:firstLine="810"/>
        <w:spacing w:after="0" w:line="256" w:lineRule="auto"/>
        <w:rPr>
          <w:sz w:val="20"/>
          <w:szCs w:val="20"/>
          <w:color w:val="auto"/>
        </w:rPr>
      </w:pPr>
      <w:r>
        <w:rPr>
          <w:rFonts w:ascii="Times New Roman" w:cs="Times New Roman" w:eastAsia="Times New Roman" w:hAnsi="Times New Roman"/>
          <w:sz w:val="18"/>
          <w:szCs w:val="18"/>
          <w:color w:val="auto"/>
        </w:rPr>
        <w:t>Our wholly owned mortgage banking subsidiary, K. Hovnanian Mortgage, originates mortgage loans primarily from the sale of our homes. Such mortgage loans and related servicing rights are sold in the secondary mortgage market within a short period of time. K. Hovnanian Mortgage finances the origination of mortgage loans through various master repurchase agreements, which are recorded in "Financial services" liabilities on the Condensed Consolidated Balance Sheets. The loans are secured by the mortgages held for sale and are repaid when we sell the underlying mortgage loans to permanent investors. As of April 30, 2026 and October 31, 2025, we had an aggregate of $101.6 million and $94.3 million, respectively, outstanding under several of K. Hovnanian Mortgage’s short-term borrowing facilities.</w:t>
      </w:r>
    </w:p>
    <w:p>
      <w:pPr>
        <w:spacing w:after="0" w:line="147" w:lineRule="exact"/>
        <w:rPr>
          <w:sz w:val="20"/>
          <w:szCs w:val="20"/>
          <w:color w:val="auto"/>
        </w:rPr>
      </w:pPr>
    </w:p>
    <w:p>
      <w:pPr>
        <w:ind w:right="520" w:firstLine="810"/>
        <w:spacing w:after="0" w:line="282" w:lineRule="auto"/>
        <w:rPr>
          <w:sz w:val="20"/>
          <w:szCs w:val="20"/>
          <w:color w:val="auto"/>
        </w:rPr>
      </w:pPr>
      <w:r>
        <w:rPr>
          <w:rFonts w:ascii="Times New Roman" w:cs="Times New Roman" w:eastAsia="Times New Roman" w:hAnsi="Times New Roman"/>
          <w:sz w:val="18"/>
          <w:szCs w:val="18"/>
          <w:color w:val="auto"/>
        </w:rPr>
        <w:t>See Note 11 to the Condensed Consolidated Financial Statements included elsewhere in this Quarterly Report on Form 10-Q for a further discussion of these agreements.</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748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4" w:name="page35"/>
    <w:bookmarkEnd w:id="34"/>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w:t>
      </w:r>
    </w:p>
    <w:p>
      <w:pPr>
        <w:spacing w:after="0" w:line="187" w:lineRule="exact"/>
        <w:rPr>
          <w:sz w:val="20"/>
          <w:szCs w:val="20"/>
          <w:color w:val="auto"/>
        </w:rPr>
      </w:pPr>
    </w:p>
    <w:p>
      <w:pPr>
        <w:ind w:right="20" w:firstLine="810"/>
        <w:spacing w:after="0" w:line="254" w:lineRule="auto"/>
        <w:rPr>
          <w:sz w:val="20"/>
          <w:szCs w:val="20"/>
          <w:color w:val="auto"/>
        </w:rPr>
      </w:pPr>
      <w:r>
        <w:rPr>
          <w:rFonts w:ascii="Times New Roman" w:cs="Times New Roman" w:eastAsia="Times New Roman" w:hAnsi="Times New Roman"/>
          <w:sz w:val="18"/>
          <w:szCs w:val="18"/>
          <w:color w:val="auto"/>
        </w:rPr>
        <w:t>On December 18, 2024, our Board of Directors (the "Board") authorized an incremental increase to our repurchase program and on April 11, 2025, the Board authorized another increase to our repurchase program, such that, inclusive of any amounts remaining under the existing repurchase authorization, as of April 11, 2025, we were authorized to repurchase up to $30.6 million of our Class A common stock. On February 27, 2026, the Board further authorized an incremental increase of $50.0 million to our repurchase program, such that, inclusive of any amounts remaining under the existing repurchase authorization, as of February 27, 2026, we were authorized to repurchase up to $67.4 million of our Class A common stock. Under the program, repurchases may be made from time to time in open market transactions, in privately negotiated transactions or otherwise. The timing and the actual dollar amount repurchased will depend on a variety of factors, including legal requirements, price, future tax implications and economic and market conditions. The repurchase program may be changed, suspended or discontinued at any time and does not have a specified expiration date.</w:t>
      </w:r>
    </w:p>
    <w:p>
      <w:pPr>
        <w:spacing w:after="0" w:line="19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During the six months ended April 30, 2026, we repurchased 175,905 shares under the stock repurchase program, with a market value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$18.5 million, or $104.98 per share. During the six months ended April 30, 2025, we repurchased 257,908 shares under the stock repurchase program,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market value of $30.1 million, or $116.70 per share. As of April 30, 2026, $57.9 million of our Class A common stock was available to be purchased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stock repurchase program.</w:t>
      </w:r>
    </w:p>
    <w:p>
      <w:pPr>
        <w:spacing w:after="0" w:line="207" w:lineRule="exact"/>
        <w:rPr>
          <w:sz w:val="20"/>
          <w:szCs w:val="20"/>
          <w:color w:val="auto"/>
        </w:rPr>
      </w:pPr>
    </w:p>
    <w:p>
      <w:pPr>
        <w:ind w:right="100" w:firstLine="810"/>
        <w:spacing w:after="0" w:line="258" w:lineRule="auto"/>
        <w:rPr>
          <w:sz w:val="20"/>
          <w:szCs w:val="20"/>
          <w:color w:val="auto"/>
        </w:rPr>
      </w:pPr>
      <w:r>
        <w:rPr>
          <w:rFonts w:ascii="Times New Roman" w:cs="Times New Roman" w:eastAsia="Times New Roman" w:hAnsi="Times New Roman"/>
          <w:sz w:val="18"/>
          <w:szCs w:val="18"/>
          <w:color w:val="auto"/>
        </w:rPr>
        <w:t>On July 12, 2005, we issued 5,600 shares of 7.625% Series A preferred stock, with a liquidation preference of $25,000 per share. Dividends on the Series A preferred stock are not cumulative and are payable at an annual rate of 7.625%. The Series A preferred stock is not convertible into the Company’s common stock and is redeemable in whole or in part at our option at the liquidation preference of the shares. The Series A preferred stock is traded as depositary shares, with each depositary share representing 1/1000th of a share of Series A preferred stock. We paid dividends of $2.7 million and $5.3 million on the Series A preferred stock for each of the three and six months ended April 30, 2026 and 2025, respectively.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Unconsolidated Joint Ventures</w:t>
      </w:r>
    </w:p>
    <w:p>
      <w:pPr>
        <w:spacing w:after="0" w:line="187" w:lineRule="exact"/>
        <w:rPr>
          <w:sz w:val="20"/>
          <w:szCs w:val="20"/>
          <w:color w:val="auto"/>
        </w:rPr>
      </w:pPr>
    </w:p>
    <w:p>
      <w:pPr>
        <w:ind w:right="60" w:firstLine="810"/>
        <w:spacing w:after="0" w:line="256" w:lineRule="auto"/>
        <w:rPr>
          <w:sz w:val="20"/>
          <w:szCs w:val="20"/>
          <w:color w:val="auto"/>
        </w:rPr>
      </w:pPr>
      <w:r>
        <w:rPr>
          <w:rFonts w:ascii="Times New Roman" w:cs="Times New Roman" w:eastAsia="Times New Roman" w:hAnsi="Times New Roman"/>
          <w:sz w:val="18"/>
          <w:szCs w:val="18"/>
          <w:color w:val="auto"/>
        </w:rPr>
        <w:t>We have investments in unconsolidated joint ventures in various markets where our homebuilding operations are located. Investments in and advances to unconsolidated joint ventures decreased $15.0 million to $148.5 million at April 30, 2026 compared to October 31, 2025. The decrease was primarily due the consolidation of a previously unconsolidated joint venture during the period and an increase in our share of losses recognized for an existing unconsolidated joint venture, partially offset by a new joint venture entered into during the first quarter of fiscal 2026, along with an increase in our share of income recognized for two of our existing unconsolidated joint ventures during the period. As of April 30, 2026 and October 31, 2025, we had investments in five and six unconsolidated homebuilding joint ventures, respectively.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200" w:lineRule="exact"/>
        <w:rPr>
          <w:sz w:val="20"/>
          <w:szCs w:val="20"/>
          <w:color w:val="auto"/>
        </w:rPr>
      </w:pPr>
    </w:p>
    <w:p>
      <w:pPr>
        <w:ind w:right="20" w:firstLine="810"/>
        <w:spacing w:after="0" w:line="255" w:lineRule="auto"/>
        <w:rPr>
          <w:sz w:val="20"/>
          <w:szCs w:val="20"/>
          <w:color w:val="auto"/>
        </w:rPr>
      </w:pPr>
      <w:r>
        <w:rPr>
          <w:rFonts w:ascii="Times New Roman" w:cs="Times New Roman" w:eastAsia="Times New Roman" w:hAnsi="Times New Roman"/>
          <w:sz w:val="18"/>
          <w:szCs w:val="18"/>
          <w:color w:val="auto"/>
        </w:rPr>
        <w:t>Total inventory, excluding consolidated inventory not owned, increased $49.9 million to $1.4 billion at April 30, 2026 compared to October 31, 2025. Total inventory, excluding consolidated inventory not owned, increased by $116.5 million from the acquisition of a controlling interest and resulting consolidation of KSA and increased $1.3 million in the West. These increases were partially offset by decreases of $10.4 million in the Northeast and $57.5 million in the Southeast. The net decrease in our domestic inventory was primarily attributable to home deliveries, inventory impairments and land option write-offs, land sales, and inventory contributed to new unconsolidated joint ventures during the period, partially offset by new land purchases and land development. Substantially all homes under construction or completed and included in inventory at April 30, 2026 are expected to be delivered during the next six to nine months.</w:t>
      </w:r>
    </w:p>
    <w:p>
      <w:pPr>
        <w:spacing w:after="0" w:line="148" w:lineRule="exact"/>
        <w:rPr>
          <w:sz w:val="20"/>
          <w:szCs w:val="20"/>
          <w:color w:val="auto"/>
        </w:rPr>
      </w:pPr>
    </w:p>
    <w:p>
      <w:pPr>
        <w:ind w:firstLine="810"/>
        <w:spacing w:after="0" w:line="253" w:lineRule="auto"/>
        <w:rPr>
          <w:sz w:val="20"/>
          <w:szCs w:val="20"/>
          <w:color w:val="auto"/>
        </w:rPr>
      </w:pPr>
      <w:r>
        <w:rPr>
          <w:rFonts w:ascii="Times New Roman" w:cs="Times New Roman" w:eastAsia="Times New Roman" w:hAnsi="Times New Roman"/>
          <w:sz w:val="18"/>
          <w:szCs w:val="18"/>
          <w:color w:val="auto"/>
        </w:rPr>
        <w:t>Consolidated inventory not owned, which consists of options related to land banking and model financing, increased $36.2 million from October 31, 2025 to April 30, 2026. The increase was primarily due to an increase in land banking transactions, partially offset by a decrease in the sale and leaseback of certain model homes during the period. We have land banking arrangements, whereby we sell land parcels to land bankers and they provide us with an option to purchase finished lots on a predetermined schedule. Because of our options to repurchase these parcels, these transactions are considered a financing rather than a sale. Our Condensed Consolidated Balance Sheet, at April 30, 2026, included inventory of $296.1 million recorded to “Consolidated inventory not owned,” with a corresponding amount of $180.2 million (net of debt issuance costs) recorded to “Liabilities from inventory not owned” for the amount of net cash received from the transactions. In addition, we sell and lease back certain of our model homes with the right to participate in the potential profit when each home is sold to a third-party at the end of the respective lease. As a result of our continued involvement and the ability to repurchase model homes with below market options, these sale and leaseback transactions are considered a financing rather than a sale. Therefore, our Condensed Consolidated Balance Sheet, at April 30, 2026, included inventory of $73.0 million recorded to “Consolidated inventory not owned,” with a corresponding amount of $73.2 million (net of debt issuance costs) recorded to “Liabilities from inventory not owned” for the amount of net cash received from the transactions.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748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8" w:lineRule="exact"/>
        <w:rPr>
          <w:sz w:val="20"/>
          <w:szCs w:val="20"/>
          <w:color w:val="auto"/>
        </w:rPr>
      </w:pPr>
    </w:p>
    <w:p>
      <w:pPr>
        <w:jc w:val="both"/>
        <w:ind w:right="260" w:firstLine="810"/>
        <w:spacing w:after="0" w:line="266" w:lineRule="auto"/>
        <w:rPr>
          <w:sz w:val="20"/>
          <w:szCs w:val="20"/>
          <w:color w:val="auto"/>
        </w:rPr>
      </w:pPr>
      <w:r>
        <w:rPr>
          <w:rFonts w:ascii="Times New Roman" w:cs="Times New Roman" w:eastAsia="Times New Roman" w:hAnsi="Times New Roman"/>
          <w:sz w:val="18"/>
          <w:szCs w:val="18"/>
          <w:color w:val="auto"/>
        </w:rPr>
        <w:t>The following tables summarize home sites included in our total residential real estate. The decrease in total domestic home sites available at April 30, 2026 compared to October 31, 2025 is attributable to delivering homes and terminating certain option agreements, partially offset by acquiring new land parcels during the period.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6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Active Selling</w:t>
            </w:r>
          </w:p>
        </w:tc>
        <w:tc>
          <w:tcPr>
            <w:tcW w:w="14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Proposed</w:t>
            </w:r>
          </w:p>
        </w:tc>
        <w:tc>
          <w:tcPr>
            <w:tcW w:w="1100" w:type="dxa"/>
            <w:vAlign w:val="bottom"/>
          </w:tcPr>
          <w:p>
            <w:pPr>
              <w:spacing w:after="0"/>
              <w:rPr>
                <w:sz w:val="18"/>
                <w:szCs w:val="18"/>
                <w:color w:val="auto"/>
              </w:rPr>
            </w:pPr>
          </w:p>
        </w:tc>
      </w:tr>
      <w:tr>
        <w:trPr>
          <w:trHeight w:val="203"/>
        </w:trPr>
        <w:tc>
          <w:tcPr>
            <w:tcW w:w="3660" w:type="dxa"/>
            <w:vAlign w:val="bottom"/>
          </w:tcPr>
          <w:p>
            <w:pPr>
              <w:spacing w:after="0"/>
              <w:rPr>
                <w:sz w:val="17"/>
                <w:szCs w:val="17"/>
                <w:color w:val="auto"/>
              </w:rPr>
            </w:pPr>
          </w:p>
        </w:tc>
        <w:tc>
          <w:tcPr>
            <w:tcW w:w="3700" w:type="dxa"/>
            <w:vAlign w:val="bottom"/>
          </w:tcPr>
          <w:p>
            <w:pPr>
              <w:jc w:val="right"/>
              <w:ind w:right="130"/>
              <w:spacing w:after="0" w:line="202" w:lineRule="exact"/>
              <w:rPr>
                <w:sz w:val="20"/>
                <w:szCs w:val="20"/>
                <w:color w:val="auto"/>
              </w:rPr>
            </w:pPr>
            <w:r>
              <w:rPr>
                <w:rFonts w:ascii="Times New Roman" w:cs="Times New Roman" w:eastAsia="Times New Roman" w:hAnsi="Times New Roman"/>
                <w:sz w:val="18"/>
                <w:szCs w:val="18"/>
                <w:b w:val="1"/>
                <w:bCs w:val="1"/>
                <w:color w:val="auto"/>
              </w:rPr>
              <w:t>Active Selling</w:t>
            </w:r>
          </w:p>
        </w:tc>
        <w:tc>
          <w:tcPr>
            <w:tcW w:w="13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8"/>
              </w:rPr>
              <w:t>Communities</w:t>
            </w:r>
          </w:p>
        </w:tc>
        <w:tc>
          <w:tcPr>
            <w:tcW w:w="1440" w:type="dxa"/>
            <w:vAlign w:val="bottom"/>
          </w:tcPr>
          <w:p>
            <w:pPr>
              <w:jc w:val="center"/>
              <w:ind w:right="50"/>
              <w:spacing w:after="0" w:line="202" w:lineRule="exact"/>
              <w:rPr>
                <w:sz w:val="20"/>
                <w:szCs w:val="20"/>
                <w:color w:val="auto"/>
              </w:rPr>
            </w:pPr>
            <w:r>
              <w:rPr>
                <w:rFonts w:ascii="Times New Roman" w:cs="Times New Roman" w:eastAsia="Times New Roman" w:hAnsi="Times New Roman"/>
                <w:sz w:val="18"/>
                <w:szCs w:val="18"/>
                <w:b w:val="1"/>
                <w:bCs w:val="1"/>
                <w:color w:val="auto"/>
                <w:w w:val="99"/>
              </w:rPr>
              <w:t>Developable</w:t>
            </w:r>
          </w:p>
        </w:tc>
        <w:tc>
          <w:tcPr>
            <w:tcW w:w="1100" w:type="dxa"/>
            <w:vAlign w:val="bottom"/>
          </w:tcPr>
          <w:p>
            <w:pPr>
              <w:jc w:val="right"/>
              <w:ind w:right="270"/>
              <w:spacing w:after="0" w:line="202" w:lineRule="exact"/>
              <w:rPr>
                <w:sz w:val="20"/>
                <w:szCs w:val="20"/>
                <w:color w:val="auto"/>
              </w:rPr>
            </w:pPr>
            <w:r>
              <w:rPr>
                <w:rFonts w:ascii="Times New Roman" w:cs="Times New Roman" w:eastAsia="Times New Roman" w:hAnsi="Times New Roman"/>
                <w:sz w:val="18"/>
                <w:szCs w:val="18"/>
                <w:b w:val="1"/>
                <w:bCs w:val="1"/>
                <w:color w:val="auto"/>
              </w:rPr>
              <w:t>Total</w:t>
            </w:r>
          </w:p>
        </w:tc>
      </w:tr>
      <w:tr>
        <w:trPr>
          <w:trHeight w:val="225"/>
        </w:trPr>
        <w:tc>
          <w:tcPr>
            <w:tcW w:w="3660" w:type="dxa"/>
            <w:vAlign w:val="bottom"/>
            <w:tcBorders>
              <w:bottom w:val="single" w:sz="8" w:color="auto"/>
            </w:tcBorders>
          </w:tcPr>
          <w:p>
            <w:pPr>
              <w:spacing w:after="0"/>
              <w:rPr>
                <w:sz w:val="19"/>
                <w:szCs w:val="19"/>
                <w:color w:val="auto"/>
              </w:rPr>
            </w:pPr>
          </w:p>
        </w:tc>
        <w:tc>
          <w:tcPr>
            <w:tcW w:w="37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Communities(1)</w:t>
            </w: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Homes</w:t>
            </w:r>
          </w:p>
        </w:tc>
        <w:tc>
          <w:tcPr>
            <w:tcW w:w="14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Homes</w:t>
            </w:r>
          </w:p>
        </w:tc>
        <w:tc>
          <w:tcPr>
            <w:tcW w:w="11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Homes</w:t>
            </w:r>
          </w:p>
        </w:tc>
      </w:tr>
      <w:tr>
        <w:trPr>
          <w:trHeight w:val="196"/>
        </w:trPr>
        <w:tc>
          <w:tcPr>
            <w:tcW w:w="36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April 30, 2026:</w:t>
            </w:r>
          </w:p>
        </w:tc>
        <w:tc>
          <w:tcPr>
            <w:tcW w:w="37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03"/>
        </w:trPr>
        <w:tc>
          <w:tcPr>
            <w:tcW w:w="366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366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Northeast</w:t>
            </w:r>
          </w:p>
        </w:tc>
        <w:tc>
          <w:tcPr>
            <w:tcW w:w="3700" w:type="dxa"/>
            <w:vAlign w:val="bottom"/>
            <w:shd w:val="clear" w:color="auto" w:fill="CCEEFF"/>
          </w:tcPr>
          <w:p>
            <w:pPr>
              <w:jc w:val="right"/>
              <w:ind w:right="90"/>
              <w:spacing w:after="0" w:line="202" w:lineRule="exact"/>
              <w:rPr>
                <w:sz w:val="20"/>
                <w:szCs w:val="20"/>
                <w:color w:val="auto"/>
              </w:rPr>
            </w:pPr>
            <w:r>
              <w:rPr>
                <w:rFonts w:ascii="Times New Roman" w:cs="Times New Roman" w:eastAsia="Times New Roman" w:hAnsi="Times New Roman"/>
                <w:sz w:val="18"/>
                <w:szCs w:val="18"/>
                <w:color w:val="auto"/>
              </w:rPr>
              <w:t>44</w:t>
            </w:r>
          </w:p>
        </w:tc>
        <w:tc>
          <w:tcPr>
            <w:tcW w:w="1340" w:type="dxa"/>
            <w:vAlign w:val="bottom"/>
            <w:shd w:val="clear" w:color="auto" w:fill="CCEEFF"/>
          </w:tcPr>
          <w:p>
            <w:pPr>
              <w:jc w:val="right"/>
              <w:ind w:right="90"/>
              <w:spacing w:after="0" w:line="202" w:lineRule="exact"/>
              <w:rPr>
                <w:sz w:val="20"/>
                <w:szCs w:val="20"/>
                <w:color w:val="auto"/>
              </w:rPr>
            </w:pPr>
            <w:r>
              <w:rPr>
                <w:rFonts w:ascii="Times New Roman" w:cs="Times New Roman" w:eastAsia="Times New Roman" w:hAnsi="Times New Roman"/>
                <w:sz w:val="18"/>
                <w:szCs w:val="18"/>
                <w:color w:val="auto"/>
              </w:rPr>
              <w:t>4,982</w:t>
            </w:r>
          </w:p>
        </w:tc>
        <w:tc>
          <w:tcPr>
            <w:tcW w:w="1440" w:type="dxa"/>
            <w:vAlign w:val="bottom"/>
            <w:shd w:val="clear" w:color="auto" w:fill="CCEEFF"/>
          </w:tcPr>
          <w:p>
            <w:pPr>
              <w:jc w:val="right"/>
              <w:ind w:right="190"/>
              <w:spacing w:after="0" w:line="202" w:lineRule="exact"/>
              <w:rPr>
                <w:sz w:val="20"/>
                <w:szCs w:val="20"/>
                <w:color w:val="auto"/>
              </w:rPr>
            </w:pPr>
            <w:r>
              <w:rPr>
                <w:rFonts w:ascii="Times New Roman" w:cs="Times New Roman" w:eastAsia="Times New Roman" w:hAnsi="Times New Roman"/>
                <w:sz w:val="18"/>
                <w:szCs w:val="18"/>
                <w:color w:val="auto"/>
              </w:rPr>
              <w:t>13,864</w:t>
            </w:r>
          </w:p>
        </w:tc>
        <w:tc>
          <w:tcPr>
            <w:tcW w:w="11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18,846</w:t>
            </w:r>
          </w:p>
        </w:tc>
      </w:tr>
      <w:tr>
        <w:trPr>
          <w:trHeight w:val="203"/>
        </w:trPr>
        <w:tc>
          <w:tcPr>
            <w:tcW w:w="36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Southeast</w:t>
            </w:r>
          </w:p>
        </w:tc>
        <w:tc>
          <w:tcPr>
            <w:tcW w:w="3700" w:type="dxa"/>
            <w:vAlign w:val="bottom"/>
          </w:tcPr>
          <w:p>
            <w:pPr>
              <w:jc w:val="right"/>
              <w:ind w:right="90"/>
              <w:spacing w:after="0" w:line="202" w:lineRule="exact"/>
              <w:rPr>
                <w:sz w:val="20"/>
                <w:szCs w:val="20"/>
                <w:color w:val="auto"/>
              </w:rPr>
            </w:pPr>
            <w:r>
              <w:rPr>
                <w:rFonts w:ascii="Times New Roman" w:cs="Times New Roman" w:eastAsia="Times New Roman" w:hAnsi="Times New Roman"/>
                <w:sz w:val="18"/>
                <w:szCs w:val="18"/>
                <w:color w:val="auto"/>
              </w:rPr>
              <w:t>24</w:t>
            </w:r>
          </w:p>
        </w:tc>
        <w:tc>
          <w:tcPr>
            <w:tcW w:w="1340" w:type="dxa"/>
            <w:vAlign w:val="bottom"/>
          </w:tcPr>
          <w:p>
            <w:pPr>
              <w:jc w:val="right"/>
              <w:ind w:right="90"/>
              <w:spacing w:after="0" w:line="202" w:lineRule="exact"/>
              <w:rPr>
                <w:sz w:val="20"/>
                <w:szCs w:val="20"/>
                <w:color w:val="auto"/>
              </w:rPr>
            </w:pPr>
            <w:r>
              <w:rPr>
                <w:rFonts w:ascii="Times New Roman" w:cs="Times New Roman" w:eastAsia="Times New Roman" w:hAnsi="Times New Roman"/>
                <w:sz w:val="18"/>
                <w:szCs w:val="18"/>
                <w:color w:val="auto"/>
              </w:rPr>
              <w:t>1,840</w:t>
            </w:r>
          </w:p>
        </w:tc>
        <w:tc>
          <w:tcPr>
            <w:tcW w:w="1440" w:type="dxa"/>
            <w:vAlign w:val="bottom"/>
          </w:tcPr>
          <w:p>
            <w:pPr>
              <w:jc w:val="right"/>
              <w:ind w:right="190"/>
              <w:spacing w:after="0" w:line="202" w:lineRule="exact"/>
              <w:rPr>
                <w:sz w:val="20"/>
                <w:szCs w:val="20"/>
                <w:color w:val="auto"/>
              </w:rPr>
            </w:pPr>
            <w:r>
              <w:rPr>
                <w:rFonts w:ascii="Times New Roman" w:cs="Times New Roman" w:eastAsia="Times New Roman" w:hAnsi="Times New Roman"/>
                <w:sz w:val="18"/>
                <w:szCs w:val="18"/>
                <w:color w:val="auto"/>
              </w:rPr>
              <w:t>3,712</w:t>
            </w:r>
          </w:p>
        </w:tc>
        <w:tc>
          <w:tcPr>
            <w:tcW w:w="11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5,552</w:t>
            </w:r>
          </w:p>
        </w:tc>
      </w:tr>
      <w:tr>
        <w:trPr>
          <w:trHeight w:val="203"/>
        </w:trPr>
        <w:tc>
          <w:tcPr>
            <w:tcW w:w="3660" w:type="dxa"/>
            <w:vAlign w:val="bottom"/>
            <w:tcBorders>
              <w:bottom w:val="single" w:sz="8" w:color="auto"/>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West</w:t>
            </w:r>
          </w:p>
        </w:tc>
        <w:tc>
          <w:tcPr>
            <w:tcW w:w="3700" w:type="dxa"/>
            <w:vAlign w:val="bottom"/>
            <w:tcBorders>
              <w:bottom w:val="single" w:sz="8" w:color="auto"/>
            </w:tcBorders>
            <w:shd w:val="clear" w:color="auto" w:fill="CCEEFF"/>
          </w:tcPr>
          <w:p>
            <w:pPr>
              <w:jc w:val="right"/>
              <w:ind w:right="90"/>
              <w:spacing w:after="0" w:line="202" w:lineRule="exact"/>
              <w:rPr>
                <w:sz w:val="20"/>
                <w:szCs w:val="20"/>
                <w:color w:val="auto"/>
              </w:rPr>
            </w:pPr>
            <w:r>
              <w:rPr>
                <w:rFonts w:ascii="Times New Roman" w:cs="Times New Roman" w:eastAsia="Times New Roman" w:hAnsi="Times New Roman"/>
                <w:sz w:val="18"/>
                <w:szCs w:val="18"/>
                <w:color w:val="auto"/>
              </w:rPr>
              <w:t>57</w:t>
            </w:r>
          </w:p>
        </w:tc>
        <w:tc>
          <w:tcPr>
            <w:tcW w:w="1340" w:type="dxa"/>
            <w:vAlign w:val="bottom"/>
            <w:tcBorders>
              <w:bottom w:val="single" w:sz="8" w:color="auto"/>
            </w:tcBorders>
            <w:shd w:val="clear" w:color="auto" w:fill="CCEEFF"/>
          </w:tcPr>
          <w:p>
            <w:pPr>
              <w:jc w:val="right"/>
              <w:ind w:right="90"/>
              <w:spacing w:after="0" w:line="202" w:lineRule="exact"/>
              <w:rPr>
                <w:sz w:val="20"/>
                <w:szCs w:val="20"/>
                <w:color w:val="auto"/>
              </w:rPr>
            </w:pPr>
            <w:r>
              <w:rPr>
                <w:rFonts w:ascii="Times New Roman" w:cs="Times New Roman" w:eastAsia="Times New Roman" w:hAnsi="Times New Roman"/>
                <w:sz w:val="18"/>
                <w:szCs w:val="18"/>
                <w:color w:val="auto"/>
              </w:rPr>
              <w:t>6,010</w:t>
            </w:r>
          </w:p>
        </w:tc>
        <w:tc>
          <w:tcPr>
            <w:tcW w:w="1440" w:type="dxa"/>
            <w:vAlign w:val="bottom"/>
            <w:tcBorders>
              <w:bottom w:val="single" w:sz="8" w:color="auto"/>
            </w:tcBorders>
            <w:shd w:val="clear" w:color="auto" w:fill="CCEEFF"/>
          </w:tcPr>
          <w:p>
            <w:pPr>
              <w:jc w:val="right"/>
              <w:ind w:right="190"/>
              <w:spacing w:after="0" w:line="202" w:lineRule="exact"/>
              <w:rPr>
                <w:sz w:val="20"/>
                <w:szCs w:val="20"/>
                <w:color w:val="auto"/>
              </w:rPr>
            </w:pPr>
            <w:r>
              <w:rPr>
                <w:rFonts w:ascii="Times New Roman" w:cs="Times New Roman" w:eastAsia="Times New Roman" w:hAnsi="Times New Roman"/>
                <w:sz w:val="18"/>
                <w:szCs w:val="18"/>
                <w:color w:val="auto"/>
              </w:rPr>
              <w:t>3,240</w:t>
            </w:r>
          </w:p>
        </w:tc>
        <w:tc>
          <w:tcPr>
            <w:tcW w:w="110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9,250</w:t>
            </w:r>
          </w:p>
        </w:tc>
      </w:tr>
      <w:tr>
        <w:trPr>
          <w:trHeight w:val="196"/>
        </w:trPr>
        <w:tc>
          <w:tcPr>
            <w:tcW w:w="366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3660" w:type="dxa"/>
            <w:vAlign w:val="bottom"/>
            <w:tcBorders>
              <w:bottom w:val="single" w:sz="8" w:color="auto"/>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Domestic subtotal</w:t>
            </w:r>
          </w:p>
        </w:tc>
        <w:tc>
          <w:tcPr>
            <w:tcW w:w="3700" w:type="dxa"/>
            <w:vAlign w:val="bottom"/>
            <w:tcBorders>
              <w:bottom w:val="single" w:sz="8" w:color="auto"/>
            </w:tcBorders>
            <w:shd w:val="clear" w:color="auto" w:fill="CCEEFF"/>
          </w:tcPr>
          <w:p>
            <w:pPr>
              <w:jc w:val="right"/>
              <w:ind w:right="90"/>
              <w:spacing w:after="0" w:line="202" w:lineRule="exact"/>
              <w:rPr>
                <w:sz w:val="20"/>
                <w:szCs w:val="20"/>
                <w:color w:val="auto"/>
              </w:rPr>
            </w:pPr>
            <w:r>
              <w:rPr>
                <w:rFonts w:ascii="Times New Roman" w:cs="Times New Roman" w:eastAsia="Times New Roman" w:hAnsi="Times New Roman"/>
                <w:sz w:val="18"/>
                <w:szCs w:val="18"/>
                <w:color w:val="auto"/>
              </w:rPr>
              <w:t>125</w:t>
            </w:r>
          </w:p>
        </w:tc>
        <w:tc>
          <w:tcPr>
            <w:tcW w:w="1340" w:type="dxa"/>
            <w:vAlign w:val="bottom"/>
            <w:tcBorders>
              <w:bottom w:val="single" w:sz="8" w:color="auto"/>
            </w:tcBorders>
            <w:shd w:val="clear" w:color="auto" w:fill="CCEEFF"/>
          </w:tcPr>
          <w:p>
            <w:pPr>
              <w:jc w:val="right"/>
              <w:ind w:right="90"/>
              <w:spacing w:after="0" w:line="202" w:lineRule="exact"/>
              <w:rPr>
                <w:sz w:val="20"/>
                <w:szCs w:val="20"/>
                <w:color w:val="auto"/>
              </w:rPr>
            </w:pPr>
            <w:r>
              <w:rPr>
                <w:rFonts w:ascii="Times New Roman" w:cs="Times New Roman" w:eastAsia="Times New Roman" w:hAnsi="Times New Roman"/>
                <w:sz w:val="18"/>
                <w:szCs w:val="18"/>
                <w:color w:val="auto"/>
              </w:rPr>
              <w:t>12,832</w:t>
            </w:r>
          </w:p>
        </w:tc>
        <w:tc>
          <w:tcPr>
            <w:tcW w:w="1440" w:type="dxa"/>
            <w:vAlign w:val="bottom"/>
            <w:tcBorders>
              <w:bottom w:val="single" w:sz="8" w:color="auto"/>
            </w:tcBorders>
            <w:shd w:val="clear" w:color="auto" w:fill="CCEEFF"/>
          </w:tcPr>
          <w:p>
            <w:pPr>
              <w:jc w:val="right"/>
              <w:ind w:right="190"/>
              <w:spacing w:after="0" w:line="202" w:lineRule="exact"/>
              <w:rPr>
                <w:sz w:val="20"/>
                <w:szCs w:val="20"/>
                <w:color w:val="auto"/>
              </w:rPr>
            </w:pPr>
            <w:r>
              <w:rPr>
                <w:rFonts w:ascii="Times New Roman" w:cs="Times New Roman" w:eastAsia="Times New Roman" w:hAnsi="Times New Roman"/>
                <w:sz w:val="18"/>
                <w:szCs w:val="18"/>
                <w:color w:val="auto"/>
              </w:rPr>
              <w:t>20,816</w:t>
            </w:r>
          </w:p>
        </w:tc>
        <w:tc>
          <w:tcPr>
            <w:tcW w:w="110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33,648</w:t>
            </w:r>
          </w:p>
        </w:tc>
      </w:tr>
      <w:tr>
        <w:trPr>
          <w:trHeight w:val="20"/>
        </w:trPr>
        <w:tc>
          <w:tcPr>
            <w:tcW w:w="3660" w:type="dxa"/>
            <w:vAlign w:val="bottom"/>
            <w:tcBorders>
              <w:bottom w:val="single" w:sz="8" w:color="auto"/>
            </w:tcBorders>
          </w:tcPr>
          <w:p>
            <w:pPr>
              <w:spacing w:after="0" w:line="20" w:lineRule="exact"/>
              <w:rPr>
                <w:sz w:val="1"/>
                <w:szCs w:val="1"/>
                <w:color w:val="auto"/>
              </w:rPr>
            </w:pPr>
          </w:p>
        </w:tc>
        <w:tc>
          <w:tcPr>
            <w:tcW w:w="37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3"/>
        </w:trPr>
        <w:tc>
          <w:tcPr>
            <w:tcW w:w="366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03"/>
        </w:trPr>
        <w:tc>
          <w:tcPr>
            <w:tcW w:w="366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KSA</w:t>
            </w:r>
          </w:p>
        </w:tc>
        <w:tc>
          <w:tcPr>
            <w:tcW w:w="3700" w:type="dxa"/>
            <w:vAlign w:val="bottom"/>
            <w:shd w:val="clear" w:color="auto" w:fill="CCEEFF"/>
          </w:tcPr>
          <w:p>
            <w:pPr>
              <w:jc w:val="right"/>
              <w:ind w:right="90"/>
              <w:spacing w:after="0" w:line="202" w:lineRule="exact"/>
              <w:rPr>
                <w:sz w:val="20"/>
                <w:szCs w:val="20"/>
                <w:color w:val="auto"/>
              </w:rPr>
            </w:pPr>
            <w:r>
              <w:rPr>
                <w:rFonts w:ascii="Times New Roman" w:cs="Times New Roman" w:eastAsia="Times New Roman" w:hAnsi="Times New Roman"/>
                <w:sz w:val="18"/>
                <w:szCs w:val="18"/>
                <w:color w:val="auto"/>
              </w:rPr>
              <w:t>3</w:t>
            </w:r>
          </w:p>
        </w:tc>
        <w:tc>
          <w:tcPr>
            <w:tcW w:w="1340" w:type="dxa"/>
            <w:vAlign w:val="bottom"/>
            <w:shd w:val="clear" w:color="auto" w:fill="CCEEFF"/>
          </w:tcPr>
          <w:p>
            <w:pPr>
              <w:jc w:val="right"/>
              <w:ind w:right="90"/>
              <w:spacing w:after="0" w:line="202" w:lineRule="exact"/>
              <w:rPr>
                <w:sz w:val="20"/>
                <w:szCs w:val="20"/>
                <w:color w:val="auto"/>
              </w:rPr>
            </w:pPr>
            <w:r>
              <w:rPr>
                <w:rFonts w:ascii="Times New Roman" w:cs="Times New Roman" w:eastAsia="Times New Roman" w:hAnsi="Times New Roman"/>
                <w:sz w:val="18"/>
                <w:szCs w:val="18"/>
                <w:color w:val="auto"/>
              </w:rPr>
              <w:t>1,241</w:t>
            </w:r>
          </w:p>
        </w:tc>
        <w:tc>
          <w:tcPr>
            <w:tcW w:w="1440" w:type="dxa"/>
            <w:vAlign w:val="bottom"/>
            <w:shd w:val="clear" w:color="auto" w:fill="CCEEFF"/>
          </w:tcPr>
          <w:p>
            <w:pPr>
              <w:jc w:val="right"/>
              <w:ind w:right="190"/>
              <w:spacing w:after="0" w:line="202" w:lineRule="exact"/>
              <w:rPr>
                <w:sz w:val="20"/>
                <w:szCs w:val="20"/>
                <w:color w:val="auto"/>
              </w:rPr>
            </w:pPr>
            <w:r>
              <w:rPr>
                <w:rFonts w:ascii="Times New Roman" w:cs="Times New Roman" w:eastAsia="Times New Roman" w:hAnsi="Times New Roman"/>
                <w:sz w:val="18"/>
                <w:szCs w:val="18"/>
                <w:color w:val="auto"/>
              </w:rPr>
              <w:t>1,827</w:t>
            </w:r>
          </w:p>
        </w:tc>
        <w:tc>
          <w:tcPr>
            <w:tcW w:w="11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3,068</w:t>
            </w:r>
          </w:p>
        </w:tc>
      </w:tr>
      <w:tr>
        <w:trPr>
          <w:trHeight w:val="202"/>
        </w:trPr>
        <w:tc>
          <w:tcPr>
            <w:tcW w:w="366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90"/>
        </w:trPr>
        <w:tc>
          <w:tcPr>
            <w:tcW w:w="3660" w:type="dxa"/>
            <w:vAlign w:val="bottom"/>
            <w:shd w:val="clear" w:color="auto" w:fill="CCEEFF"/>
          </w:tcPr>
          <w:p>
            <w:pPr>
              <w:spacing w:after="0"/>
              <w:rPr>
                <w:sz w:val="7"/>
                <w:szCs w:val="7"/>
                <w:color w:val="auto"/>
              </w:rPr>
            </w:pPr>
          </w:p>
        </w:tc>
        <w:tc>
          <w:tcPr>
            <w:tcW w:w="3700" w:type="dxa"/>
            <w:vAlign w:val="bottom"/>
            <w:shd w:val="clear" w:color="auto" w:fill="CCEEFF"/>
          </w:tcPr>
          <w:p>
            <w:pPr>
              <w:spacing w:after="0"/>
              <w:rPr>
                <w:sz w:val="7"/>
                <w:szCs w:val="7"/>
                <w:color w:val="auto"/>
              </w:rPr>
            </w:pPr>
          </w:p>
        </w:tc>
        <w:tc>
          <w:tcPr>
            <w:tcW w:w="1340" w:type="dxa"/>
            <w:vAlign w:val="bottom"/>
            <w:shd w:val="clear" w:color="auto" w:fill="CCEEFF"/>
          </w:tcPr>
          <w:p>
            <w:pPr>
              <w:spacing w:after="0"/>
              <w:rPr>
                <w:sz w:val="7"/>
                <w:szCs w:val="7"/>
                <w:color w:val="auto"/>
              </w:rPr>
            </w:pPr>
          </w:p>
        </w:tc>
        <w:tc>
          <w:tcPr>
            <w:tcW w:w="144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r>
    </w:tbl>
    <w:p>
      <w:pPr>
        <w:sectPr>
          <w:pgSz w:w="11900" w:h="16900" w:orient="portrait"/>
          <w:cols w:equalWidth="0" w:num="1">
            <w:col w:w="11240"/>
          </w:cols>
          <w:pgMar w:left="320" w:top="121" w:right="339" w:bottom="0" w:gutter="0" w:footer="0" w:header="0"/>
        </w:sectPr>
      </w:pPr>
    </w:p>
    <w:bookmarkStart w:id="35" w:name="page36"/>
    <w:bookmarkEnd w:id="3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total</w:t>
            </w:r>
          </w:p>
        </w:tc>
        <w:tc>
          <w:tcPr>
            <w:tcW w:w="28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128</w:t>
            </w:r>
          </w:p>
        </w:tc>
        <w:tc>
          <w:tcPr>
            <w:tcW w:w="13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14,073</w:t>
            </w:r>
          </w:p>
        </w:tc>
        <w:tc>
          <w:tcPr>
            <w:tcW w:w="14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22,643</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36,716</w:t>
            </w:r>
          </w:p>
        </w:tc>
      </w:tr>
      <w:tr>
        <w:trPr>
          <w:trHeight w:val="20"/>
        </w:trPr>
        <w:tc>
          <w:tcPr>
            <w:tcW w:w="4460" w:type="dxa"/>
            <w:vAlign w:val="bottom"/>
            <w:tcBorders>
              <w:bottom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3"/>
        </w:trPr>
        <w:tc>
          <w:tcPr>
            <w:tcW w:w="446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03"/>
        </w:trPr>
        <w:tc>
          <w:tcPr>
            <w:tcW w:w="4460" w:type="dxa"/>
            <w:vAlign w:val="bottom"/>
            <w:tcBorders>
              <w:bottom w:val="single" w:sz="8" w:color="auto"/>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Unconsolidated joint ventures (2)</w:t>
            </w:r>
          </w:p>
        </w:tc>
        <w:tc>
          <w:tcPr>
            <w:tcW w:w="2860" w:type="dxa"/>
            <w:vAlign w:val="bottom"/>
            <w:tcBorders>
              <w:bottom w:val="single" w:sz="8" w:color="auto"/>
            </w:tcBorders>
            <w:shd w:val="clear" w:color="auto" w:fill="CCEEFF"/>
          </w:tcPr>
          <w:p>
            <w:pPr>
              <w:jc w:val="right"/>
              <w:ind w:right="50"/>
              <w:spacing w:after="0" w:line="202" w:lineRule="exact"/>
              <w:rPr>
                <w:sz w:val="20"/>
                <w:szCs w:val="20"/>
                <w:color w:val="auto"/>
              </w:rPr>
            </w:pPr>
            <w:r>
              <w:rPr>
                <w:rFonts w:ascii="Times New Roman" w:cs="Times New Roman" w:eastAsia="Times New Roman" w:hAnsi="Times New Roman"/>
                <w:sz w:val="18"/>
                <w:szCs w:val="18"/>
                <w:color w:val="auto"/>
              </w:rPr>
              <w:t>23</w:t>
            </w:r>
          </w:p>
        </w:tc>
        <w:tc>
          <w:tcPr>
            <w:tcW w:w="1360" w:type="dxa"/>
            <w:vAlign w:val="bottom"/>
            <w:tcBorders>
              <w:bottom w:val="single" w:sz="8" w:color="auto"/>
            </w:tcBorders>
            <w:shd w:val="clear" w:color="auto" w:fill="CCEEFF"/>
          </w:tcPr>
          <w:p>
            <w:pPr>
              <w:jc w:val="right"/>
              <w:ind w:right="70"/>
              <w:spacing w:after="0" w:line="202" w:lineRule="exact"/>
              <w:rPr>
                <w:sz w:val="20"/>
                <w:szCs w:val="20"/>
                <w:color w:val="auto"/>
              </w:rPr>
            </w:pPr>
            <w:r>
              <w:rPr>
                <w:rFonts w:ascii="Times New Roman" w:cs="Times New Roman" w:eastAsia="Times New Roman" w:hAnsi="Times New Roman"/>
                <w:sz w:val="18"/>
                <w:szCs w:val="18"/>
                <w:color w:val="auto"/>
              </w:rPr>
              <w:t>2,522</w:t>
            </w:r>
          </w:p>
        </w:tc>
        <w:tc>
          <w:tcPr>
            <w:tcW w:w="1440" w:type="dxa"/>
            <w:vAlign w:val="bottom"/>
            <w:tcBorders>
              <w:bottom w:val="single" w:sz="8" w:color="auto"/>
            </w:tcBorders>
            <w:shd w:val="clear" w:color="auto" w:fill="CCEEFF"/>
          </w:tcPr>
          <w:p>
            <w:pPr>
              <w:jc w:val="right"/>
              <w:ind w:right="170"/>
              <w:spacing w:after="0" w:line="202" w:lineRule="exact"/>
              <w:rPr>
                <w:sz w:val="20"/>
                <w:szCs w:val="20"/>
                <w:color w:val="auto"/>
              </w:rPr>
            </w:pPr>
            <w:r>
              <w:rPr>
                <w:rFonts w:ascii="Times New Roman" w:cs="Times New Roman" w:eastAsia="Times New Roman" w:hAnsi="Times New Roman"/>
                <w:sz w:val="18"/>
                <w:szCs w:val="18"/>
                <w:color w:val="auto"/>
              </w:rPr>
              <w:t>467</w:t>
            </w:r>
          </w:p>
        </w:tc>
        <w:tc>
          <w:tcPr>
            <w:tcW w:w="112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2,989</w:t>
            </w:r>
          </w:p>
        </w:tc>
      </w:tr>
      <w:tr>
        <w:trPr>
          <w:trHeight w:val="20"/>
        </w:trPr>
        <w:tc>
          <w:tcPr>
            <w:tcW w:w="4460" w:type="dxa"/>
            <w:vAlign w:val="bottom"/>
            <w:tcBorders>
              <w:bottom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3"/>
        </w:trPr>
        <w:tc>
          <w:tcPr>
            <w:tcW w:w="446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03"/>
        </w:trPr>
        <w:tc>
          <w:tcPr>
            <w:tcW w:w="446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Domestic Owned</w:t>
            </w:r>
          </w:p>
        </w:tc>
        <w:tc>
          <w:tcPr>
            <w:tcW w:w="286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70"/>
              <w:spacing w:after="0" w:line="202" w:lineRule="exact"/>
              <w:rPr>
                <w:sz w:val="20"/>
                <w:szCs w:val="20"/>
                <w:color w:val="auto"/>
              </w:rPr>
            </w:pPr>
            <w:r>
              <w:rPr>
                <w:rFonts w:ascii="Times New Roman" w:cs="Times New Roman" w:eastAsia="Times New Roman" w:hAnsi="Times New Roman"/>
                <w:sz w:val="18"/>
                <w:szCs w:val="18"/>
                <w:color w:val="auto"/>
              </w:rPr>
              <w:t>3,440</w:t>
            </w:r>
          </w:p>
        </w:tc>
        <w:tc>
          <w:tcPr>
            <w:tcW w:w="1440" w:type="dxa"/>
            <w:vAlign w:val="bottom"/>
            <w:shd w:val="clear" w:color="auto" w:fill="CCEEFF"/>
          </w:tcPr>
          <w:p>
            <w:pPr>
              <w:jc w:val="right"/>
              <w:ind w:right="170"/>
              <w:spacing w:after="0" w:line="202" w:lineRule="exact"/>
              <w:rPr>
                <w:sz w:val="20"/>
                <w:szCs w:val="20"/>
                <w:color w:val="auto"/>
              </w:rPr>
            </w:pPr>
            <w:r>
              <w:rPr>
                <w:rFonts w:ascii="Times New Roman" w:cs="Times New Roman" w:eastAsia="Times New Roman" w:hAnsi="Times New Roman"/>
                <w:sz w:val="18"/>
                <w:szCs w:val="18"/>
                <w:color w:val="auto"/>
              </w:rPr>
              <w:t>1,209</w:t>
            </w:r>
          </w:p>
        </w:tc>
        <w:tc>
          <w:tcPr>
            <w:tcW w:w="11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4,649</w:t>
            </w:r>
          </w:p>
        </w:tc>
      </w:tr>
      <w:tr>
        <w:trPr>
          <w:trHeight w:val="203"/>
        </w:trPr>
        <w:tc>
          <w:tcPr>
            <w:tcW w:w="44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Domestic Optioned</w:t>
            </w:r>
          </w:p>
        </w:tc>
        <w:tc>
          <w:tcPr>
            <w:tcW w:w="2860" w:type="dxa"/>
            <w:vAlign w:val="bottom"/>
          </w:tcPr>
          <w:p>
            <w:pPr>
              <w:spacing w:after="0"/>
              <w:rPr>
                <w:sz w:val="17"/>
                <w:szCs w:val="17"/>
                <w:color w:val="auto"/>
              </w:rPr>
            </w:pPr>
          </w:p>
        </w:tc>
        <w:tc>
          <w:tcPr>
            <w:tcW w:w="1360" w:type="dxa"/>
            <w:vAlign w:val="bottom"/>
          </w:tcPr>
          <w:p>
            <w:pPr>
              <w:jc w:val="right"/>
              <w:ind w:right="70"/>
              <w:spacing w:after="0" w:line="202" w:lineRule="exact"/>
              <w:rPr>
                <w:sz w:val="20"/>
                <w:szCs w:val="20"/>
                <w:color w:val="auto"/>
              </w:rPr>
            </w:pPr>
            <w:r>
              <w:rPr>
                <w:rFonts w:ascii="Times New Roman" w:cs="Times New Roman" w:eastAsia="Times New Roman" w:hAnsi="Times New Roman"/>
                <w:sz w:val="18"/>
                <w:szCs w:val="18"/>
                <w:color w:val="auto"/>
              </w:rPr>
              <w:t>9,376</w:t>
            </w:r>
          </w:p>
        </w:tc>
        <w:tc>
          <w:tcPr>
            <w:tcW w:w="1440" w:type="dxa"/>
            <w:vAlign w:val="bottom"/>
          </w:tcPr>
          <w:p>
            <w:pPr>
              <w:jc w:val="right"/>
              <w:ind w:right="170"/>
              <w:spacing w:after="0" w:line="202" w:lineRule="exact"/>
              <w:rPr>
                <w:sz w:val="20"/>
                <w:szCs w:val="20"/>
                <w:color w:val="auto"/>
              </w:rPr>
            </w:pPr>
            <w:r>
              <w:rPr>
                <w:rFonts w:ascii="Times New Roman" w:cs="Times New Roman" w:eastAsia="Times New Roman" w:hAnsi="Times New Roman"/>
                <w:sz w:val="18"/>
                <w:szCs w:val="18"/>
                <w:color w:val="auto"/>
              </w:rPr>
              <w:t>19,607</w:t>
            </w:r>
          </w:p>
        </w:tc>
        <w:tc>
          <w:tcPr>
            <w:tcW w:w="11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28,983</w:t>
            </w:r>
          </w:p>
        </w:tc>
      </w:tr>
      <w:tr>
        <w:trPr>
          <w:trHeight w:val="203"/>
        </w:trPr>
        <w:tc>
          <w:tcPr>
            <w:tcW w:w="446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KSA Owned</w:t>
            </w:r>
          </w:p>
        </w:tc>
        <w:tc>
          <w:tcPr>
            <w:tcW w:w="286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7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70"/>
              <w:spacing w:after="0" w:line="202" w:lineRule="exact"/>
              <w:rPr>
                <w:sz w:val="20"/>
                <w:szCs w:val="20"/>
                <w:color w:val="auto"/>
              </w:rPr>
            </w:pPr>
            <w:r>
              <w:rPr>
                <w:rFonts w:ascii="Times New Roman" w:cs="Times New Roman" w:eastAsia="Times New Roman" w:hAnsi="Times New Roman"/>
                <w:sz w:val="18"/>
                <w:szCs w:val="18"/>
                <w:color w:val="auto"/>
              </w:rPr>
              <w:t>340</w:t>
            </w:r>
          </w:p>
        </w:tc>
        <w:tc>
          <w:tcPr>
            <w:tcW w:w="11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340</w:t>
            </w:r>
          </w:p>
        </w:tc>
      </w:tr>
      <w:tr>
        <w:trPr>
          <w:trHeight w:val="203"/>
        </w:trPr>
        <w:tc>
          <w:tcPr>
            <w:tcW w:w="44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KSA Optioned</w:t>
            </w:r>
          </w:p>
        </w:tc>
        <w:tc>
          <w:tcPr>
            <w:tcW w:w="2860" w:type="dxa"/>
            <w:vAlign w:val="bottom"/>
          </w:tcPr>
          <w:p>
            <w:pPr>
              <w:spacing w:after="0"/>
              <w:rPr>
                <w:sz w:val="17"/>
                <w:szCs w:val="17"/>
                <w:color w:val="auto"/>
              </w:rPr>
            </w:pPr>
          </w:p>
        </w:tc>
        <w:tc>
          <w:tcPr>
            <w:tcW w:w="1360" w:type="dxa"/>
            <w:vAlign w:val="bottom"/>
          </w:tcPr>
          <w:p>
            <w:pPr>
              <w:jc w:val="right"/>
              <w:ind w:right="70"/>
              <w:spacing w:after="0" w:line="202" w:lineRule="exact"/>
              <w:rPr>
                <w:sz w:val="20"/>
                <w:szCs w:val="20"/>
                <w:color w:val="auto"/>
              </w:rPr>
            </w:pPr>
            <w:r>
              <w:rPr>
                <w:rFonts w:ascii="Times New Roman" w:cs="Times New Roman" w:eastAsia="Times New Roman" w:hAnsi="Times New Roman"/>
                <w:sz w:val="18"/>
                <w:szCs w:val="18"/>
                <w:color w:val="auto"/>
              </w:rPr>
              <w:t>1,241</w:t>
            </w:r>
          </w:p>
        </w:tc>
        <w:tc>
          <w:tcPr>
            <w:tcW w:w="1440" w:type="dxa"/>
            <w:vAlign w:val="bottom"/>
          </w:tcPr>
          <w:p>
            <w:pPr>
              <w:jc w:val="right"/>
              <w:ind w:right="170"/>
              <w:spacing w:after="0" w:line="202" w:lineRule="exact"/>
              <w:rPr>
                <w:sz w:val="20"/>
                <w:szCs w:val="20"/>
                <w:color w:val="auto"/>
              </w:rPr>
            </w:pPr>
            <w:r>
              <w:rPr>
                <w:rFonts w:ascii="Times New Roman" w:cs="Times New Roman" w:eastAsia="Times New Roman" w:hAnsi="Times New Roman"/>
                <w:sz w:val="18"/>
                <w:szCs w:val="18"/>
                <w:color w:val="auto"/>
              </w:rPr>
              <w:t>1,487</w:t>
            </w:r>
          </w:p>
        </w:tc>
        <w:tc>
          <w:tcPr>
            <w:tcW w:w="11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2,728</w:t>
            </w:r>
          </w:p>
        </w:tc>
      </w:tr>
      <w:tr>
        <w:trPr>
          <w:trHeight w:val="203"/>
        </w:trPr>
        <w:tc>
          <w:tcPr>
            <w:tcW w:w="4460" w:type="dxa"/>
            <w:vAlign w:val="bottom"/>
            <w:tcBorders>
              <w:bottom w:val="single" w:sz="8" w:color="auto"/>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Construction to permanent financing lots</w:t>
            </w:r>
          </w:p>
        </w:tc>
        <w:tc>
          <w:tcPr>
            <w:tcW w:w="286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ind w:right="70"/>
              <w:spacing w:after="0" w:line="202" w:lineRule="exact"/>
              <w:rPr>
                <w:sz w:val="20"/>
                <w:szCs w:val="20"/>
                <w:color w:val="auto"/>
              </w:rPr>
            </w:pPr>
            <w:r>
              <w:rPr>
                <w:rFonts w:ascii="Times New Roman" w:cs="Times New Roman" w:eastAsia="Times New Roman" w:hAnsi="Times New Roman"/>
                <w:sz w:val="18"/>
                <w:szCs w:val="18"/>
                <w:color w:val="auto"/>
              </w:rPr>
              <w:t>16</w:t>
            </w:r>
          </w:p>
        </w:tc>
        <w:tc>
          <w:tcPr>
            <w:tcW w:w="1440" w:type="dxa"/>
            <w:vAlign w:val="bottom"/>
            <w:tcBorders>
              <w:bottom w:val="single" w:sz="8" w:color="auto"/>
            </w:tcBorders>
            <w:shd w:val="clear" w:color="auto" w:fill="CCEEFF"/>
          </w:tcPr>
          <w:p>
            <w:pPr>
              <w:jc w:val="right"/>
              <w:ind w:right="17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16</w:t>
            </w:r>
          </w:p>
        </w:tc>
      </w:tr>
      <w:tr>
        <w:trPr>
          <w:trHeight w:val="196"/>
        </w:trPr>
        <w:tc>
          <w:tcPr>
            <w:tcW w:w="446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4460" w:type="dxa"/>
            <w:vAlign w:val="bottom"/>
            <w:tcBorders>
              <w:bottom w:val="single" w:sz="8" w:color="auto"/>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Consolidated total</w:t>
            </w:r>
          </w:p>
        </w:tc>
        <w:tc>
          <w:tcPr>
            <w:tcW w:w="286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ind w:right="70"/>
              <w:spacing w:after="0" w:line="202" w:lineRule="exact"/>
              <w:rPr>
                <w:sz w:val="20"/>
                <w:szCs w:val="20"/>
                <w:color w:val="auto"/>
              </w:rPr>
            </w:pPr>
            <w:r>
              <w:rPr>
                <w:rFonts w:ascii="Times New Roman" w:cs="Times New Roman" w:eastAsia="Times New Roman" w:hAnsi="Times New Roman"/>
                <w:sz w:val="18"/>
                <w:szCs w:val="18"/>
                <w:color w:val="auto"/>
              </w:rPr>
              <w:t>14,073</w:t>
            </w:r>
          </w:p>
        </w:tc>
        <w:tc>
          <w:tcPr>
            <w:tcW w:w="1440" w:type="dxa"/>
            <w:vAlign w:val="bottom"/>
            <w:tcBorders>
              <w:bottom w:val="single" w:sz="8" w:color="auto"/>
            </w:tcBorders>
            <w:shd w:val="clear" w:color="auto" w:fill="CCEEFF"/>
          </w:tcPr>
          <w:p>
            <w:pPr>
              <w:jc w:val="right"/>
              <w:ind w:right="170"/>
              <w:spacing w:after="0" w:line="202" w:lineRule="exact"/>
              <w:rPr>
                <w:sz w:val="20"/>
                <w:szCs w:val="20"/>
                <w:color w:val="auto"/>
              </w:rPr>
            </w:pPr>
            <w:r>
              <w:rPr>
                <w:rFonts w:ascii="Times New Roman" w:cs="Times New Roman" w:eastAsia="Times New Roman" w:hAnsi="Times New Roman"/>
                <w:sz w:val="18"/>
                <w:szCs w:val="18"/>
                <w:color w:val="auto"/>
              </w:rPr>
              <w:t>22,643</w:t>
            </w:r>
          </w:p>
        </w:tc>
        <w:tc>
          <w:tcPr>
            <w:tcW w:w="112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36,716</w:t>
            </w:r>
          </w:p>
        </w:tc>
      </w:tr>
      <w:tr>
        <w:trPr>
          <w:trHeight w:val="20"/>
        </w:trPr>
        <w:tc>
          <w:tcPr>
            <w:tcW w:w="4460" w:type="dxa"/>
            <w:vAlign w:val="bottom"/>
            <w:tcBorders>
              <w:bottom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494"/>
        </w:trPr>
        <w:tc>
          <w:tcPr>
            <w:tcW w:w="44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Active Selling</w:t>
            </w:r>
          </w:p>
        </w:tc>
        <w:tc>
          <w:tcPr>
            <w:tcW w:w="14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Proposed</w:t>
            </w:r>
          </w:p>
        </w:tc>
        <w:tc>
          <w:tcPr>
            <w:tcW w:w="1120" w:type="dxa"/>
            <w:vAlign w:val="bottom"/>
          </w:tcPr>
          <w:p>
            <w:pPr>
              <w:spacing w:after="0"/>
              <w:rPr>
                <w:sz w:val="24"/>
                <w:szCs w:val="24"/>
                <w:color w:val="auto"/>
              </w:rPr>
            </w:pPr>
          </w:p>
        </w:tc>
      </w:tr>
      <w:tr>
        <w:trPr>
          <w:trHeight w:val="270"/>
        </w:trPr>
        <w:tc>
          <w:tcPr>
            <w:tcW w:w="4460" w:type="dxa"/>
            <w:vAlign w:val="bottom"/>
          </w:tcPr>
          <w:p>
            <w:pPr>
              <w:spacing w:after="0"/>
              <w:rPr>
                <w:sz w:val="23"/>
                <w:szCs w:val="23"/>
                <w:color w:val="auto"/>
              </w:rPr>
            </w:pPr>
          </w:p>
        </w:tc>
        <w:tc>
          <w:tcPr>
            <w:tcW w:w="28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Active Selling</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Communities</w:t>
            </w:r>
          </w:p>
        </w:tc>
        <w:tc>
          <w:tcPr>
            <w:tcW w:w="14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Developable</w:t>
            </w: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56"/>
        </w:trPr>
        <w:tc>
          <w:tcPr>
            <w:tcW w:w="4460" w:type="dxa"/>
            <w:vAlign w:val="bottom"/>
            <w:tcBorders>
              <w:bottom w:val="single" w:sz="8" w:color="auto"/>
            </w:tcBorders>
          </w:tcPr>
          <w:p>
            <w:pPr>
              <w:spacing w:after="0"/>
              <w:rPr>
                <w:sz w:val="22"/>
                <w:szCs w:val="22"/>
                <w:color w:val="auto"/>
              </w:rPr>
            </w:pPr>
          </w:p>
        </w:tc>
        <w:tc>
          <w:tcPr>
            <w:tcW w:w="2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Communities(1)</w:t>
            </w: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Homes</w:t>
            </w:r>
          </w:p>
        </w:tc>
        <w:tc>
          <w:tcPr>
            <w:tcW w:w="14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Homes</w:t>
            </w:r>
          </w:p>
        </w:tc>
        <w:tc>
          <w:tcPr>
            <w:tcW w:w="11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Homes</w:t>
            </w:r>
          </w:p>
        </w:tc>
      </w:tr>
      <w:tr>
        <w:trPr>
          <w:trHeight w:val="196"/>
        </w:trPr>
        <w:tc>
          <w:tcPr>
            <w:tcW w:w="44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October 31, 2025:</w:t>
            </w:r>
          </w:p>
        </w:tc>
        <w:tc>
          <w:tcPr>
            <w:tcW w:w="28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03"/>
        </w:trPr>
        <w:tc>
          <w:tcPr>
            <w:tcW w:w="446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446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Northeast</w:t>
            </w:r>
          </w:p>
        </w:tc>
        <w:tc>
          <w:tcPr>
            <w:tcW w:w="2860" w:type="dxa"/>
            <w:vAlign w:val="bottom"/>
            <w:shd w:val="clear" w:color="auto" w:fill="CCEEFF"/>
          </w:tcPr>
          <w:p>
            <w:pPr>
              <w:jc w:val="right"/>
              <w:ind w:right="70"/>
              <w:spacing w:after="0" w:line="202" w:lineRule="exact"/>
              <w:rPr>
                <w:sz w:val="20"/>
                <w:szCs w:val="20"/>
                <w:color w:val="auto"/>
              </w:rPr>
            </w:pPr>
            <w:r>
              <w:rPr>
                <w:rFonts w:ascii="Times New Roman" w:cs="Times New Roman" w:eastAsia="Times New Roman" w:hAnsi="Times New Roman"/>
                <w:sz w:val="18"/>
                <w:szCs w:val="18"/>
                <w:color w:val="auto"/>
              </w:rPr>
              <w:t>46</w:t>
            </w:r>
          </w:p>
        </w:tc>
        <w:tc>
          <w:tcPr>
            <w:tcW w:w="1360" w:type="dxa"/>
            <w:vAlign w:val="bottom"/>
            <w:shd w:val="clear" w:color="auto" w:fill="CCEEFF"/>
          </w:tcPr>
          <w:p>
            <w:pPr>
              <w:jc w:val="right"/>
              <w:ind w:right="110"/>
              <w:spacing w:after="0" w:line="202" w:lineRule="exact"/>
              <w:rPr>
                <w:sz w:val="20"/>
                <w:szCs w:val="20"/>
                <w:color w:val="auto"/>
              </w:rPr>
            </w:pPr>
            <w:r>
              <w:rPr>
                <w:rFonts w:ascii="Times New Roman" w:cs="Times New Roman" w:eastAsia="Times New Roman" w:hAnsi="Times New Roman"/>
                <w:sz w:val="18"/>
                <w:szCs w:val="18"/>
                <w:color w:val="auto"/>
              </w:rPr>
              <w:t>4,844</w:t>
            </w:r>
          </w:p>
        </w:tc>
        <w:tc>
          <w:tcPr>
            <w:tcW w:w="1440" w:type="dxa"/>
            <w:vAlign w:val="bottom"/>
            <w:shd w:val="clear" w:color="auto" w:fill="CCEEFF"/>
          </w:tcPr>
          <w:p>
            <w:pPr>
              <w:jc w:val="right"/>
              <w:ind w:right="210"/>
              <w:spacing w:after="0" w:line="202" w:lineRule="exact"/>
              <w:rPr>
                <w:sz w:val="20"/>
                <w:szCs w:val="20"/>
                <w:color w:val="auto"/>
              </w:rPr>
            </w:pPr>
            <w:r>
              <w:rPr>
                <w:rFonts w:ascii="Times New Roman" w:cs="Times New Roman" w:eastAsia="Times New Roman" w:hAnsi="Times New Roman"/>
                <w:sz w:val="18"/>
                <w:szCs w:val="18"/>
                <w:color w:val="auto"/>
              </w:rPr>
              <w:t>14,138</w:t>
            </w:r>
          </w:p>
        </w:tc>
        <w:tc>
          <w:tcPr>
            <w:tcW w:w="11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18,982</w:t>
            </w:r>
          </w:p>
        </w:tc>
      </w:tr>
      <w:tr>
        <w:trPr>
          <w:trHeight w:val="203"/>
        </w:trPr>
        <w:tc>
          <w:tcPr>
            <w:tcW w:w="44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Southeast</w:t>
            </w:r>
          </w:p>
        </w:tc>
        <w:tc>
          <w:tcPr>
            <w:tcW w:w="2860" w:type="dxa"/>
            <w:vAlign w:val="bottom"/>
          </w:tcPr>
          <w:p>
            <w:pPr>
              <w:jc w:val="right"/>
              <w:ind w:right="70"/>
              <w:spacing w:after="0" w:line="202" w:lineRule="exact"/>
              <w:rPr>
                <w:sz w:val="20"/>
                <w:szCs w:val="20"/>
                <w:color w:val="auto"/>
              </w:rPr>
            </w:pPr>
            <w:r>
              <w:rPr>
                <w:rFonts w:ascii="Times New Roman" w:cs="Times New Roman" w:eastAsia="Times New Roman" w:hAnsi="Times New Roman"/>
                <w:sz w:val="18"/>
                <w:szCs w:val="18"/>
                <w:color w:val="auto"/>
              </w:rPr>
              <w:t>27</w:t>
            </w:r>
          </w:p>
        </w:tc>
        <w:tc>
          <w:tcPr>
            <w:tcW w:w="1360" w:type="dxa"/>
            <w:vAlign w:val="bottom"/>
          </w:tcPr>
          <w:p>
            <w:pPr>
              <w:jc w:val="right"/>
              <w:ind w:right="110"/>
              <w:spacing w:after="0" w:line="202" w:lineRule="exact"/>
              <w:rPr>
                <w:sz w:val="20"/>
                <w:szCs w:val="20"/>
                <w:color w:val="auto"/>
              </w:rPr>
            </w:pPr>
            <w:r>
              <w:rPr>
                <w:rFonts w:ascii="Times New Roman" w:cs="Times New Roman" w:eastAsia="Times New Roman" w:hAnsi="Times New Roman"/>
                <w:sz w:val="18"/>
                <w:szCs w:val="18"/>
                <w:color w:val="auto"/>
              </w:rPr>
              <w:t>2,218</w:t>
            </w:r>
          </w:p>
        </w:tc>
        <w:tc>
          <w:tcPr>
            <w:tcW w:w="1440" w:type="dxa"/>
            <w:vAlign w:val="bottom"/>
          </w:tcPr>
          <w:p>
            <w:pPr>
              <w:jc w:val="right"/>
              <w:ind w:right="210"/>
              <w:spacing w:after="0" w:line="202" w:lineRule="exact"/>
              <w:rPr>
                <w:sz w:val="20"/>
                <w:szCs w:val="20"/>
                <w:color w:val="auto"/>
              </w:rPr>
            </w:pPr>
            <w:r>
              <w:rPr>
                <w:rFonts w:ascii="Times New Roman" w:cs="Times New Roman" w:eastAsia="Times New Roman" w:hAnsi="Times New Roman"/>
                <w:sz w:val="18"/>
                <w:szCs w:val="18"/>
                <w:color w:val="auto"/>
              </w:rPr>
              <w:t>3,863</w:t>
            </w:r>
          </w:p>
        </w:tc>
        <w:tc>
          <w:tcPr>
            <w:tcW w:w="11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6,081</w:t>
            </w:r>
          </w:p>
        </w:tc>
      </w:tr>
      <w:tr>
        <w:trPr>
          <w:trHeight w:val="203"/>
        </w:trPr>
        <w:tc>
          <w:tcPr>
            <w:tcW w:w="4460" w:type="dxa"/>
            <w:vAlign w:val="bottom"/>
            <w:tcBorders>
              <w:bottom w:val="single" w:sz="8" w:color="auto"/>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West</w:t>
            </w:r>
          </w:p>
        </w:tc>
        <w:tc>
          <w:tcPr>
            <w:tcW w:w="2860" w:type="dxa"/>
            <w:vAlign w:val="bottom"/>
            <w:tcBorders>
              <w:bottom w:val="single" w:sz="8" w:color="auto"/>
            </w:tcBorders>
            <w:shd w:val="clear" w:color="auto" w:fill="CCEEFF"/>
          </w:tcPr>
          <w:p>
            <w:pPr>
              <w:jc w:val="right"/>
              <w:ind w:right="70"/>
              <w:spacing w:after="0" w:line="202" w:lineRule="exact"/>
              <w:rPr>
                <w:sz w:val="20"/>
                <w:szCs w:val="20"/>
                <w:color w:val="auto"/>
              </w:rPr>
            </w:pPr>
            <w:r>
              <w:rPr>
                <w:rFonts w:ascii="Times New Roman" w:cs="Times New Roman" w:eastAsia="Times New Roman" w:hAnsi="Times New Roman"/>
                <w:sz w:val="18"/>
                <w:szCs w:val="18"/>
                <w:color w:val="auto"/>
              </w:rPr>
              <w:t>67</w:t>
            </w:r>
          </w:p>
        </w:tc>
        <w:tc>
          <w:tcPr>
            <w:tcW w:w="1360" w:type="dxa"/>
            <w:vAlign w:val="bottom"/>
            <w:tcBorders>
              <w:bottom w:val="single" w:sz="8" w:color="auto"/>
            </w:tcBorders>
            <w:shd w:val="clear" w:color="auto" w:fill="CCEEFF"/>
          </w:tcPr>
          <w:p>
            <w:pPr>
              <w:jc w:val="right"/>
              <w:ind w:right="110"/>
              <w:spacing w:after="0" w:line="202" w:lineRule="exact"/>
              <w:rPr>
                <w:sz w:val="20"/>
                <w:szCs w:val="20"/>
                <w:color w:val="auto"/>
              </w:rPr>
            </w:pPr>
            <w:r>
              <w:rPr>
                <w:rFonts w:ascii="Times New Roman" w:cs="Times New Roman" w:eastAsia="Times New Roman" w:hAnsi="Times New Roman"/>
                <w:sz w:val="18"/>
                <w:szCs w:val="18"/>
                <w:color w:val="auto"/>
              </w:rPr>
              <w:t>6,853</w:t>
            </w:r>
          </w:p>
        </w:tc>
        <w:tc>
          <w:tcPr>
            <w:tcW w:w="1440" w:type="dxa"/>
            <w:vAlign w:val="bottom"/>
            <w:tcBorders>
              <w:bottom w:val="single" w:sz="8" w:color="auto"/>
            </w:tcBorders>
            <w:shd w:val="clear" w:color="auto" w:fill="CCEEFF"/>
          </w:tcPr>
          <w:p>
            <w:pPr>
              <w:jc w:val="right"/>
              <w:ind w:right="210"/>
              <w:spacing w:after="0" w:line="202" w:lineRule="exact"/>
              <w:rPr>
                <w:sz w:val="20"/>
                <w:szCs w:val="20"/>
                <w:color w:val="auto"/>
              </w:rPr>
            </w:pPr>
            <w:r>
              <w:rPr>
                <w:rFonts w:ascii="Times New Roman" w:cs="Times New Roman" w:eastAsia="Times New Roman" w:hAnsi="Times New Roman"/>
                <w:sz w:val="18"/>
                <w:szCs w:val="18"/>
                <w:color w:val="auto"/>
              </w:rPr>
              <w:t>3,969</w:t>
            </w:r>
          </w:p>
        </w:tc>
        <w:tc>
          <w:tcPr>
            <w:tcW w:w="112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10,822</w:t>
            </w:r>
          </w:p>
        </w:tc>
      </w:tr>
      <w:tr>
        <w:trPr>
          <w:trHeight w:val="196"/>
        </w:trPr>
        <w:tc>
          <w:tcPr>
            <w:tcW w:w="446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4460" w:type="dxa"/>
            <w:vAlign w:val="bottom"/>
            <w:tcBorders>
              <w:bottom w:val="single" w:sz="8" w:color="auto"/>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Consolidated total</w:t>
            </w:r>
          </w:p>
        </w:tc>
        <w:tc>
          <w:tcPr>
            <w:tcW w:w="2860" w:type="dxa"/>
            <w:vAlign w:val="bottom"/>
            <w:tcBorders>
              <w:bottom w:val="single" w:sz="8" w:color="auto"/>
            </w:tcBorders>
            <w:shd w:val="clear" w:color="auto" w:fill="CCEEFF"/>
          </w:tcPr>
          <w:p>
            <w:pPr>
              <w:jc w:val="right"/>
              <w:ind w:right="70"/>
              <w:spacing w:after="0" w:line="202" w:lineRule="exact"/>
              <w:rPr>
                <w:sz w:val="20"/>
                <w:szCs w:val="20"/>
                <w:color w:val="auto"/>
              </w:rPr>
            </w:pPr>
            <w:r>
              <w:rPr>
                <w:rFonts w:ascii="Times New Roman" w:cs="Times New Roman" w:eastAsia="Times New Roman" w:hAnsi="Times New Roman"/>
                <w:sz w:val="18"/>
                <w:szCs w:val="18"/>
                <w:color w:val="auto"/>
              </w:rPr>
              <w:t>140</w:t>
            </w:r>
          </w:p>
        </w:tc>
        <w:tc>
          <w:tcPr>
            <w:tcW w:w="1360" w:type="dxa"/>
            <w:vAlign w:val="bottom"/>
            <w:tcBorders>
              <w:bottom w:val="single" w:sz="8" w:color="auto"/>
            </w:tcBorders>
            <w:shd w:val="clear" w:color="auto" w:fill="CCEEFF"/>
          </w:tcPr>
          <w:p>
            <w:pPr>
              <w:jc w:val="right"/>
              <w:ind w:right="110"/>
              <w:spacing w:after="0" w:line="202" w:lineRule="exact"/>
              <w:rPr>
                <w:sz w:val="20"/>
                <w:szCs w:val="20"/>
                <w:color w:val="auto"/>
              </w:rPr>
            </w:pPr>
            <w:r>
              <w:rPr>
                <w:rFonts w:ascii="Times New Roman" w:cs="Times New Roman" w:eastAsia="Times New Roman" w:hAnsi="Times New Roman"/>
                <w:sz w:val="18"/>
                <w:szCs w:val="18"/>
                <w:color w:val="auto"/>
              </w:rPr>
              <w:t>13,915</w:t>
            </w:r>
          </w:p>
        </w:tc>
        <w:tc>
          <w:tcPr>
            <w:tcW w:w="1440" w:type="dxa"/>
            <w:vAlign w:val="bottom"/>
            <w:tcBorders>
              <w:bottom w:val="single" w:sz="8" w:color="auto"/>
            </w:tcBorders>
            <w:shd w:val="clear" w:color="auto" w:fill="CCEEFF"/>
          </w:tcPr>
          <w:p>
            <w:pPr>
              <w:jc w:val="right"/>
              <w:ind w:right="210"/>
              <w:spacing w:after="0" w:line="202" w:lineRule="exact"/>
              <w:rPr>
                <w:sz w:val="20"/>
                <w:szCs w:val="20"/>
                <w:color w:val="auto"/>
              </w:rPr>
            </w:pPr>
            <w:r>
              <w:rPr>
                <w:rFonts w:ascii="Times New Roman" w:cs="Times New Roman" w:eastAsia="Times New Roman" w:hAnsi="Times New Roman"/>
                <w:sz w:val="18"/>
                <w:szCs w:val="18"/>
                <w:color w:val="auto"/>
              </w:rPr>
              <w:t>21,970</w:t>
            </w:r>
          </w:p>
        </w:tc>
        <w:tc>
          <w:tcPr>
            <w:tcW w:w="112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35,885</w:t>
            </w:r>
          </w:p>
        </w:tc>
      </w:tr>
      <w:tr>
        <w:trPr>
          <w:trHeight w:val="20"/>
        </w:trPr>
        <w:tc>
          <w:tcPr>
            <w:tcW w:w="4460" w:type="dxa"/>
            <w:vAlign w:val="bottom"/>
            <w:tcBorders>
              <w:bottom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3"/>
        </w:trPr>
        <w:tc>
          <w:tcPr>
            <w:tcW w:w="446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03"/>
        </w:trPr>
        <w:tc>
          <w:tcPr>
            <w:tcW w:w="4460" w:type="dxa"/>
            <w:vAlign w:val="bottom"/>
            <w:tcBorders>
              <w:bottom w:val="single" w:sz="8" w:color="auto"/>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Unconsolidated joint ventures (2)</w:t>
            </w:r>
          </w:p>
        </w:tc>
        <w:tc>
          <w:tcPr>
            <w:tcW w:w="2860" w:type="dxa"/>
            <w:vAlign w:val="bottom"/>
            <w:tcBorders>
              <w:bottom w:val="single" w:sz="8" w:color="auto"/>
            </w:tcBorders>
            <w:shd w:val="clear" w:color="auto" w:fill="CCEEFF"/>
          </w:tcPr>
          <w:p>
            <w:pPr>
              <w:jc w:val="right"/>
              <w:ind w:right="70"/>
              <w:spacing w:after="0" w:line="202" w:lineRule="exact"/>
              <w:rPr>
                <w:sz w:val="20"/>
                <w:szCs w:val="20"/>
                <w:color w:val="auto"/>
              </w:rPr>
            </w:pPr>
            <w:r>
              <w:rPr>
                <w:rFonts w:ascii="Times New Roman" w:cs="Times New Roman" w:eastAsia="Times New Roman" w:hAnsi="Times New Roman"/>
                <w:sz w:val="18"/>
                <w:szCs w:val="18"/>
                <w:color w:val="auto"/>
              </w:rPr>
              <w:t>20</w:t>
            </w:r>
          </w:p>
        </w:tc>
        <w:tc>
          <w:tcPr>
            <w:tcW w:w="1360" w:type="dxa"/>
            <w:vAlign w:val="bottom"/>
            <w:tcBorders>
              <w:bottom w:val="single" w:sz="8" w:color="auto"/>
            </w:tcBorders>
            <w:shd w:val="clear" w:color="auto" w:fill="CCEEFF"/>
          </w:tcPr>
          <w:p>
            <w:pPr>
              <w:jc w:val="right"/>
              <w:ind w:right="110"/>
              <w:spacing w:after="0" w:line="202" w:lineRule="exact"/>
              <w:rPr>
                <w:sz w:val="20"/>
                <w:szCs w:val="20"/>
                <w:color w:val="auto"/>
              </w:rPr>
            </w:pPr>
            <w:r>
              <w:rPr>
                <w:rFonts w:ascii="Times New Roman" w:cs="Times New Roman" w:eastAsia="Times New Roman" w:hAnsi="Times New Roman"/>
                <w:sz w:val="18"/>
                <w:szCs w:val="18"/>
                <w:color w:val="auto"/>
              </w:rPr>
              <w:t>3,631</w:t>
            </w:r>
          </w:p>
        </w:tc>
        <w:tc>
          <w:tcPr>
            <w:tcW w:w="1440" w:type="dxa"/>
            <w:vAlign w:val="bottom"/>
            <w:tcBorders>
              <w:bottom w:val="single" w:sz="8" w:color="auto"/>
            </w:tcBorders>
            <w:shd w:val="clear" w:color="auto" w:fill="CCEEFF"/>
          </w:tcPr>
          <w:p>
            <w:pPr>
              <w:jc w:val="right"/>
              <w:ind w:right="210"/>
              <w:spacing w:after="0" w:line="202" w:lineRule="exact"/>
              <w:rPr>
                <w:sz w:val="20"/>
                <w:szCs w:val="20"/>
                <w:color w:val="auto"/>
              </w:rPr>
            </w:pPr>
            <w:r>
              <w:rPr>
                <w:rFonts w:ascii="Times New Roman" w:cs="Times New Roman" w:eastAsia="Times New Roman" w:hAnsi="Times New Roman"/>
                <w:sz w:val="18"/>
                <w:szCs w:val="18"/>
                <w:color w:val="auto"/>
              </w:rPr>
              <w:t>2,294</w:t>
            </w:r>
          </w:p>
        </w:tc>
        <w:tc>
          <w:tcPr>
            <w:tcW w:w="112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5,925</w:t>
            </w:r>
          </w:p>
        </w:tc>
      </w:tr>
      <w:tr>
        <w:trPr>
          <w:trHeight w:val="20"/>
        </w:trPr>
        <w:tc>
          <w:tcPr>
            <w:tcW w:w="4460" w:type="dxa"/>
            <w:vAlign w:val="bottom"/>
            <w:tcBorders>
              <w:bottom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3"/>
        </w:trPr>
        <w:tc>
          <w:tcPr>
            <w:tcW w:w="446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03"/>
        </w:trPr>
        <w:tc>
          <w:tcPr>
            <w:tcW w:w="446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Owned</w:t>
            </w:r>
          </w:p>
        </w:tc>
        <w:tc>
          <w:tcPr>
            <w:tcW w:w="286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110"/>
              <w:spacing w:after="0" w:line="202" w:lineRule="exact"/>
              <w:rPr>
                <w:sz w:val="20"/>
                <w:szCs w:val="20"/>
                <w:color w:val="auto"/>
              </w:rPr>
            </w:pPr>
            <w:r>
              <w:rPr>
                <w:rFonts w:ascii="Times New Roman" w:cs="Times New Roman" w:eastAsia="Times New Roman" w:hAnsi="Times New Roman"/>
                <w:sz w:val="18"/>
                <w:szCs w:val="18"/>
                <w:color w:val="auto"/>
              </w:rPr>
              <w:t>3,982</w:t>
            </w:r>
          </w:p>
        </w:tc>
        <w:tc>
          <w:tcPr>
            <w:tcW w:w="1440" w:type="dxa"/>
            <w:vAlign w:val="bottom"/>
            <w:shd w:val="clear" w:color="auto" w:fill="CCEEFF"/>
          </w:tcPr>
          <w:p>
            <w:pPr>
              <w:jc w:val="right"/>
              <w:ind w:right="210"/>
              <w:spacing w:after="0" w:line="202" w:lineRule="exact"/>
              <w:rPr>
                <w:sz w:val="20"/>
                <w:szCs w:val="20"/>
                <w:color w:val="auto"/>
              </w:rPr>
            </w:pPr>
            <w:r>
              <w:rPr>
                <w:rFonts w:ascii="Times New Roman" w:cs="Times New Roman" w:eastAsia="Times New Roman" w:hAnsi="Times New Roman"/>
                <w:sz w:val="18"/>
                <w:szCs w:val="18"/>
                <w:color w:val="auto"/>
              </w:rPr>
              <w:t>1,514</w:t>
            </w:r>
          </w:p>
        </w:tc>
        <w:tc>
          <w:tcPr>
            <w:tcW w:w="11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5,496</w:t>
            </w:r>
          </w:p>
        </w:tc>
      </w:tr>
      <w:tr>
        <w:trPr>
          <w:trHeight w:val="203"/>
        </w:trPr>
        <w:tc>
          <w:tcPr>
            <w:tcW w:w="44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Optioned</w:t>
            </w:r>
          </w:p>
        </w:tc>
        <w:tc>
          <w:tcPr>
            <w:tcW w:w="2860" w:type="dxa"/>
            <w:vAlign w:val="bottom"/>
          </w:tcPr>
          <w:p>
            <w:pPr>
              <w:spacing w:after="0"/>
              <w:rPr>
                <w:sz w:val="17"/>
                <w:szCs w:val="17"/>
                <w:color w:val="auto"/>
              </w:rPr>
            </w:pPr>
          </w:p>
        </w:tc>
        <w:tc>
          <w:tcPr>
            <w:tcW w:w="1360" w:type="dxa"/>
            <w:vAlign w:val="bottom"/>
          </w:tcPr>
          <w:p>
            <w:pPr>
              <w:jc w:val="right"/>
              <w:ind w:right="110"/>
              <w:spacing w:after="0" w:line="202" w:lineRule="exact"/>
              <w:rPr>
                <w:sz w:val="20"/>
                <w:szCs w:val="20"/>
                <w:color w:val="auto"/>
              </w:rPr>
            </w:pPr>
            <w:r>
              <w:rPr>
                <w:rFonts w:ascii="Times New Roman" w:cs="Times New Roman" w:eastAsia="Times New Roman" w:hAnsi="Times New Roman"/>
                <w:sz w:val="18"/>
                <w:szCs w:val="18"/>
                <w:color w:val="auto"/>
              </w:rPr>
              <w:t>9,931</w:t>
            </w:r>
          </w:p>
        </w:tc>
        <w:tc>
          <w:tcPr>
            <w:tcW w:w="1440" w:type="dxa"/>
            <w:vAlign w:val="bottom"/>
          </w:tcPr>
          <w:p>
            <w:pPr>
              <w:jc w:val="right"/>
              <w:ind w:right="210"/>
              <w:spacing w:after="0" w:line="202" w:lineRule="exact"/>
              <w:rPr>
                <w:sz w:val="20"/>
                <w:szCs w:val="20"/>
                <w:color w:val="auto"/>
              </w:rPr>
            </w:pPr>
            <w:r>
              <w:rPr>
                <w:rFonts w:ascii="Times New Roman" w:cs="Times New Roman" w:eastAsia="Times New Roman" w:hAnsi="Times New Roman"/>
                <w:sz w:val="18"/>
                <w:szCs w:val="18"/>
                <w:color w:val="auto"/>
              </w:rPr>
              <w:t>20,456</w:t>
            </w:r>
          </w:p>
        </w:tc>
        <w:tc>
          <w:tcPr>
            <w:tcW w:w="11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30,387</w:t>
            </w:r>
          </w:p>
        </w:tc>
      </w:tr>
      <w:tr>
        <w:trPr>
          <w:trHeight w:val="203"/>
        </w:trPr>
        <w:tc>
          <w:tcPr>
            <w:tcW w:w="4460" w:type="dxa"/>
            <w:vAlign w:val="bottom"/>
            <w:tcBorders>
              <w:bottom w:val="single" w:sz="8" w:color="auto"/>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Construction to permanent financing lots</w:t>
            </w:r>
          </w:p>
        </w:tc>
        <w:tc>
          <w:tcPr>
            <w:tcW w:w="286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ind w:right="110"/>
              <w:spacing w:after="0" w:line="202" w:lineRule="exact"/>
              <w:rPr>
                <w:sz w:val="20"/>
                <w:szCs w:val="20"/>
                <w:color w:val="auto"/>
              </w:rPr>
            </w:pPr>
            <w:r>
              <w:rPr>
                <w:rFonts w:ascii="Times New Roman" w:cs="Times New Roman" w:eastAsia="Times New Roman" w:hAnsi="Times New Roman"/>
                <w:sz w:val="18"/>
                <w:szCs w:val="18"/>
                <w:color w:val="auto"/>
              </w:rPr>
              <w:t>2</w:t>
            </w:r>
          </w:p>
        </w:tc>
        <w:tc>
          <w:tcPr>
            <w:tcW w:w="1440" w:type="dxa"/>
            <w:vAlign w:val="bottom"/>
            <w:tcBorders>
              <w:bottom w:val="single" w:sz="8" w:color="auto"/>
            </w:tcBorders>
            <w:shd w:val="clear" w:color="auto" w:fill="CCEEFF"/>
          </w:tcPr>
          <w:p>
            <w:pPr>
              <w:jc w:val="right"/>
              <w:ind w:right="2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w:t>
            </w:r>
          </w:p>
        </w:tc>
      </w:tr>
      <w:tr>
        <w:trPr>
          <w:trHeight w:val="196"/>
        </w:trPr>
        <w:tc>
          <w:tcPr>
            <w:tcW w:w="446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4460" w:type="dxa"/>
            <w:vAlign w:val="bottom"/>
            <w:tcBorders>
              <w:bottom w:val="single" w:sz="8" w:color="auto"/>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Consolidated total</w:t>
            </w:r>
          </w:p>
        </w:tc>
        <w:tc>
          <w:tcPr>
            <w:tcW w:w="286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ind w:right="110"/>
              <w:spacing w:after="0" w:line="202" w:lineRule="exact"/>
              <w:rPr>
                <w:sz w:val="20"/>
                <w:szCs w:val="20"/>
                <w:color w:val="auto"/>
              </w:rPr>
            </w:pPr>
            <w:r>
              <w:rPr>
                <w:rFonts w:ascii="Times New Roman" w:cs="Times New Roman" w:eastAsia="Times New Roman" w:hAnsi="Times New Roman"/>
                <w:sz w:val="18"/>
                <w:szCs w:val="18"/>
                <w:color w:val="auto"/>
              </w:rPr>
              <w:t>13,915</w:t>
            </w:r>
          </w:p>
        </w:tc>
        <w:tc>
          <w:tcPr>
            <w:tcW w:w="1440" w:type="dxa"/>
            <w:vAlign w:val="bottom"/>
            <w:tcBorders>
              <w:bottom w:val="single" w:sz="8" w:color="auto"/>
            </w:tcBorders>
            <w:shd w:val="clear" w:color="auto" w:fill="CCEEFF"/>
          </w:tcPr>
          <w:p>
            <w:pPr>
              <w:jc w:val="right"/>
              <w:ind w:right="210"/>
              <w:spacing w:after="0" w:line="202" w:lineRule="exact"/>
              <w:rPr>
                <w:sz w:val="20"/>
                <w:szCs w:val="20"/>
                <w:color w:val="auto"/>
              </w:rPr>
            </w:pPr>
            <w:r>
              <w:rPr>
                <w:rFonts w:ascii="Times New Roman" w:cs="Times New Roman" w:eastAsia="Times New Roman" w:hAnsi="Times New Roman"/>
                <w:sz w:val="18"/>
                <w:szCs w:val="18"/>
                <w:color w:val="auto"/>
              </w:rPr>
              <w:t>21,970</w:t>
            </w:r>
          </w:p>
        </w:tc>
        <w:tc>
          <w:tcPr>
            <w:tcW w:w="112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35,885</w:t>
            </w:r>
          </w:p>
        </w:tc>
      </w:tr>
      <w:tr>
        <w:trPr>
          <w:trHeight w:val="20"/>
        </w:trPr>
        <w:tc>
          <w:tcPr>
            <w:tcW w:w="4460" w:type="dxa"/>
            <w:vAlign w:val="bottom"/>
            <w:tcBorders>
              <w:bottom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80" w:right="360" w:hanging="318"/>
        <w:spacing w:after="0" w:line="282" w:lineRule="auto"/>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Active selling communities are open for sale communities with ten or more home sites available. We identify communities based on product type. Therefore, at times there are multiple communities at one land site.</w:t>
      </w:r>
    </w:p>
    <w:p>
      <w:pPr>
        <w:spacing w:after="0" w:line="269" w:lineRule="exact"/>
        <w:rPr>
          <w:rFonts w:ascii="Times New Roman" w:cs="Times New Roman" w:eastAsia="Times New Roman" w:hAnsi="Times New Roman"/>
          <w:sz w:val="18"/>
          <w:szCs w:val="18"/>
          <w:color w:val="auto"/>
        </w:rPr>
      </w:pPr>
    </w:p>
    <w:p>
      <w:pPr>
        <w:jc w:val="both"/>
        <w:ind w:left="380" w:right="320" w:hanging="318"/>
        <w:spacing w:after="0" w:line="266" w:lineRule="auto"/>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active selling communities and home sites for our unconsolidated homebuilding joint ventures for the period. We provide this data as a supplement to our consolidated results as an indicator of the volume managed in our unconsolidated joint ventures. See Note 18 to the Condensed Consolidated Financial Statements for a further discussion of our unconsolidated joint ventures.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748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5" w:lineRule="exact"/>
        <w:rPr>
          <w:sz w:val="20"/>
          <w:szCs w:val="20"/>
          <w:color w:val="auto"/>
        </w:rPr>
      </w:pPr>
    </w:p>
    <w:p>
      <w:pPr>
        <w:ind w:firstLine="810"/>
        <w:spacing w:after="0" w:line="266" w:lineRule="auto"/>
        <w:rPr>
          <w:sz w:val="20"/>
          <w:szCs w:val="20"/>
          <w:color w:val="auto"/>
        </w:rPr>
      </w:pPr>
      <w:r>
        <w:rPr>
          <w:rFonts w:ascii="Times New Roman" w:cs="Times New Roman" w:eastAsia="Times New Roman" w:hAnsi="Times New Roman"/>
          <w:sz w:val="18"/>
          <w:szCs w:val="18"/>
          <w:color w:val="auto"/>
        </w:rPr>
        <w:t>The following table summarizes our started or completed unsold homes and models, excluding unconsolidated joint ventures, in substantially completed communities. The decrease in started or completed unsold homes from October 31, 2025 to April 30, 2026 is due to a concerted effort to manage inventory levels by aligning our starts pace with sales pace at each community.</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April 30, 2026</w:t>
            </w:r>
          </w:p>
        </w:tc>
        <w:tc>
          <w:tcPr>
            <w:tcW w:w="1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October 31, 2025</w:t>
            </w:r>
          </w:p>
        </w:tc>
        <w:tc>
          <w:tcPr>
            <w:tcW w:w="1000" w:type="dxa"/>
            <w:vAlign w:val="bottom"/>
            <w:tcBorders>
              <w:bottom w:val="single" w:sz="8" w:color="auto"/>
            </w:tcBorders>
          </w:tcPr>
          <w:p>
            <w:pPr>
              <w:spacing w:after="0"/>
              <w:rPr>
                <w:sz w:val="19"/>
                <w:szCs w:val="19"/>
                <w:color w:val="auto"/>
              </w:rPr>
            </w:pPr>
          </w:p>
        </w:tc>
      </w:tr>
      <w:tr>
        <w:trPr>
          <w:trHeight w:val="264"/>
        </w:trPr>
        <w:tc>
          <w:tcPr>
            <w:tcW w:w="3280" w:type="dxa"/>
            <w:vAlign w:val="bottom"/>
          </w:tcPr>
          <w:p>
            <w:pPr>
              <w:spacing w:after="0"/>
              <w:rPr>
                <w:sz w:val="22"/>
                <w:szCs w:val="22"/>
                <w:color w:val="auto"/>
              </w:rPr>
            </w:pPr>
          </w:p>
        </w:tc>
        <w:tc>
          <w:tcPr>
            <w:tcW w:w="13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Unsold</w:t>
            </w:r>
          </w:p>
        </w:tc>
        <w:tc>
          <w:tcPr>
            <w:tcW w:w="15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1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Unsold</w:t>
            </w:r>
          </w:p>
        </w:tc>
        <w:tc>
          <w:tcPr>
            <w:tcW w:w="164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56"/>
        </w:trPr>
        <w:tc>
          <w:tcPr>
            <w:tcW w:w="32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Homes</w:t>
            </w:r>
          </w:p>
        </w:tc>
        <w:tc>
          <w:tcPr>
            <w:tcW w:w="15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Models</w:t>
            </w:r>
          </w:p>
        </w:tc>
        <w:tc>
          <w:tcPr>
            <w:tcW w:w="13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Homes</w:t>
            </w:r>
          </w:p>
        </w:tc>
        <w:tc>
          <w:tcPr>
            <w:tcW w:w="16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Models</w:t>
            </w:r>
          </w:p>
        </w:tc>
        <w:tc>
          <w:tcPr>
            <w:tcW w:w="10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196"/>
        </w:trPr>
        <w:tc>
          <w:tcPr>
            <w:tcW w:w="32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Northeast</w:t>
            </w:r>
          </w:p>
        </w:tc>
        <w:tc>
          <w:tcPr>
            <w:tcW w:w="1340" w:type="dxa"/>
            <w:vAlign w:val="bottom"/>
            <w:shd w:val="clear" w:color="auto" w:fill="CCEEFF"/>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172</w:t>
            </w:r>
          </w:p>
        </w:tc>
        <w:tc>
          <w:tcPr>
            <w:tcW w:w="1540" w:type="dxa"/>
            <w:vAlign w:val="bottom"/>
            <w:shd w:val="clear" w:color="auto" w:fill="CCEEFF"/>
          </w:tcPr>
          <w:p>
            <w:pPr>
              <w:jc w:val="right"/>
              <w:ind w:right="230"/>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1300" w:type="dxa"/>
            <w:vAlign w:val="bottom"/>
            <w:shd w:val="clear" w:color="auto" w:fill="CCEEFF"/>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rPr>
              <w:t>189</w:t>
            </w:r>
          </w:p>
        </w:tc>
        <w:tc>
          <w:tcPr>
            <w:tcW w:w="11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257</w:t>
            </w:r>
          </w:p>
        </w:tc>
        <w:tc>
          <w:tcPr>
            <w:tcW w:w="1640" w:type="dxa"/>
            <w:vAlign w:val="bottom"/>
            <w:shd w:val="clear" w:color="auto" w:fill="CCEEFF"/>
          </w:tcPr>
          <w:p>
            <w:pPr>
              <w:jc w:val="right"/>
              <w:ind w:right="290"/>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10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280</w:t>
            </w:r>
          </w:p>
        </w:tc>
      </w:tr>
      <w:tr>
        <w:trPr>
          <w:trHeight w:val="203"/>
        </w:trPr>
        <w:tc>
          <w:tcPr>
            <w:tcW w:w="32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Southeast</w:t>
            </w:r>
          </w:p>
        </w:tc>
        <w:tc>
          <w:tcPr>
            <w:tcW w:w="1340" w:type="dxa"/>
            <w:vAlign w:val="bottom"/>
          </w:tcPr>
          <w:p>
            <w:pPr>
              <w:jc w:val="right"/>
              <w:ind w:right="50"/>
              <w:spacing w:after="0" w:line="202" w:lineRule="exact"/>
              <w:rPr>
                <w:sz w:val="20"/>
                <w:szCs w:val="20"/>
                <w:color w:val="auto"/>
              </w:rPr>
            </w:pPr>
            <w:r>
              <w:rPr>
                <w:rFonts w:ascii="Times New Roman" w:cs="Times New Roman" w:eastAsia="Times New Roman" w:hAnsi="Times New Roman"/>
                <w:sz w:val="18"/>
                <w:szCs w:val="18"/>
                <w:color w:val="auto"/>
              </w:rPr>
              <w:t>127</w:t>
            </w:r>
          </w:p>
        </w:tc>
        <w:tc>
          <w:tcPr>
            <w:tcW w:w="1540" w:type="dxa"/>
            <w:vAlign w:val="bottom"/>
          </w:tcPr>
          <w:p>
            <w:pPr>
              <w:jc w:val="right"/>
              <w:ind w:right="230"/>
              <w:spacing w:after="0" w:line="202" w:lineRule="exact"/>
              <w:rPr>
                <w:sz w:val="20"/>
                <w:szCs w:val="20"/>
                <w:color w:val="auto"/>
              </w:rPr>
            </w:pPr>
            <w:r>
              <w:rPr>
                <w:rFonts w:ascii="Times New Roman" w:cs="Times New Roman" w:eastAsia="Times New Roman" w:hAnsi="Times New Roman"/>
                <w:sz w:val="18"/>
                <w:szCs w:val="18"/>
                <w:color w:val="auto"/>
              </w:rPr>
              <w:t>13</w:t>
            </w:r>
          </w:p>
        </w:tc>
        <w:tc>
          <w:tcPr>
            <w:tcW w:w="1300" w:type="dxa"/>
            <w:vAlign w:val="bottom"/>
          </w:tcPr>
          <w:p>
            <w:pPr>
              <w:jc w:val="right"/>
              <w:ind w:right="190"/>
              <w:spacing w:after="0" w:line="202" w:lineRule="exact"/>
              <w:rPr>
                <w:sz w:val="20"/>
                <w:szCs w:val="20"/>
                <w:color w:val="auto"/>
              </w:rPr>
            </w:pPr>
            <w:r>
              <w:rPr>
                <w:rFonts w:ascii="Times New Roman" w:cs="Times New Roman" w:eastAsia="Times New Roman" w:hAnsi="Times New Roman"/>
                <w:sz w:val="18"/>
                <w:szCs w:val="18"/>
                <w:color w:val="auto"/>
              </w:rPr>
              <w:t>140</w:t>
            </w:r>
          </w:p>
        </w:tc>
        <w:tc>
          <w:tcPr>
            <w:tcW w:w="11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125</w:t>
            </w:r>
          </w:p>
        </w:tc>
        <w:tc>
          <w:tcPr>
            <w:tcW w:w="1640" w:type="dxa"/>
            <w:vAlign w:val="bottom"/>
          </w:tcPr>
          <w:p>
            <w:pPr>
              <w:jc w:val="right"/>
              <w:ind w:right="290"/>
              <w:spacing w:after="0" w:line="202" w:lineRule="exact"/>
              <w:rPr>
                <w:sz w:val="20"/>
                <w:szCs w:val="20"/>
                <w:color w:val="auto"/>
              </w:rPr>
            </w:pPr>
            <w:r>
              <w:rPr>
                <w:rFonts w:ascii="Times New Roman" w:cs="Times New Roman" w:eastAsia="Times New Roman" w:hAnsi="Times New Roman"/>
                <w:sz w:val="18"/>
                <w:szCs w:val="18"/>
                <w:color w:val="auto"/>
              </w:rPr>
              <w:t>18</w:t>
            </w:r>
          </w:p>
        </w:tc>
        <w:tc>
          <w:tcPr>
            <w:tcW w:w="10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143</w:t>
            </w:r>
          </w:p>
        </w:tc>
      </w:tr>
      <w:tr>
        <w:trPr>
          <w:trHeight w:val="202"/>
        </w:trPr>
        <w:tc>
          <w:tcPr>
            <w:tcW w:w="3280" w:type="dxa"/>
            <w:vAlign w:val="bottom"/>
            <w:tcBorders>
              <w:bottom w:val="single" w:sz="8" w:color="auto"/>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West</w:t>
            </w:r>
          </w:p>
        </w:tc>
        <w:tc>
          <w:tcPr>
            <w:tcW w:w="1340" w:type="dxa"/>
            <w:vAlign w:val="bottom"/>
            <w:tcBorders>
              <w:bottom w:val="single" w:sz="8" w:color="auto"/>
            </w:tcBorders>
            <w:shd w:val="clear" w:color="auto" w:fill="CCEEFF"/>
          </w:tcPr>
          <w:p>
            <w:pPr>
              <w:jc w:val="right"/>
              <w:ind w:right="50"/>
              <w:spacing w:after="0" w:line="202" w:lineRule="exact"/>
              <w:rPr>
                <w:sz w:val="20"/>
                <w:szCs w:val="20"/>
                <w:color w:val="auto"/>
              </w:rPr>
            </w:pPr>
            <w:r>
              <w:rPr>
                <w:rFonts w:ascii="Times New Roman" w:cs="Times New Roman" w:eastAsia="Times New Roman" w:hAnsi="Times New Roman"/>
                <w:sz w:val="18"/>
                <w:szCs w:val="18"/>
                <w:color w:val="auto"/>
              </w:rPr>
              <w:t>432</w:t>
            </w:r>
          </w:p>
        </w:tc>
        <w:tc>
          <w:tcPr>
            <w:tcW w:w="1540" w:type="dxa"/>
            <w:vAlign w:val="bottom"/>
            <w:tcBorders>
              <w:bottom w:val="single" w:sz="8" w:color="auto"/>
            </w:tcBorders>
            <w:shd w:val="clear" w:color="auto" w:fill="CCEEFF"/>
          </w:tcPr>
          <w:p>
            <w:pPr>
              <w:jc w:val="right"/>
              <w:ind w:right="230"/>
              <w:spacing w:after="0" w:line="202" w:lineRule="exact"/>
              <w:rPr>
                <w:sz w:val="20"/>
                <w:szCs w:val="20"/>
                <w:color w:val="auto"/>
              </w:rPr>
            </w:pPr>
            <w:r>
              <w:rPr>
                <w:rFonts w:ascii="Times New Roman" w:cs="Times New Roman" w:eastAsia="Times New Roman" w:hAnsi="Times New Roman"/>
                <w:sz w:val="18"/>
                <w:szCs w:val="18"/>
                <w:color w:val="auto"/>
              </w:rPr>
              <w:t>20</w:t>
            </w:r>
          </w:p>
        </w:tc>
        <w:tc>
          <w:tcPr>
            <w:tcW w:w="1300" w:type="dxa"/>
            <w:vAlign w:val="bottom"/>
            <w:tcBorders>
              <w:bottom w:val="single" w:sz="8" w:color="auto"/>
            </w:tcBorders>
            <w:shd w:val="clear" w:color="auto" w:fill="CCEEFF"/>
          </w:tcPr>
          <w:p>
            <w:pPr>
              <w:jc w:val="right"/>
              <w:ind w:right="190"/>
              <w:spacing w:after="0" w:line="202" w:lineRule="exact"/>
              <w:rPr>
                <w:sz w:val="20"/>
                <w:szCs w:val="20"/>
                <w:color w:val="auto"/>
              </w:rPr>
            </w:pPr>
            <w:r>
              <w:rPr>
                <w:rFonts w:ascii="Times New Roman" w:cs="Times New Roman" w:eastAsia="Times New Roman" w:hAnsi="Times New Roman"/>
                <w:sz w:val="18"/>
                <w:szCs w:val="18"/>
                <w:color w:val="auto"/>
              </w:rPr>
              <w:t>452</w:t>
            </w:r>
          </w:p>
        </w:tc>
        <w:tc>
          <w:tcPr>
            <w:tcW w:w="114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525</w:t>
            </w:r>
          </w:p>
        </w:tc>
        <w:tc>
          <w:tcPr>
            <w:tcW w:w="1640" w:type="dxa"/>
            <w:vAlign w:val="bottom"/>
            <w:tcBorders>
              <w:bottom w:val="single" w:sz="8" w:color="auto"/>
            </w:tcBorders>
            <w:shd w:val="clear" w:color="auto" w:fill="CCEEFF"/>
          </w:tcPr>
          <w:p>
            <w:pPr>
              <w:jc w:val="right"/>
              <w:ind w:right="290"/>
              <w:spacing w:after="0" w:line="202" w:lineRule="exact"/>
              <w:rPr>
                <w:sz w:val="20"/>
                <w:szCs w:val="20"/>
                <w:color w:val="auto"/>
              </w:rPr>
            </w:pPr>
            <w:r>
              <w:rPr>
                <w:rFonts w:ascii="Times New Roman" w:cs="Times New Roman" w:eastAsia="Times New Roman" w:hAnsi="Times New Roman"/>
                <w:sz w:val="18"/>
                <w:szCs w:val="18"/>
                <w:color w:val="auto"/>
              </w:rPr>
              <w:t>23</w:t>
            </w: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548</w:t>
            </w:r>
          </w:p>
        </w:tc>
      </w:tr>
      <w:tr>
        <w:trPr>
          <w:trHeight w:val="196"/>
        </w:trPr>
        <w:tc>
          <w:tcPr>
            <w:tcW w:w="3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280" w:type="dxa"/>
            <w:vAlign w:val="bottom"/>
            <w:tcBorders>
              <w:bottom w:val="single" w:sz="8" w:color="auto"/>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Domestic total (1)</w:t>
            </w:r>
          </w:p>
        </w:tc>
        <w:tc>
          <w:tcPr>
            <w:tcW w:w="1340" w:type="dxa"/>
            <w:vAlign w:val="bottom"/>
            <w:tcBorders>
              <w:bottom w:val="single" w:sz="8" w:color="auto"/>
            </w:tcBorders>
            <w:shd w:val="clear" w:color="auto" w:fill="CCEEFF"/>
          </w:tcPr>
          <w:p>
            <w:pPr>
              <w:jc w:val="right"/>
              <w:ind w:right="50"/>
              <w:spacing w:after="0" w:line="202" w:lineRule="exact"/>
              <w:rPr>
                <w:sz w:val="20"/>
                <w:szCs w:val="20"/>
                <w:color w:val="auto"/>
              </w:rPr>
            </w:pPr>
            <w:r>
              <w:rPr>
                <w:rFonts w:ascii="Times New Roman" w:cs="Times New Roman" w:eastAsia="Times New Roman" w:hAnsi="Times New Roman"/>
                <w:sz w:val="18"/>
                <w:szCs w:val="18"/>
                <w:color w:val="auto"/>
              </w:rPr>
              <w:t>731</w:t>
            </w:r>
          </w:p>
        </w:tc>
        <w:tc>
          <w:tcPr>
            <w:tcW w:w="1540" w:type="dxa"/>
            <w:vAlign w:val="bottom"/>
            <w:tcBorders>
              <w:bottom w:val="single" w:sz="8" w:color="auto"/>
            </w:tcBorders>
            <w:shd w:val="clear" w:color="auto" w:fill="CCEEFF"/>
          </w:tcPr>
          <w:p>
            <w:pPr>
              <w:jc w:val="right"/>
              <w:ind w:right="230"/>
              <w:spacing w:after="0" w:line="202" w:lineRule="exact"/>
              <w:rPr>
                <w:sz w:val="20"/>
                <w:szCs w:val="20"/>
                <w:color w:val="auto"/>
              </w:rPr>
            </w:pPr>
            <w:r>
              <w:rPr>
                <w:rFonts w:ascii="Times New Roman" w:cs="Times New Roman" w:eastAsia="Times New Roman" w:hAnsi="Times New Roman"/>
                <w:sz w:val="18"/>
                <w:szCs w:val="18"/>
                <w:color w:val="auto"/>
              </w:rPr>
              <w:t>50</w:t>
            </w:r>
          </w:p>
        </w:tc>
        <w:tc>
          <w:tcPr>
            <w:tcW w:w="1300" w:type="dxa"/>
            <w:vAlign w:val="bottom"/>
            <w:tcBorders>
              <w:bottom w:val="single" w:sz="8" w:color="auto"/>
            </w:tcBorders>
            <w:shd w:val="clear" w:color="auto" w:fill="CCEEFF"/>
          </w:tcPr>
          <w:p>
            <w:pPr>
              <w:jc w:val="right"/>
              <w:ind w:right="190"/>
              <w:spacing w:after="0" w:line="202" w:lineRule="exact"/>
              <w:rPr>
                <w:sz w:val="20"/>
                <w:szCs w:val="20"/>
                <w:color w:val="auto"/>
              </w:rPr>
            </w:pPr>
            <w:r>
              <w:rPr>
                <w:rFonts w:ascii="Times New Roman" w:cs="Times New Roman" w:eastAsia="Times New Roman" w:hAnsi="Times New Roman"/>
                <w:sz w:val="18"/>
                <w:szCs w:val="18"/>
                <w:color w:val="auto"/>
              </w:rPr>
              <w:t>781</w:t>
            </w:r>
          </w:p>
        </w:tc>
        <w:tc>
          <w:tcPr>
            <w:tcW w:w="114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907</w:t>
            </w:r>
          </w:p>
        </w:tc>
        <w:tc>
          <w:tcPr>
            <w:tcW w:w="1640" w:type="dxa"/>
            <w:vAlign w:val="bottom"/>
            <w:tcBorders>
              <w:bottom w:val="single" w:sz="8" w:color="auto"/>
            </w:tcBorders>
            <w:shd w:val="clear" w:color="auto" w:fill="CCEEFF"/>
          </w:tcPr>
          <w:p>
            <w:pPr>
              <w:jc w:val="right"/>
              <w:ind w:right="290"/>
              <w:spacing w:after="0" w:line="202" w:lineRule="exact"/>
              <w:rPr>
                <w:sz w:val="20"/>
                <w:szCs w:val="20"/>
                <w:color w:val="auto"/>
              </w:rPr>
            </w:pPr>
            <w:r>
              <w:rPr>
                <w:rFonts w:ascii="Times New Roman" w:cs="Times New Roman" w:eastAsia="Times New Roman" w:hAnsi="Times New Roman"/>
                <w:sz w:val="18"/>
                <w:szCs w:val="18"/>
                <w:color w:val="auto"/>
              </w:rPr>
              <w:t>64</w:t>
            </w: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971</w:t>
            </w:r>
          </w:p>
        </w:tc>
      </w:tr>
      <w:tr>
        <w:trPr>
          <w:trHeight w:val="20"/>
        </w:trPr>
        <w:tc>
          <w:tcPr>
            <w:tcW w:w="3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83"/>
        </w:trPr>
        <w:tc>
          <w:tcPr>
            <w:tcW w:w="3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4"/>
        </w:trPr>
        <w:tc>
          <w:tcPr>
            <w:tcW w:w="328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Started or completed unsold homes and</w:t>
            </w:r>
          </w:p>
        </w:tc>
        <w:tc>
          <w:tcPr>
            <w:tcW w:w="134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203"/>
        </w:trPr>
        <w:tc>
          <w:tcPr>
            <w:tcW w:w="328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models per domestic active selling</w:t>
            </w:r>
          </w:p>
        </w:tc>
        <w:tc>
          <w:tcPr>
            <w:tcW w:w="13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34"/>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communities (2)</w:t>
            </w:r>
          </w:p>
        </w:tc>
        <w:tc>
          <w:tcPr>
            <w:tcW w:w="1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5.8</w:t>
            </w:r>
          </w:p>
        </w:tc>
        <w:tc>
          <w:tcPr>
            <w:tcW w:w="15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0.4</w:t>
            </w:r>
          </w:p>
        </w:tc>
        <w:tc>
          <w:tcPr>
            <w:tcW w:w="13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6.2</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6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0.4</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r>
    </w:tbl>
    <w:p>
      <w:pPr>
        <w:spacing w:after="0" w:line="198" w:lineRule="exact"/>
        <w:rPr>
          <w:sz w:val="20"/>
          <w:szCs w:val="20"/>
          <w:color w:val="auto"/>
        </w:rPr>
      </w:pPr>
    </w:p>
    <w:p>
      <w:pPr>
        <w:ind w:left="400" w:hanging="338"/>
        <w:spacing w:after="0"/>
        <w:tabs>
          <w:tab w:leader="none" w:pos="4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April 30, 2026, KSA had no started unsold homes or models.</w:t>
      </w:r>
    </w:p>
    <w:p>
      <w:pPr>
        <w:spacing w:after="0" w:line="117" w:lineRule="exact"/>
        <w:rPr>
          <w:rFonts w:ascii="Times New Roman" w:cs="Times New Roman" w:eastAsia="Times New Roman" w:hAnsi="Times New Roman"/>
          <w:sz w:val="18"/>
          <w:szCs w:val="18"/>
          <w:color w:val="auto"/>
        </w:rPr>
      </w:pPr>
    </w:p>
    <w:p>
      <w:pPr>
        <w:ind w:left="400" w:right="60" w:hanging="338"/>
        <w:spacing w:after="0" w:line="266" w:lineRule="auto"/>
        <w:tabs>
          <w:tab w:leader="none" w:pos="4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Domestic active selling communities (which are communities that are open for sale with ten or more home sites available) were 125 at April 30, 2026 and 140 at October 31, 2025. This ratio does not include substantially completed communities, which are communities with less than ten home sites available.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Balance Sheet Fluctuations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87" w:lineRule="exact"/>
        <w:rPr>
          <w:sz w:val="20"/>
          <w:szCs w:val="20"/>
          <w:color w:val="auto"/>
        </w:rPr>
      </w:pPr>
    </w:p>
    <w:p>
      <w:pPr>
        <w:ind w:right="20" w:firstLine="810"/>
        <w:spacing w:after="0" w:line="266" w:lineRule="auto"/>
        <w:rPr>
          <w:sz w:val="20"/>
          <w:szCs w:val="20"/>
          <w:color w:val="auto"/>
        </w:rPr>
      </w:pPr>
      <w:r>
        <w:rPr>
          <w:rFonts w:ascii="Times New Roman" w:cs="Times New Roman" w:eastAsia="Times New Roman" w:hAnsi="Times New Roman"/>
          <w:sz w:val="18"/>
          <w:szCs w:val="18"/>
          <w:color w:val="auto"/>
        </w:rPr>
        <w:t>Goodwill increased to $31.7 million at April 30, 2026 from October 31, 2025 resulting from the acquisition of a controlling interest in KSA in the first quarter of fiscal 2026. See Note 18 to the Condensed Consolidated Financial Statements included elsewhere in this Quarterly Report on Form 10-Q for further details on the KSA purchase price allocation. There was no goodwill recorded at October 31, 2025.</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Customer Deposits</w:t>
      </w:r>
    </w:p>
    <w:p>
      <w:pPr>
        <w:sectPr>
          <w:pgSz w:w="11900" w:h="16838" w:orient="portrait"/>
          <w:cols w:equalWidth="0" w:num="1">
            <w:col w:w="11240"/>
          </w:cols>
          <w:pgMar w:left="320" w:top="135" w:right="339" w:bottom="0" w:gutter="0" w:footer="0" w:header="0"/>
        </w:sectPr>
      </w:pPr>
    </w:p>
    <w:bookmarkStart w:id="36" w:name="page37"/>
    <w:bookmarkEnd w:id="36"/>
    <w:p>
      <w:pPr>
        <w:ind w:right="80" w:firstLine="816"/>
        <w:spacing w:after="0" w:line="282" w:lineRule="auto"/>
        <w:rPr>
          <w:sz w:val="20"/>
          <w:szCs w:val="20"/>
          <w:color w:val="auto"/>
        </w:rPr>
      </w:pPr>
      <w:r>
        <w:rPr>
          <w:rFonts w:ascii="Times New Roman" w:cs="Times New Roman" w:eastAsia="Times New Roman" w:hAnsi="Times New Roman"/>
          <w:sz w:val="18"/>
          <w:szCs w:val="18"/>
          <w:color w:val="auto"/>
        </w:rPr>
        <w:t>Customer deposits increased $159.8 million to $206.1 million at April 30, 2026 compared to October 31, 2025. The increase was primarily due to KSA stage payments that we receive as a home is constructed and recorded as deferred revenue.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Services Assets and Liabilities</w:t>
      </w:r>
    </w:p>
    <w:p>
      <w:pPr>
        <w:spacing w:after="0" w:line="200" w:lineRule="exact"/>
        <w:rPr>
          <w:sz w:val="20"/>
          <w:szCs w:val="20"/>
          <w:color w:val="auto"/>
        </w:rPr>
      </w:pPr>
    </w:p>
    <w:p>
      <w:pPr>
        <w:ind w:right="300" w:firstLine="810"/>
        <w:spacing w:after="0" w:line="258" w:lineRule="auto"/>
        <w:rPr>
          <w:sz w:val="20"/>
          <w:szCs w:val="20"/>
          <w:color w:val="auto"/>
        </w:rPr>
      </w:pPr>
      <w:r>
        <w:rPr>
          <w:rFonts w:ascii="Times New Roman" w:cs="Times New Roman" w:eastAsia="Times New Roman" w:hAnsi="Times New Roman"/>
          <w:sz w:val="18"/>
          <w:szCs w:val="18"/>
          <w:color w:val="auto"/>
        </w:rPr>
        <w:t>Financial services assets increased $7.3 million to $158.5 million at April 30, 2026, compared to October 31, 2025. Financial services assets consist primarily of residential mortgage receivables held for sale of which $120.4 million and $109.8 million at April 30, 2026 and October 31, 2025, respectively, were being temporarily warehoused and are awaiting sale in the secondary mortgage market. The increase in mortgage loans held for sale from October 31, 2025 was primarily related to an increase in the volume of loans originated during the second quarter of fiscal 2026 compared to the fourth quarter of fiscal 2025 and an increase in the average loan value.</w:t>
      </w:r>
    </w:p>
    <w:p>
      <w:pPr>
        <w:spacing w:after="0" w:line="143" w:lineRule="exact"/>
        <w:rPr>
          <w:sz w:val="20"/>
          <w:szCs w:val="20"/>
          <w:color w:val="auto"/>
        </w:rPr>
      </w:pPr>
    </w:p>
    <w:p>
      <w:pPr>
        <w:ind w:right="200" w:firstLine="810"/>
        <w:spacing w:after="0" w:line="266" w:lineRule="auto"/>
        <w:rPr>
          <w:sz w:val="20"/>
          <w:szCs w:val="20"/>
          <w:color w:val="auto"/>
        </w:rPr>
      </w:pPr>
      <w:r>
        <w:rPr>
          <w:rFonts w:ascii="Times New Roman" w:cs="Times New Roman" w:eastAsia="Times New Roman" w:hAnsi="Times New Roman"/>
          <w:sz w:val="18"/>
          <w:szCs w:val="18"/>
          <w:color w:val="auto"/>
        </w:rPr>
        <w:t>Financial services liabilities increased $6.2 million to $137.0 million at April 30, 2026 compared to October 31, 2025. The increase was primarily due to an increase in amounts outstanding under our mortgage warehouse lines of credit and directly correlates to the increase in the volume of mortgage loans held for sale during the period.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229" w:lineRule="exact"/>
        <w:rPr>
          <w:sz w:val="20"/>
          <w:szCs w:val="20"/>
          <w:color w:val="auto"/>
        </w:rPr>
      </w:pPr>
    </w:p>
    <w:p>
      <w:pPr>
        <w:ind w:right="100" w:firstLine="809"/>
        <w:spacing w:after="0" w:line="256" w:lineRule="auto"/>
        <w:rPr>
          <w:sz w:val="20"/>
          <w:szCs w:val="20"/>
          <w:color w:val="auto"/>
        </w:rPr>
      </w:pPr>
      <w:r>
        <w:rPr>
          <w:rFonts w:ascii="Times New Roman" w:cs="Times New Roman" w:eastAsia="Times New Roman" w:hAnsi="Times New Roman"/>
          <w:sz w:val="18"/>
          <w:szCs w:val="18"/>
          <w:color w:val="auto"/>
        </w:rPr>
        <w:t>The annual rate of inflation in the United States was 3.8% in April 2026, as measured by the Consumer Price Index, which is an increase from January 2026, but much improved from its peak of 9.1% in June 2022. Inflation has a long-term effect, because higher costs for land, materials and labor results in increasing sales prices of our homes. Historically, these price increases have been commensurate with the general rate of inflation in our housing markets and have not had a significant adverse effect on the sale of our homes. A significant risk faced by the housing industry generally is that rising house construction costs, including land and interest costs, could substantially outpace increases in the income of potential purchasers and therefore limit our ability to raise home sale prices, which may result in lower gross margins.</w:t>
      </w:r>
    </w:p>
    <w:p>
      <w:pPr>
        <w:spacing w:after="0" w:line="160" w:lineRule="exact"/>
        <w:rPr>
          <w:sz w:val="20"/>
          <w:szCs w:val="20"/>
          <w:color w:val="auto"/>
        </w:rPr>
      </w:pPr>
    </w:p>
    <w:p>
      <w:pPr>
        <w:ind w:right="60" w:firstLine="810"/>
        <w:spacing w:after="0" w:line="261" w:lineRule="auto"/>
        <w:rPr>
          <w:sz w:val="20"/>
          <w:szCs w:val="20"/>
          <w:color w:val="auto"/>
        </w:rPr>
      </w:pPr>
      <w:r>
        <w:rPr>
          <w:rFonts w:ascii="Times New Roman" w:cs="Times New Roman" w:eastAsia="Times New Roman" w:hAnsi="Times New Roman"/>
          <w:sz w:val="18"/>
          <w:szCs w:val="18"/>
          <w:color w:val="auto"/>
        </w:rPr>
        <w:t>Inflation has a lesser short-term effect, because we generally negotiate fixed-price contracts with many, but not all, of our subcontractors and material suppliers for the construction of our homes. These prices usually are applicable for a specified number of residential buildings or for a time period of between three to 12 months. Construction costs for residential buildings represented approximately 47.8% of our homebuilding cost of sales for the six months ended April 30, 2026.</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748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89" w:lineRule="exact"/>
        <w:rPr>
          <w:sz w:val="20"/>
          <w:szCs w:val="20"/>
          <w:color w:val="auto"/>
        </w:rPr>
      </w:pPr>
    </w:p>
    <w:p>
      <w:pPr>
        <w:ind w:right="420" w:firstLine="810"/>
        <w:spacing w:after="0" w:line="266" w:lineRule="auto"/>
        <w:rPr>
          <w:sz w:val="20"/>
          <w:szCs w:val="20"/>
          <w:color w:val="auto"/>
        </w:rPr>
      </w:pPr>
      <w:r>
        <w:rPr>
          <w:rFonts w:ascii="Times New Roman" w:cs="Times New Roman" w:eastAsia="Times New Roman" w:hAnsi="Times New Roman"/>
          <w:sz w:val="18"/>
          <w:szCs w:val="18"/>
          <w:color w:val="auto"/>
        </w:rPr>
        <w:t>As disclosed in our Annual Report on Form 10-K for the fiscal year ended October 31, 2025, our most critical accounting policies relate to inventories, unconsolidated joint ventures, warranty and construction defect reserves and income taxes. Since October 31, 2025, there have been no significant changes to those critical accounting policies.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189" w:lineRule="exact"/>
        <w:rPr>
          <w:sz w:val="20"/>
          <w:szCs w:val="20"/>
          <w:color w:val="auto"/>
        </w:rPr>
      </w:pPr>
    </w:p>
    <w:p>
      <w:pPr>
        <w:ind w:firstLine="810"/>
        <w:spacing w:after="0" w:line="253" w:lineRule="auto"/>
        <w:rPr>
          <w:sz w:val="20"/>
          <w:szCs w:val="20"/>
          <w:color w:val="auto"/>
        </w:rPr>
      </w:pPr>
      <w:r>
        <w:rPr>
          <w:rFonts w:ascii="Times New Roman" w:cs="Times New Roman" w:eastAsia="Times New Roman" w:hAnsi="Times New Roman"/>
          <w:sz w:val="18"/>
          <w:szCs w:val="18"/>
          <w:color w:val="auto"/>
        </w:rPr>
        <w:t>All statements in this Quarterly Report on Form 10-Q that are not historical facts should be considered as “Forward-Looking Statements” within the meaning of the “Safe Harbor” provisions of the Private Securities Litigation Reform Act of 1995. Such statements involve known and unknown risks, uncertainties and other factors that may cause actual results, performance or achievements of the Company to be materially different from any future results, performance or achievements expressed or implied by the forward-looking statements. Such forward-looking statements include but are not limited to statements related to the Company's goals and expectations with respect to its financial results for future financial periods. Although we believe that our plans, intentions and expectations reflected in, or suggested by, such forward-looking statements are reasonable, we can give no assurance that such plans, intentions or expectations will be achieved. By their nature, forward-looking statements: (i) speak only as of the date they are made, (ii) are not guarantees of future performance or results and (iii) are subject to risks, uncertainties and assumptions that are difficult to predict or quantify. Therefore, actual results could differ materially and adversely from those forward-looking statements as a result of a variety of factors. Such risks, uncertainties and other factors include, but are not limited to:</w:t>
      </w:r>
    </w:p>
    <w:p>
      <w:pPr>
        <w:spacing w:after="0" w:line="194" w:lineRule="exact"/>
        <w:rPr>
          <w:sz w:val="20"/>
          <w:szCs w:val="20"/>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and local economic, industry and business conditions and impacts of a significant homebuilding downturn;</w:t>
      </w:r>
    </w:p>
    <w:p>
      <w:pPr>
        <w:spacing w:after="0" w:line="27" w:lineRule="exact"/>
        <w:rPr>
          <w:rFonts w:ascii="Times New Roman" w:cs="Times New Roman" w:eastAsia="Times New Roman" w:hAnsi="Times New Roman"/>
          <w:sz w:val="18"/>
          <w:szCs w:val="18"/>
          <w:color w:val="auto"/>
        </w:rPr>
      </w:pPr>
    </w:p>
    <w:p>
      <w:pPr>
        <w:ind w:left="980" w:right="20" w:hanging="324"/>
        <w:spacing w:after="0" w:line="250"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in, and price fluctuations of, raw materials and labor, including due to geopolitical events (such as the Iran war), changes in trade policies, including the imposition of tariffs and duties on homebuilding materials and products, and related trade disputes with, and retaliatory measures taken by other countries, and changes in immigration laws or the enforcement thereof and trends in labor migration;</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interest rates and the availability of mortgage financing, including as a result of instability in the banking sector;</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inflation;</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weather and other environmental conditions and natural or man-made disasters;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seasonality of the Company’s business;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cost of suitable land and improved lots and sufficient liquidity to invest in such land and lots;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and the performance of, subcontractors;</w:t>
      </w:r>
    </w:p>
    <w:p>
      <w:pPr>
        <w:spacing w:after="0" w:line="9" w:lineRule="exact"/>
        <w:rPr>
          <w:rFonts w:ascii="Times New Roman" w:cs="Times New Roman" w:eastAsia="Times New Roman" w:hAnsi="Times New Roman"/>
          <w:sz w:val="18"/>
          <w:szCs w:val="18"/>
          <w:color w:val="auto"/>
        </w:rPr>
      </w:pPr>
    </w:p>
    <w:p>
      <w:pPr>
        <w:ind w:left="980" w:right="120" w:hanging="324"/>
        <w:spacing w:after="0" w:line="250"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Regional and local economic factors, including dependency on certain sectors of the economy, and employment levels affecting home prices and sales activity in the markets where the Company builds homes;</w:t>
      </w: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cancellations of agreements of sale;</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affecting the after-tax costs of owning a home;</w:t>
      </w:r>
    </w:p>
    <w:p>
      <w:pPr>
        <w:spacing w:after="0" w:line="9" w:lineRule="exact"/>
        <w:rPr>
          <w:rFonts w:ascii="Times New Roman" w:cs="Times New Roman" w:eastAsia="Times New Roman" w:hAnsi="Times New Roman"/>
          <w:sz w:val="18"/>
          <w:szCs w:val="18"/>
          <w:color w:val="auto"/>
        </w:rPr>
      </w:pPr>
    </w:p>
    <w:p>
      <w:pPr>
        <w:ind w:left="980" w:right="600" w:hanging="324"/>
        <w:spacing w:after="0" w:line="250"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claims brought against us and not resolved in our favor, such as product liability litigation, warranty claims and claims made by mortgage investors;</w:t>
      </w: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Levels of competition;</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Utility shortages and outages or rate fluctuations;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technology failures and data security breaches;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publicity;</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economic and political instability;</w:t>
      </w:r>
    </w:p>
    <w:p>
      <w:pPr>
        <w:spacing w:after="0" w:line="9" w:lineRule="exact"/>
        <w:rPr>
          <w:rFonts w:ascii="Times New Roman" w:cs="Times New Roman" w:eastAsia="Times New Roman" w:hAnsi="Times New Roman"/>
          <w:sz w:val="18"/>
          <w:szCs w:val="18"/>
          <w:color w:val="auto"/>
        </w:rPr>
      </w:pPr>
    </w:p>
    <w:p>
      <w:pPr>
        <w:ind w:left="980" w:right="140" w:hanging="324"/>
        <w:spacing w:after="0" w:line="250"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leverage and restrictions on the Company’s operations and activities imposed by the agreements governing the Company’s outstanding indebtedness;</w:t>
      </w: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terms of financing to the Company;</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sources of liquidity;</w:t>
      </w:r>
    </w:p>
    <w:p>
      <w:pPr>
        <w:sectPr>
          <w:pgSz w:w="11900" w:h="16838" w:orient="portrait"/>
          <w:cols w:equalWidth="0" w:num="1">
            <w:col w:w="11220"/>
          </w:cols>
          <w:pgMar w:left="320" w:top="121" w:right="359" w:bottom="0" w:gutter="0" w:footer="0" w:header="0"/>
        </w:sectPr>
      </w:pPr>
    </w:p>
    <w:bookmarkStart w:id="37" w:name="page38"/>
    <w:bookmarkEnd w:id="37"/>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credit ratings;</w:t>
      </w:r>
    </w:p>
    <w:p>
      <w:pPr>
        <w:spacing w:after="0" w:line="27" w:lineRule="exact"/>
        <w:rPr>
          <w:rFonts w:ascii="Times New Roman" w:cs="Times New Roman" w:eastAsia="Times New Roman" w:hAnsi="Times New Roman"/>
          <w:sz w:val="18"/>
          <w:szCs w:val="18"/>
          <w:color w:val="auto"/>
        </w:rPr>
      </w:pPr>
    </w:p>
    <w:p>
      <w:pPr>
        <w:ind w:left="980" w:right="760" w:hanging="324"/>
        <w:spacing w:after="0" w:line="250"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regulation, including regulations concerning the development of land, the home building, sales and customer financing processes, tax laws and environmental, health and safety matters;</w:t>
      </w: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liability as a result of the past or present use of hazardous materials;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Operations through unconsolidated joint ventures with third parties;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influence of the Company’s controlling stockholders;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net operating loss carryforwards; 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key management personnel or failure to attract qualified personnel.</w:t>
      </w:r>
    </w:p>
    <w:p>
      <w:pPr>
        <w:spacing w:after="0" w:line="166" w:lineRule="exact"/>
        <w:rPr>
          <w:sz w:val="20"/>
          <w:szCs w:val="20"/>
          <w:color w:val="auto"/>
        </w:rPr>
      </w:pPr>
    </w:p>
    <w:p>
      <w:pPr>
        <w:jc w:val="both"/>
        <w:ind w:firstLine="810"/>
        <w:spacing w:after="0" w:line="261" w:lineRule="auto"/>
        <w:rPr>
          <w:sz w:val="20"/>
          <w:szCs w:val="20"/>
          <w:color w:val="auto"/>
        </w:rPr>
      </w:pPr>
      <w:r>
        <w:rPr>
          <w:rFonts w:ascii="Times New Roman" w:cs="Times New Roman" w:eastAsia="Times New Roman" w:hAnsi="Times New Roman"/>
          <w:sz w:val="18"/>
          <w:szCs w:val="18"/>
          <w:color w:val="auto"/>
        </w:rPr>
        <w:t>Certain risks, uncertainties and other factors are described in detail in Part I, Item 1 “Business” and Part I, Item 1A “Risk Factors” in our Annual Report on Form 10-K for the fiscal year ended October 31, 2025. Except as otherwise required by applicable securities laws, we undertake no obligation to publicly update or revise any forward-looking statements, whether as a result of new information, future events, changed circumstances or any other reason after the date of this Quarterly Report on Form 10-Q.</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748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60" w:firstLine="810"/>
        <w:spacing w:after="0" w:line="256" w:lineRule="auto"/>
        <w:rPr>
          <w:sz w:val="20"/>
          <w:szCs w:val="20"/>
          <w:color w:val="auto"/>
        </w:rPr>
      </w:pPr>
      <w:r>
        <w:rPr>
          <w:rFonts w:ascii="Times New Roman" w:cs="Times New Roman" w:eastAsia="Times New Roman" w:hAnsi="Times New Roman"/>
          <w:sz w:val="18"/>
          <w:szCs w:val="18"/>
          <w:color w:val="auto"/>
        </w:rPr>
        <w:t>Substantially all of our long-term debt requires fixed interest payments and we have limited exposure to variable rates. In connection with our mortgage operations, mortgage loans held for sale and the associated mortgage warehouse lines of credit under our Master Repurchase Agreements are subject to interest rate risk; however, such obligations reprice frequently and are short-term in duration. In addition, we hedge the interest rate risk on mortgage loans by obtaining forward commitments from private investors. Accordingly, the interest rate risk from mortgage loans is not significant. We do not use financial instruments to hedge interest rate risk except with respect to mortgage loans. The following table sets forth as of April 30, 2026, our long-term debt obligations, principal cash flows by scheduled maturity, weighted-average interest rates and estimated fair value (“FV”).</w:t>
      </w:r>
    </w:p>
    <w:p>
      <w:pPr>
        <w:spacing w:after="0" w:line="22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Long Term Debt as of April 30, 2026 by Fiscal Year of Maturity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FV at</w:t>
            </w:r>
          </w:p>
        </w:tc>
      </w:tr>
      <w:tr>
        <w:trPr>
          <w:trHeight w:val="257"/>
        </w:trPr>
        <w:tc>
          <w:tcPr>
            <w:tcW w:w="2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9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9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2027</w:t>
            </w:r>
          </w:p>
        </w:tc>
        <w:tc>
          <w:tcPr>
            <w:tcW w:w="9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2028</w:t>
            </w:r>
          </w:p>
        </w:tc>
        <w:tc>
          <w:tcPr>
            <w:tcW w:w="9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2029</w:t>
            </w:r>
          </w:p>
        </w:tc>
        <w:tc>
          <w:tcPr>
            <w:tcW w:w="7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2030</w:t>
            </w:r>
          </w:p>
        </w:tc>
        <w:tc>
          <w:tcPr>
            <w:tcW w:w="10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8"/>
              </w:rPr>
              <w:t>Thereafter</w:t>
            </w:r>
          </w:p>
        </w:tc>
        <w:tc>
          <w:tcPr>
            <w:tcW w:w="8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4/30/2026</w:t>
            </w:r>
          </w:p>
        </w:tc>
      </w:tr>
      <w:tr>
        <w:trPr>
          <w:trHeight w:val="236"/>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 term debt(1)(2):</w:t>
            </w:r>
          </w:p>
        </w:tc>
        <w:tc>
          <w:tcPr>
            <w:tcW w:w="9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57"/>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Fixed rate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$ 924,968</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$ 924,968</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$ 922,846</w:t>
            </w:r>
          </w:p>
        </w:tc>
      </w:tr>
      <w:tr>
        <w:trPr>
          <w:trHeight w:val="216"/>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interest rate</w:t>
            </w:r>
          </w:p>
        </w:tc>
        <w:tc>
          <w:tcPr>
            <w:tcW w:w="960" w:type="dxa"/>
            <w:vAlign w:val="bottom"/>
            <w:shd w:val="clear" w:color="auto" w:fill="CCEEFF"/>
          </w:tcPr>
          <w:p>
            <w:pPr>
              <w:spacing w:after="0"/>
              <w:rPr>
                <w:sz w:val="18"/>
                <w:szCs w:val="18"/>
                <w:color w:val="auto"/>
              </w:rPr>
            </w:pPr>
          </w:p>
        </w:tc>
        <w:tc>
          <w:tcPr>
            <w:tcW w:w="9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w w:val="93"/>
              </w:rPr>
              <w:t>- %</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8.10 %</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900" w:type="dxa"/>
            <w:vAlign w:val="bottom"/>
            <w:shd w:val="clear" w:color="auto" w:fill="CCEEFF"/>
          </w:tcPr>
          <w:p>
            <w:pPr>
              <w:spacing w:after="0"/>
              <w:rPr>
                <w:sz w:val="18"/>
                <w:szCs w:val="18"/>
                <w:color w:val="auto"/>
              </w:rPr>
            </w:pPr>
          </w:p>
        </w:tc>
      </w:tr>
    </w:tbl>
    <w:p>
      <w:pPr>
        <w:spacing w:after="0" w:line="196" w:lineRule="exact"/>
        <w:rPr>
          <w:sz w:val="20"/>
          <w:szCs w:val="20"/>
          <w:color w:val="auto"/>
        </w:rPr>
      </w:pPr>
    </w:p>
    <w:p>
      <w:pPr>
        <w:ind w:left="300" w:hanging="292"/>
        <w:spacing w:after="0"/>
        <w:tabs>
          <w:tab w:leader="none" w:pos="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Does not include mortgage warehouse lines of credit made under our Master Repurchase Agreements.</w:t>
      </w:r>
    </w:p>
    <w:p>
      <w:pPr>
        <w:spacing w:after="0" w:line="90" w:lineRule="exact"/>
        <w:rPr>
          <w:rFonts w:ascii="Times New Roman" w:cs="Times New Roman" w:eastAsia="Times New Roman" w:hAnsi="Times New Roman"/>
          <w:sz w:val="18"/>
          <w:szCs w:val="18"/>
          <w:color w:val="auto"/>
        </w:rPr>
      </w:pPr>
    </w:p>
    <w:p>
      <w:pPr>
        <w:ind w:left="300" w:right="100" w:hanging="292"/>
        <w:spacing w:after="0" w:line="257" w:lineRule="auto"/>
        <w:tabs>
          <w:tab w:leader="none" w:pos="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Does not include $32.7 million of nonrecourse mortgages secured by inventory. These mortgages have various maturities spread over the next two to three years and are paid off as homes are delivered. In addition, it does not include our $125.0 million Secured Credit Facility under which there were no borrowings outstanding as of April 30, 2026. The revolving loans under the Secured Credit Facility have a maturity of June 30, 2028 and borrowings bear interest, at K. Hovnanian’s option, at either (i) a term SOFR (subject to a floor of 3.00%) plus an applicable margin of 4.50% or (ii) an alternate base rate (subject to a floor of 3.00%) plus an applicable margin of 3.50%. In addition, K. Hovnanian pays an unused commitment fee on the undrawn revolving commitments at a rate of 1.00% per annum.</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ind w:right="40" w:firstLine="810"/>
        <w:spacing w:after="0" w:line="254" w:lineRule="auto"/>
        <w:rPr>
          <w:sz w:val="20"/>
          <w:szCs w:val="20"/>
          <w:color w:val="auto"/>
        </w:rPr>
      </w:pPr>
      <w:r>
        <w:rPr>
          <w:rFonts w:ascii="Times New Roman" w:cs="Times New Roman" w:eastAsia="Times New Roman" w:hAnsi="Times New Roman"/>
          <w:sz w:val="18"/>
          <w:szCs w:val="18"/>
          <w:color w:val="auto"/>
        </w:rPr>
        <w:t>The Company maintains disclosure controls and procedures that are designed to ensure that information required to be disclosed in the Company’s reports under the Securities Exchange Act of 1934, as amended,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disclosures. Any controls and procedures, no matter how well designed and operated, can provide only reasonable assurance of achieving the desired control objectives. The Company’s management, with the participation of the Company’s Chief Executive Officer and Chief Financial Officer, has evaluated the effectiveness of the design and operation of the Company’s disclosure controls and procedures as of April 30, 2026. Based upon that evaluation and subject to the foregoing, the Company’s Chief Executive Officer and Chief Financial Officer concluded that the design and operation of the Company’s disclosure controls and procedures are effective to accomplish their objectives.</w:t>
      </w:r>
    </w:p>
    <w:p>
      <w:pPr>
        <w:spacing w:after="0" w:line="188" w:lineRule="exact"/>
        <w:rPr>
          <w:sz w:val="20"/>
          <w:szCs w:val="20"/>
          <w:color w:val="auto"/>
        </w:rPr>
      </w:pPr>
    </w:p>
    <w:p>
      <w:pPr>
        <w:ind w:right="140" w:firstLine="810"/>
        <w:spacing w:after="0" w:line="282" w:lineRule="auto"/>
        <w:rPr>
          <w:sz w:val="20"/>
          <w:szCs w:val="20"/>
          <w:color w:val="auto"/>
        </w:rPr>
      </w:pPr>
      <w:r>
        <w:rPr>
          <w:rFonts w:ascii="Times New Roman" w:cs="Times New Roman" w:eastAsia="Times New Roman" w:hAnsi="Times New Roman"/>
          <w:sz w:val="18"/>
          <w:szCs w:val="18"/>
          <w:color w:val="auto"/>
        </w:rPr>
        <w:t>There was no change in the Company’s internal control over financial reporting that occurred during the quarter ended April 30, 2026, that has materially affected, or is reasonably likely to materially affect, the Company’s internal control over financial reporting.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220" w:firstLine="810"/>
        <w:spacing w:after="0" w:line="282" w:lineRule="auto"/>
        <w:rPr>
          <w:sz w:val="20"/>
          <w:szCs w:val="20"/>
          <w:color w:val="auto"/>
        </w:rPr>
      </w:pPr>
      <w:r>
        <w:rPr>
          <w:rFonts w:ascii="Times New Roman" w:cs="Times New Roman" w:eastAsia="Times New Roman" w:hAnsi="Times New Roman"/>
          <w:sz w:val="18"/>
          <w:szCs w:val="18"/>
          <w:color w:val="auto"/>
        </w:rPr>
        <w:t>For information with respect to our legal proceedings, see Note 7 to the Condensed Consolidated Financial Statements in Part I, Item 1 of this Quarterly Report on Form 10-Q.</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Equity Securities</w:t>
      </w:r>
    </w:p>
    <w:p>
      <w:pPr>
        <w:spacing w:after="0" w:line="22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ind w:right="100" w:firstLine="810"/>
        <w:spacing w:after="0" w:line="254" w:lineRule="auto"/>
        <w:rPr>
          <w:sz w:val="20"/>
          <w:szCs w:val="20"/>
          <w:color w:val="auto"/>
        </w:rPr>
      </w:pPr>
      <w:r>
        <w:rPr>
          <w:rFonts w:ascii="Times New Roman" w:cs="Times New Roman" w:eastAsia="Times New Roman" w:hAnsi="Times New Roman"/>
          <w:sz w:val="18"/>
          <w:szCs w:val="18"/>
          <w:color w:val="auto"/>
        </w:rPr>
        <w:t>On December 18, 2024, the Board authorized an incremental increase to our repurchase program and on April 11, 2025, the Board authorized another increase to our repurchase program, such that, inclusive of any amounts remaining under the existing repurchase authorization, as of April 11, 2025, we were authorized to repurchase up to $30.6 million of our Class A common stock. On February 27, 2026, our Board further authorized an incremental increase of $50.0 million to our repurchase program, such that, inclusive of any amounts remaining under the existing repurchase authorization, as of February 27, 2026, we were authorized to repurchase up to $67.4 million of our Class A common stock. Under the program, repurchases may be made from time to time in open market transactions, in privately negotiated transactions or otherwise. The timing and the actual dollar amount repurchased will depend on a variety of factors, including legal requirements, price, future tax implications and economic and market conditions. The repurchase program may be changed, suspended or discontinued at any time and does not have a specified expiration date. As of April 30, 2026, $57.9 million of our Class A common stock was available to be purchased under the stock repurchase program.</w:t>
      </w:r>
    </w:p>
    <w:p>
      <w:pPr>
        <w:spacing w:after="0" w:line="18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The following table provides information relating to the Company’s repurchase of common stock for the second quarter of fiscal 2026.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Total Number</w:t>
            </w:r>
          </w:p>
        </w:tc>
        <w:tc>
          <w:tcPr>
            <w:tcW w:w="122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8"/>
              </w:rPr>
              <w:t>Approximate</w:t>
            </w:r>
          </w:p>
        </w:tc>
      </w:tr>
      <w:tr>
        <w:trPr>
          <w:trHeight w:val="216"/>
        </w:trPr>
        <w:tc>
          <w:tcPr>
            <w:tcW w:w="43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of Shares</w:t>
            </w:r>
          </w:p>
        </w:tc>
        <w:tc>
          <w:tcPr>
            <w:tcW w:w="122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7"/>
              </w:rPr>
              <w:t>Dollar Value</w:t>
            </w:r>
          </w:p>
        </w:tc>
      </w:tr>
      <w:tr>
        <w:trPr>
          <w:trHeight w:val="216"/>
        </w:trPr>
        <w:tc>
          <w:tcPr>
            <w:tcW w:w="43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Purchased as</w:t>
            </w:r>
          </w:p>
        </w:tc>
        <w:tc>
          <w:tcPr>
            <w:tcW w:w="122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of Shares that</w:t>
            </w:r>
          </w:p>
        </w:tc>
      </w:tr>
      <w:tr>
        <w:trPr>
          <w:trHeight w:val="216"/>
        </w:trPr>
        <w:tc>
          <w:tcPr>
            <w:tcW w:w="43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Part of</w:t>
            </w:r>
          </w:p>
        </w:tc>
        <w:tc>
          <w:tcPr>
            <w:tcW w:w="122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6"/>
              </w:rPr>
              <w:t>May Yet Be</w:t>
            </w:r>
          </w:p>
        </w:tc>
      </w:tr>
      <w:tr>
        <w:trPr>
          <w:trHeight w:val="216"/>
        </w:trPr>
        <w:tc>
          <w:tcPr>
            <w:tcW w:w="43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Publicly</w:t>
            </w:r>
          </w:p>
        </w:tc>
        <w:tc>
          <w:tcPr>
            <w:tcW w:w="122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8"/>
              </w:rPr>
              <w:t>Purchased</w:t>
            </w:r>
          </w:p>
        </w:tc>
      </w:tr>
      <w:tr>
        <w:trPr>
          <w:trHeight w:val="216"/>
        </w:trPr>
        <w:tc>
          <w:tcPr>
            <w:tcW w:w="43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 Price</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Announced</w:t>
            </w:r>
          </w:p>
        </w:tc>
        <w:tc>
          <w:tcPr>
            <w:tcW w:w="122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8"/>
              </w:rPr>
              <w:t>Under the</w:t>
            </w:r>
          </w:p>
        </w:tc>
      </w:tr>
      <w:tr>
        <w:trPr>
          <w:trHeight w:val="216"/>
        </w:trPr>
        <w:tc>
          <w:tcPr>
            <w:tcW w:w="4340" w:type="dxa"/>
            <w:vAlign w:val="bottom"/>
          </w:tcPr>
          <w:p>
            <w:pPr>
              <w:spacing w:after="0"/>
              <w:rPr>
                <w:sz w:val="18"/>
                <w:szCs w:val="18"/>
                <w:color w:val="auto"/>
              </w:rPr>
            </w:pPr>
          </w:p>
        </w:tc>
        <w:tc>
          <w:tcPr>
            <w:tcW w:w="30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Total Number of Shares</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Paid Per</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Plans</w:t>
            </w:r>
          </w:p>
        </w:tc>
        <w:tc>
          <w:tcPr>
            <w:tcW w:w="122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Plans or</w:t>
            </w:r>
          </w:p>
        </w:tc>
      </w:tr>
      <w:tr>
        <w:trPr>
          <w:trHeight w:val="238"/>
        </w:trPr>
        <w:tc>
          <w:tcPr>
            <w:tcW w:w="434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Purchased</w:t>
            </w: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or Programs</w:t>
            </w:r>
          </w:p>
        </w:tc>
        <w:tc>
          <w:tcPr>
            <w:tcW w:w="122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Programs</w:t>
            </w:r>
          </w:p>
        </w:tc>
      </w:tr>
      <w:tr>
        <w:trPr>
          <w:trHeight w:val="23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1, 2026 through February 28, 2026</w:t>
            </w:r>
          </w:p>
        </w:tc>
        <w:tc>
          <w:tcPr>
            <w:tcW w:w="30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$67,402,978</w:t>
            </w:r>
          </w:p>
        </w:tc>
      </w:tr>
      <w:tr>
        <w:trPr>
          <w:trHeight w:val="257"/>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March 1, 2026 through March 31, 2026</w:t>
            </w:r>
          </w:p>
        </w:tc>
        <w:tc>
          <w:tcPr>
            <w:tcW w:w="3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63,201</w:t>
            </w:r>
          </w:p>
        </w:tc>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$104.62</w:t>
            </w:r>
          </w:p>
        </w:tc>
        <w:tc>
          <w:tcPr>
            <w:tcW w:w="1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63,201</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$60,790,684</w:t>
            </w:r>
          </w:p>
        </w:tc>
      </w:tr>
      <w:tr>
        <w:trPr>
          <w:trHeight w:val="25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1, 2026 through April 30, 2026</w:t>
            </w:r>
          </w:p>
        </w:tc>
        <w:tc>
          <w:tcPr>
            <w:tcW w:w="30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27,306</w:t>
            </w:r>
          </w:p>
        </w:tc>
        <w:tc>
          <w:tcPr>
            <w:tcW w:w="1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$104.55</w:t>
            </w:r>
          </w:p>
        </w:tc>
        <w:tc>
          <w:tcPr>
            <w:tcW w:w="1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27,306</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$57,935,884</w:t>
            </w:r>
          </w:p>
        </w:tc>
      </w:tr>
      <w:tr>
        <w:trPr>
          <w:trHeight w:val="432"/>
        </w:trPr>
        <w:tc>
          <w:tcPr>
            <w:tcW w:w="4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tc>
        <w:tc>
          <w:tcPr>
            <w:tcW w:w="30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pacing w:after="0" w:line="198" w:lineRule="exact"/>
        <w:rPr>
          <w:sz w:val="20"/>
          <w:szCs w:val="20"/>
          <w:color w:val="auto"/>
        </w:rPr>
      </w:pPr>
    </w:p>
    <w:p>
      <w:pPr>
        <w:ind w:right="60" w:firstLine="810"/>
        <w:spacing w:after="0" w:line="282" w:lineRule="auto"/>
        <w:rPr>
          <w:sz w:val="20"/>
          <w:szCs w:val="20"/>
          <w:color w:val="auto"/>
        </w:rPr>
      </w:pPr>
      <w:r>
        <w:rPr>
          <w:rFonts w:ascii="Times New Roman" w:cs="Times New Roman" w:eastAsia="Times New Roman" w:hAnsi="Times New Roman"/>
          <w:sz w:val="18"/>
          <w:szCs w:val="18"/>
          <w:color w:val="auto"/>
        </w:rPr>
        <w:t>During the three months ended April 30, 2026, no director or officer (as defined in Rule 16a-1(f) of the Exchange Act) of the Company adopted or terminated a "Rule 10b5-1 trading arrangement" or "non-Rule 10b5-1 trading arrangement," as each term is defined in Item 408(a) of Regulation S-K.</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56" w:lineRule="exact"/>
        <w:rPr>
          <w:sz w:val="20"/>
          <w:szCs w:val="20"/>
          <w:color w:val="auto"/>
        </w:rPr>
      </w:pPr>
    </w:p>
    <w:p>
      <w:pPr>
        <w:ind w:left="680" w:right="340" w:hanging="679"/>
        <w:spacing w:after="0" w:line="282" w:lineRule="auto"/>
        <w:tabs>
          <w:tab w:leader="none" w:pos="6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3(a)</w:t>
      </w:r>
      <w:r>
        <w:rPr>
          <w:sz w:val="20"/>
          <w:szCs w:val="20"/>
          <w:color w:val="auto"/>
        </w:rPr>
        <w:tab/>
      </w:r>
      <w:hyperlink r:id="rId65">
        <w:r>
          <w:rPr>
            <w:rFonts w:ascii="Times New Roman" w:cs="Times New Roman" w:eastAsia="Times New Roman" w:hAnsi="Times New Roman"/>
            <w:sz w:val="18"/>
            <w:szCs w:val="18"/>
            <w:u w:val="single" w:color="auto"/>
            <w:color w:val="0000EE"/>
          </w:rPr>
          <w:t>Restated Certificate of Incorporation of the Registrant (Incorporated by reference to Exhibits to Current Report on Form 8-K of the Registrant</w:t>
        </w:r>
      </w:hyperlink>
      <w:r>
        <w:rPr>
          <w:rFonts w:ascii="Times New Roman" w:cs="Times New Roman" w:eastAsia="Times New Roman" w:hAnsi="Times New Roman"/>
          <w:sz w:val="18"/>
          <w:szCs w:val="18"/>
          <w:u w:val="single" w:color="auto"/>
          <w:color w:val="0000EE"/>
        </w:rPr>
        <w:t xml:space="preserve"> </w:t>
      </w:r>
      <w:hyperlink r:id="rId65">
        <w:r>
          <w:rPr>
            <w:rFonts w:ascii="Times New Roman" w:cs="Times New Roman" w:eastAsia="Times New Roman" w:hAnsi="Times New Roman"/>
            <w:sz w:val="18"/>
            <w:szCs w:val="18"/>
            <w:u w:val="single" w:color="auto"/>
            <w:color w:val="0000EE"/>
          </w:rPr>
          <w:t>filed on March 29, 2019).</w:t>
        </w:r>
      </w:hyperlink>
    </w:p>
    <w:p>
      <w:pPr>
        <w:spacing w:after="0" w:line="175" w:lineRule="exact"/>
        <w:rPr>
          <w:sz w:val="20"/>
          <w:szCs w:val="20"/>
          <w:color w:val="auto"/>
        </w:rPr>
      </w:pPr>
    </w:p>
    <w:p>
      <w:pPr>
        <w:ind w:left="680" w:right="140" w:hanging="679"/>
        <w:spacing w:after="0" w:line="282" w:lineRule="auto"/>
        <w:tabs>
          <w:tab w:leader="none" w:pos="6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3(b)</w:t>
      </w:r>
      <w:r>
        <w:rPr>
          <w:sz w:val="20"/>
          <w:szCs w:val="20"/>
          <w:color w:val="auto"/>
        </w:rPr>
        <w:tab/>
      </w:r>
      <w:hyperlink r:id="rId66">
        <w:r>
          <w:rPr>
            <w:rFonts w:ascii="Times New Roman" w:cs="Times New Roman" w:eastAsia="Times New Roman" w:hAnsi="Times New Roman"/>
            <w:sz w:val="18"/>
            <w:szCs w:val="18"/>
            <w:u w:val="single" w:color="auto"/>
            <w:color w:val="0000EE"/>
          </w:rPr>
          <w:t>Second Amended and Restated Bylaws of the Registrant (Incorporated by reference to Exhibits to Current Report on Form 8-K of the Registrant</w:t>
        </w:r>
      </w:hyperlink>
      <w:r>
        <w:rPr>
          <w:rFonts w:ascii="Times New Roman" w:cs="Times New Roman" w:eastAsia="Times New Roman" w:hAnsi="Times New Roman"/>
          <w:sz w:val="18"/>
          <w:szCs w:val="18"/>
          <w:u w:val="single" w:color="auto"/>
          <w:color w:val="0000EE"/>
        </w:rPr>
        <w:t xml:space="preserve"> </w:t>
      </w:r>
      <w:hyperlink r:id="rId66">
        <w:r>
          <w:rPr>
            <w:rFonts w:ascii="Times New Roman" w:cs="Times New Roman" w:eastAsia="Times New Roman" w:hAnsi="Times New Roman"/>
            <w:sz w:val="18"/>
            <w:szCs w:val="18"/>
            <w:u w:val="single" w:color="auto"/>
            <w:color w:val="0000EE"/>
          </w:rPr>
          <w:t>filed on March 28, 2023).</w:t>
        </w:r>
      </w:hyperlink>
    </w:p>
    <w:p>
      <w:pPr>
        <w:spacing w:after="0" w:line="175" w:lineRule="exact"/>
        <w:rPr>
          <w:sz w:val="20"/>
          <w:szCs w:val="20"/>
          <w:color w:val="auto"/>
        </w:rPr>
      </w:pPr>
    </w:p>
    <w:p>
      <w:pPr>
        <w:ind w:left="680" w:right="320" w:hanging="679"/>
        <w:spacing w:after="0" w:line="282" w:lineRule="auto"/>
        <w:tabs>
          <w:tab w:leader="none" w:pos="6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4(a)</w:t>
      </w:r>
      <w:r>
        <w:rPr>
          <w:sz w:val="20"/>
          <w:szCs w:val="20"/>
          <w:color w:val="auto"/>
        </w:rPr>
        <w:tab/>
      </w:r>
      <w:hyperlink r:id="rId67">
        <w:r>
          <w:rPr>
            <w:rFonts w:ascii="Times New Roman" w:cs="Times New Roman" w:eastAsia="Times New Roman" w:hAnsi="Times New Roman"/>
            <w:sz w:val="18"/>
            <w:szCs w:val="18"/>
            <w:u w:val="single" w:color="auto"/>
            <w:color w:val="0000EE"/>
          </w:rPr>
          <w:t>Specimen Class A Common Stock Certificate (Incorporated by reference to Exhibits to Current Report on Form 8-K of the Registrant filed on</w:t>
        </w:r>
      </w:hyperlink>
      <w:r>
        <w:rPr>
          <w:rFonts w:ascii="Times New Roman" w:cs="Times New Roman" w:eastAsia="Times New Roman" w:hAnsi="Times New Roman"/>
          <w:sz w:val="18"/>
          <w:szCs w:val="18"/>
          <w:u w:val="single" w:color="auto"/>
          <w:color w:val="0000EE"/>
        </w:rPr>
        <w:t xml:space="preserve"> </w:t>
      </w:r>
      <w:hyperlink r:id="rId67">
        <w:r>
          <w:rPr>
            <w:rFonts w:ascii="Times New Roman" w:cs="Times New Roman" w:eastAsia="Times New Roman" w:hAnsi="Times New Roman"/>
            <w:sz w:val="18"/>
            <w:szCs w:val="18"/>
            <w:u w:val="single" w:color="auto"/>
            <w:color w:val="0000EE"/>
          </w:rPr>
          <w:t>March 29, 2019).</w:t>
        </w:r>
      </w:hyperlink>
    </w:p>
    <w:p>
      <w:pPr>
        <w:spacing w:after="0" w:line="175" w:lineRule="exact"/>
        <w:rPr>
          <w:sz w:val="20"/>
          <w:szCs w:val="20"/>
          <w:color w:val="auto"/>
        </w:rPr>
      </w:pPr>
    </w:p>
    <w:p>
      <w:pPr>
        <w:ind w:left="680" w:right="340" w:hanging="679"/>
        <w:spacing w:after="0" w:line="282" w:lineRule="auto"/>
        <w:tabs>
          <w:tab w:leader="none" w:pos="6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4(b)</w:t>
      </w:r>
      <w:r>
        <w:rPr>
          <w:sz w:val="20"/>
          <w:szCs w:val="20"/>
          <w:color w:val="auto"/>
        </w:rPr>
        <w:tab/>
      </w:r>
      <w:hyperlink r:id="rId68">
        <w:r>
          <w:rPr>
            <w:rFonts w:ascii="Times New Roman" w:cs="Times New Roman" w:eastAsia="Times New Roman" w:hAnsi="Times New Roman"/>
            <w:sz w:val="18"/>
            <w:szCs w:val="18"/>
            <w:u w:val="single" w:color="auto"/>
            <w:color w:val="0000EE"/>
          </w:rPr>
          <w:t>Specimen Class B Common Stock Certificate (Incorporated by reference to Exhibits to Current Report on Form 8-K of the Registrant filed on</w:t>
        </w:r>
      </w:hyperlink>
      <w:r>
        <w:rPr>
          <w:rFonts w:ascii="Times New Roman" w:cs="Times New Roman" w:eastAsia="Times New Roman" w:hAnsi="Times New Roman"/>
          <w:sz w:val="18"/>
          <w:szCs w:val="18"/>
          <w:u w:val="single" w:color="auto"/>
          <w:color w:val="0000EE"/>
        </w:rPr>
        <w:t xml:space="preserve"> </w:t>
      </w:r>
      <w:hyperlink r:id="rId68">
        <w:r>
          <w:rPr>
            <w:rFonts w:ascii="Times New Roman" w:cs="Times New Roman" w:eastAsia="Times New Roman" w:hAnsi="Times New Roman"/>
            <w:sz w:val="18"/>
            <w:szCs w:val="18"/>
            <w:u w:val="single" w:color="auto"/>
            <w:color w:val="0000EE"/>
          </w:rPr>
          <w:t>March 29, 2019).</w:t>
        </w:r>
      </w:hyperlink>
    </w:p>
    <w:p>
      <w:pPr>
        <w:spacing w:after="0" w:line="175" w:lineRule="exact"/>
        <w:rPr>
          <w:sz w:val="20"/>
          <w:szCs w:val="20"/>
          <w:color w:val="auto"/>
        </w:rPr>
      </w:pPr>
    </w:p>
    <w:p>
      <w:pPr>
        <w:spacing w:after="0"/>
        <w:tabs>
          <w:tab w:leader="none" w:pos="6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4(c)</w:t>
      </w:r>
      <w:r>
        <w:rPr>
          <w:sz w:val="20"/>
          <w:szCs w:val="20"/>
          <w:color w:val="auto"/>
        </w:rPr>
        <w:tab/>
      </w:r>
      <w:hyperlink r:id="rId69">
        <w:r>
          <w:rPr>
            <w:rFonts w:ascii="Times New Roman" w:cs="Times New Roman" w:eastAsia="Times New Roman" w:hAnsi="Times New Roman"/>
            <w:sz w:val="18"/>
            <w:szCs w:val="18"/>
            <w:u w:val="single" w:color="auto"/>
            <w:color w:val="0000EE"/>
          </w:rPr>
          <w:t>Certificate of Designations, Powers, Preferences and Rights of the 7.625% Series A Preferred Stock of Hovnanian Enterprises, Inc., dated July 12,</w:t>
        </w:r>
      </w:hyperlink>
    </w:p>
    <w:p>
      <w:pPr>
        <w:spacing w:after="0" w:line="27" w:lineRule="exact"/>
        <w:rPr>
          <w:sz w:val="20"/>
          <w:szCs w:val="20"/>
          <w:color w:val="auto"/>
        </w:rPr>
      </w:pPr>
    </w:p>
    <w:p>
      <w:pPr>
        <w:ind w:left="680"/>
        <w:spacing w:after="0"/>
        <w:rPr>
          <w:rFonts w:ascii="Times New Roman" w:cs="Times New Roman" w:eastAsia="Times New Roman" w:hAnsi="Times New Roman"/>
          <w:sz w:val="18"/>
          <w:szCs w:val="18"/>
          <w:u w:val="single" w:color="auto"/>
          <w:color w:val="0000EE"/>
        </w:rPr>
      </w:pPr>
      <w:hyperlink r:id="rId69">
        <w:r>
          <w:rPr>
            <w:rFonts w:ascii="Times New Roman" w:cs="Times New Roman" w:eastAsia="Times New Roman" w:hAnsi="Times New Roman"/>
            <w:sz w:val="18"/>
            <w:szCs w:val="18"/>
            <w:u w:val="single" w:color="auto"/>
            <w:color w:val="0000EE"/>
          </w:rPr>
          <w:t>2005 (Incorporated by reference to Exhibits to Current Report on Form 8-K of the Registrant filed on July 13, 2005).</w:t>
        </w:r>
      </w:hyperlink>
    </w:p>
    <w:p>
      <w:pPr>
        <w:spacing w:after="0" w:line="247" w:lineRule="exact"/>
        <w:rPr>
          <w:sz w:val="20"/>
          <w:szCs w:val="20"/>
          <w:color w:val="auto"/>
        </w:rPr>
      </w:pPr>
    </w:p>
    <w:p>
      <w:pPr>
        <w:ind w:left="680" w:right="620" w:hanging="679"/>
        <w:spacing w:after="0" w:line="282" w:lineRule="auto"/>
        <w:tabs>
          <w:tab w:leader="none" w:pos="6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4(d)</w:t>
      </w:r>
      <w:r>
        <w:rPr>
          <w:sz w:val="20"/>
          <w:szCs w:val="20"/>
          <w:color w:val="auto"/>
        </w:rPr>
        <w:tab/>
      </w:r>
      <w:hyperlink r:id="rId70">
        <w:r>
          <w:rPr>
            <w:rFonts w:ascii="Times New Roman" w:cs="Times New Roman" w:eastAsia="Times New Roman" w:hAnsi="Times New Roman"/>
            <w:sz w:val="18"/>
            <w:szCs w:val="18"/>
            <w:u w:val="single" w:color="auto"/>
            <w:color w:val="0000EE"/>
          </w:rPr>
          <w:t>Certificate of Designations of the Series B Junior Preferred Stock of Hovnanian Enterprises, Inc., dated August 14, 2008 (Incorporated by</w:t>
        </w:r>
      </w:hyperlink>
      <w:r>
        <w:rPr>
          <w:rFonts w:ascii="Times New Roman" w:cs="Times New Roman" w:eastAsia="Times New Roman" w:hAnsi="Times New Roman"/>
          <w:sz w:val="18"/>
          <w:szCs w:val="18"/>
          <w:u w:val="single" w:color="auto"/>
          <w:color w:val="0000EE"/>
        </w:rPr>
        <w:t xml:space="preserve"> </w:t>
      </w:r>
      <w:hyperlink r:id="rId70">
        <w:r>
          <w:rPr>
            <w:rFonts w:ascii="Times New Roman" w:cs="Times New Roman" w:eastAsia="Times New Roman" w:hAnsi="Times New Roman"/>
            <w:sz w:val="18"/>
            <w:szCs w:val="18"/>
            <w:u w:val="single" w:color="auto"/>
            <w:color w:val="0000EE"/>
          </w:rPr>
          <w:t>reference to Exhibits to Quarterly Report on Form 10-Q of the Registrant for the quarter ended July 31, 2008).</w:t>
        </w:r>
      </w:hyperlink>
    </w:p>
    <w:p>
      <w:pPr>
        <w:spacing w:after="0" w:line="175" w:lineRule="exact"/>
        <w:rPr>
          <w:sz w:val="20"/>
          <w:szCs w:val="20"/>
          <w:color w:val="auto"/>
        </w:rPr>
      </w:pPr>
    </w:p>
    <w:p>
      <w:pPr>
        <w:ind w:left="680" w:hanging="679"/>
        <w:spacing w:after="0" w:line="266" w:lineRule="auto"/>
        <w:tabs>
          <w:tab w:leader="none" w:pos="6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4(e)</w:t>
      </w:r>
      <w:r>
        <w:rPr>
          <w:sz w:val="20"/>
          <w:szCs w:val="20"/>
          <w:color w:val="auto"/>
        </w:rPr>
        <w:tab/>
      </w:r>
      <w:hyperlink r:id="rId71">
        <w:r>
          <w:rPr>
            <w:rFonts w:ascii="Times New Roman" w:cs="Times New Roman" w:eastAsia="Times New Roman" w:hAnsi="Times New Roman"/>
            <w:sz w:val="18"/>
            <w:szCs w:val="18"/>
            <w:u w:val="single" w:color="auto"/>
            <w:color w:val="0000EE"/>
          </w:rPr>
          <w:t>Rights Agreement, dated as of August</w:t>
        </w:r>
        <w:r>
          <w:rPr>
            <w:rFonts w:ascii="Times New Roman" w:cs="Times New Roman" w:eastAsia="Times New Roman" w:hAnsi="Times New Roman"/>
            <w:sz w:val="18"/>
            <w:szCs w:val="18"/>
            <w:color w:val="0000EE"/>
          </w:rPr>
          <w:t xml:space="preserve"> 14, 2008, between Hovnanian Enterprises, </w:t>
        </w:r>
        <w:r>
          <w:rPr>
            <w:rFonts w:ascii="Times New Roman" w:cs="Times New Roman" w:eastAsia="Times New Roman" w:hAnsi="Times New Roman"/>
            <w:sz w:val="18"/>
            <w:szCs w:val="18"/>
            <w:u w:val="single" w:color="auto"/>
            <w:color w:val="0000EE"/>
          </w:rPr>
          <w:t>Inc. and National City Bank, as Rights Agent, which includes</w:t>
        </w:r>
      </w:hyperlink>
      <w:r>
        <w:rPr>
          <w:rFonts w:ascii="Times New Roman" w:cs="Times New Roman" w:eastAsia="Times New Roman" w:hAnsi="Times New Roman"/>
          <w:sz w:val="18"/>
          <w:szCs w:val="18"/>
          <w:color w:val="0000EE"/>
        </w:rPr>
        <w:t xml:space="preserve"> </w:t>
      </w:r>
      <w:hyperlink r:id="rId71">
        <w:r>
          <w:rPr>
            <w:rFonts w:ascii="Times New Roman" w:cs="Times New Roman" w:eastAsia="Times New Roman" w:hAnsi="Times New Roman"/>
            <w:sz w:val="18"/>
            <w:szCs w:val="18"/>
            <w:u w:val="single" w:color="auto"/>
            <w:color w:val="0000EE"/>
          </w:rPr>
          <w:t>the Form of Certificate of Designation as Exhibit A, Form of Right Certificate as Exhibit B and the Summary of Rights as Exhibit C (Incorporated</w:t>
        </w:r>
      </w:hyperlink>
      <w:r>
        <w:rPr>
          <w:rFonts w:ascii="Times New Roman" w:cs="Times New Roman" w:eastAsia="Times New Roman" w:hAnsi="Times New Roman"/>
          <w:sz w:val="18"/>
          <w:szCs w:val="18"/>
          <w:u w:val="single" w:color="auto"/>
          <w:color w:val="0000EE"/>
        </w:rPr>
        <w:t xml:space="preserve"> </w:t>
      </w:r>
      <w:hyperlink r:id="rId71">
        <w:r>
          <w:rPr>
            <w:rFonts w:ascii="Times New Roman" w:cs="Times New Roman" w:eastAsia="Times New Roman" w:hAnsi="Times New Roman"/>
            <w:sz w:val="18"/>
            <w:szCs w:val="18"/>
            <w:u w:val="single" w:color="auto"/>
            <w:color w:val="0000EE"/>
          </w:rPr>
          <w:t>by reference to Exhibits to the Registration Statement on Form 8-A of the Registrant filed on August 14, 2008).</w:t>
        </w:r>
      </w:hyperlink>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2178685</wp:posOffset>
            </wp:positionH>
            <wp:positionV relativeFrom="paragraph">
              <wp:posOffset>-313055</wp:posOffset>
            </wp:positionV>
            <wp:extent cx="199580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2">
                      <a:extLst>
                        <a:ext uri="{28A0092B-C50C-407E-A947-70E740481C1C}"/>
                      </a:extLst>
                    </a:blip>
                    <a:srcRect/>
                    <a:stretch>
                      <a:fillRect/>
                    </a:stretch>
                  </pic:blipFill>
                  <pic:spPr bwMode="auto">
                    <a:xfrm>
                      <a:off x="0" y="0"/>
                      <a:ext cx="1995805" cy="8255"/>
                    </a:xfrm>
                    <a:prstGeom prst="rect">
                      <a:avLst/>
                    </a:prstGeom>
                    <a:noFill/>
                  </pic:spPr>
                </pic:pic>
              </a:graphicData>
            </a:graphic>
          </wp:anchor>
        </w:drawing>
      </w:r>
    </w:p>
    <w:p>
      <w:pPr>
        <w:spacing w:after="0" w:line="169" w:lineRule="exact"/>
        <w:rPr>
          <w:rFonts w:ascii="Times New Roman" w:cs="Times New Roman" w:eastAsia="Times New Roman" w:hAnsi="Times New Roman"/>
          <w:sz w:val="18"/>
          <w:szCs w:val="18"/>
          <w:color w:val="0000EE"/>
        </w:rPr>
      </w:pPr>
    </w:p>
    <w:p>
      <w:pPr>
        <w:jc w:val="both"/>
        <w:ind w:left="680" w:right="40" w:hanging="679"/>
        <w:spacing w:after="0" w:line="261" w:lineRule="auto"/>
        <w:tabs>
          <w:tab w:leader="none" w:pos="6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4(f)</w:t>
      </w:r>
      <w:r>
        <w:rPr>
          <w:sz w:val="20"/>
          <w:szCs w:val="20"/>
          <w:color w:val="auto"/>
        </w:rPr>
        <w:tab/>
      </w:r>
      <w:hyperlink r:id="rId73">
        <w:r>
          <w:rPr>
            <w:rFonts w:ascii="Times New Roman" w:cs="Times New Roman" w:eastAsia="Times New Roman" w:hAnsi="Times New Roman"/>
            <w:sz w:val="18"/>
            <w:szCs w:val="18"/>
            <w:u w:val="single" w:color="auto"/>
            <w:color w:val="0000EE"/>
          </w:rPr>
          <w:t>Amendment No. 1 to Rights Agreement, dated as of January 11, 2018, between Hovnanian Enterprises, Inc. and Computershare Trust Company,</w:t>
        </w:r>
      </w:hyperlink>
      <w:r>
        <w:rPr>
          <w:rFonts w:ascii="Times New Roman" w:cs="Times New Roman" w:eastAsia="Times New Roman" w:hAnsi="Times New Roman"/>
          <w:sz w:val="18"/>
          <w:szCs w:val="18"/>
          <w:u w:val="single" w:color="auto"/>
          <w:color w:val="0000EE"/>
        </w:rPr>
        <w:t xml:space="preserve"> </w:t>
      </w:r>
      <w:hyperlink r:id="rId73">
        <w:r>
          <w:rPr>
            <w:rFonts w:ascii="Times New Roman" w:cs="Times New Roman" w:eastAsia="Times New Roman" w:hAnsi="Times New Roman"/>
            <w:sz w:val="18"/>
            <w:szCs w:val="18"/>
            <w:u w:val="single" w:color="auto"/>
            <w:color w:val="0000EE"/>
          </w:rPr>
          <w:t>N.A. (as successor to National City Bank), as Rights Agent, which includes the amended and restated Form of Rights Certificate as Exhibit 1 and</w:t>
        </w:r>
      </w:hyperlink>
      <w:r>
        <w:rPr>
          <w:rFonts w:ascii="Times New Roman" w:cs="Times New Roman" w:eastAsia="Times New Roman" w:hAnsi="Times New Roman"/>
          <w:sz w:val="18"/>
          <w:szCs w:val="18"/>
          <w:u w:val="single" w:color="auto"/>
          <w:color w:val="0000EE"/>
        </w:rPr>
        <w:t xml:space="preserve"> </w:t>
      </w:r>
      <w:hyperlink r:id="rId73">
        <w:r>
          <w:rPr>
            <w:rFonts w:ascii="Times New Roman" w:cs="Times New Roman" w:eastAsia="Times New Roman" w:hAnsi="Times New Roman"/>
            <w:sz w:val="18"/>
            <w:szCs w:val="18"/>
            <w:u w:val="single" w:color="auto"/>
            <w:color w:val="0000EE"/>
          </w:rPr>
          <w:t>the amended and restated Summary of Rights as Exhibit 2 (Incorporated by reference to Exhibits to Current Report on Form 8-K of the Registrant</w:t>
        </w:r>
      </w:hyperlink>
      <w:r>
        <w:rPr>
          <w:rFonts w:ascii="Times New Roman" w:cs="Times New Roman" w:eastAsia="Times New Roman" w:hAnsi="Times New Roman"/>
          <w:sz w:val="18"/>
          <w:szCs w:val="18"/>
          <w:u w:val="single" w:color="auto"/>
          <w:color w:val="0000EE"/>
        </w:rPr>
        <w:t xml:space="preserve"> </w:t>
      </w:r>
      <w:hyperlink r:id="rId73">
        <w:r>
          <w:rPr>
            <w:rFonts w:ascii="Times New Roman" w:cs="Times New Roman" w:eastAsia="Times New Roman" w:hAnsi="Times New Roman"/>
            <w:sz w:val="18"/>
            <w:szCs w:val="18"/>
            <w:u w:val="single" w:color="auto"/>
            <w:color w:val="0000EE"/>
          </w:rPr>
          <w:t>filed on January 11, 2018).</w:t>
        </w:r>
      </w:hyperlink>
    </w:p>
    <w:p>
      <w:pPr>
        <w:spacing w:after="0" w:line="193" w:lineRule="exact"/>
        <w:rPr>
          <w:rFonts w:ascii="Times New Roman" w:cs="Times New Roman" w:eastAsia="Times New Roman" w:hAnsi="Times New Roman"/>
          <w:sz w:val="18"/>
          <w:szCs w:val="18"/>
          <w:u w:val="single" w:color="auto"/>
          <w:color w:val="0000EE"/>
        </w:rPr>
      </w:pPr>
    </w:p>
    <w:p>
      <w:pPr>
        <w:ind w:left="680" w:right="300" w:hanging="679"/>
        <w:spacing w:after="0" w:line="261" w:lineRule="auto"/>
        <w:tabs>
          <w:tab w:leader="none" w:pos="6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4(g)</w:t>
      </w:r>
      <w:r>
        <w:rPr>
          <w:sz w:val="20"/>
          <w:szCs w:val="20"/>
          <w:color w:val="auto"/>
        </w:rPr>
        <w:tab/>
      </w:r>
      <w:hyperlink r:id="rId74">
        <w:r>
          <w:rPr>
            <w:rFonts w:ascii="Times New Roman" w:cs="Times New Roman" w:eastAsia="Times New Roman" w:hAnsi="Times New Roman"/>
            <w:sz w:val="18"/>
            <w:szCs w:val="18"/>
            <w:u w:val="single" w:color="auto"/>
            <w:color w:val="0000EE"/>
          </w:rPr>
          <w:t>Amendment No. 2 to Rights Agreement, dated as of January 18, 2021, between the Company and Computershare Trust Company, N.A. (as</w:t>
        </w:r>
      </w:hyperlink>
      <w:r>
        <w:rPr>
          <w:rFonts w:ascii="Times New Roman" w:cs="Times New Roman" w:eastAsia="Times New Roman" w:hAnsi="Times New Roman"/>
          <w:sz w:val="18"/>
          <w:szCs w:val="18"/>
          <w:u w:val="single" w:color="auto"/>
          <w:color w:val="0000EE"/>
        </w:rPr>
        <w:t xml:space="preserve"> </w:t>
      </w:r>
      <w:hyperlink r:id="rId74">
        <w:r>
          <w:rPr>
            <w:rFonts w:ascii="Times New Roman" w:cs="Times New Roman" w:eastAsia="Times New Roman" w:hAnsi="Times New Roman"/>
            <w:sz w:val="18"/>
            <w:szCs w:val="18"/>
            <w:u w:val="single" w:color="auto"/>
            <w:color w:val="0000EE"/>
          </w:rPr>
          <w:t>successor to National City Bank), as Rights Agent, which includes the amended and restated Form of Rights Certificate as Exhibit 1 and the</w:t>
        </w:r>
      </w:hyperlink>
      <w:r>
        <w:rPr>
          <w:rFonts w:ascii="Times New Roman" w:cs="Times New Roman" w:eastAsia="Times New Roman" w:hAnsi="Times New Roman"/>
          <w:sz w:val="18"/>
          <w:szCs w:val="18"/>
          <w:u w:val="single" w:color="auto"/>
          <w:color w:val="0000EE"/>
        </w:rPr>
        <w:t xml:space="preserve"> </w:t>
      </w:r>
      <w:hyperlink r:id="rId74">
        <w:r>
          <w:rPr>
            <w:rFonts w:ascii="Times New Roman" w:cs="Times New Roman" w:eastAsia="Times New Roman" w:hAnsi="Times New Roman"/>
            <w:sz w:val="18"/>
            <w:szCs w:val="18"/>
            <w:u w:val="single" w:color="auto"/>
            <w:color w:val="0000EE"/>
          </w:rPr>
          <w:t>amended and restated Summary of Rights as Exhibit 2 (Incorporated by reference to Exhibits to Current Report on Form 8-K of the Registrant</w:t>
        </w:r>
      </w:hyperlink>
      <w:r>
        <w:rPr>
          <w:rFonts w:ascii="Times New Roman" w:cs="Times New Roman" w:eastAsia="Times New Roman" w:hAnsi="Times New Roman"/>
          <w:sz w:val="18"/>
          <w:szCs w:val="18"/>
          <w:u w:val="single" w:color="auto"/>
          <w:color w:val="0000EE"/>
        </w:rPr>
        <w:t xml:space="preserve"> </w:t>
      </w:r>
      <w:hyperlink r:id="rId74">
        <w:r>
          <w:rPr>
            <w:rFonts w:ascii="Times New Roman" w:cs="Times New Roman" w:eastAsia="Times New Roman" w:hAnsi="Times New Roman"/>
            <w:sz w:val="18"/>
            <w:szCs w:val="18"/>
            <w:u w:val="single" w:color="auto"/>
            <w:color w:val="0000EE"/>
          </w:rPr>
          <w:t>filed January 19, 2021).</w:t>
        </w:r>
      </w:hyperlink>
    </w:p>
    <w:p>
      <w:pPr>
        <w:spacing w:after="0" w:line="193" w:lineRule="exact"/>
        <w:rPr>
          <w:rFonts w:ascii="Times New Roman" w:cs="Times New Roman" w:eastAsia="Times New Roman" w:hAnsi="Times New Roman"/>
          <w:sz w:val="18"/>
          <w:szCs w:val="18"/>
          <w:u w:val="single" w:color="auto"/>
          <w:color w:val="0000EE"/>
        </w:rPr>
      </w:pPr>
    </w:p>
    <w:p>
      <w:pPr>
        <w:ind w:left="680" w:right="300" w:hanging="679"/>
        <w:spacing w:after="0" w:line="261" w:lineRule="auto"/>
        <w:tabs>
          <w:tab w:leader="none" w:pos="6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4(h)</w:t>
      </w:r>
      <w:r>
        <w:rPr>
          <w:sz w:val="20"/>
          <w:szCs w:val="20"/>
          <w:color w:val="auto"/>
        </w:rPr>
        <w:tab/>
      </w:r>
      <w:hyperlink r:id="rId75">
        <w:r>
          <w:rPr>
            <w:rFonts w:ascii="Times New Roman" w:cs="Times New Roman" w:eastAsia="Times New Roman" w:hAnsi="Times New Roman"/>
            <w:sz w:val="18"/>
            <w:szCs w:val="18"/>
            <w:u w:val="single" w:color="auto"/>
            <w:color w:val="0000EE"/>
          </w:rPr>
          <w:t>Amendment No. 3 to Rights Agreement, dated as of January 11, 2024, between the Company and Computershare Trust Company, N.A. (as</w:t>
        </w:r>
      </w:hyperlink>
      <w:r>
        <w:rPr>
          <w:rFonts w:ascii="Times New Roman" w:cs="Times New Roman" w:eastAsia="Times New Roman" w:hAnsi="Times New Roman"/>
          <w:sz w:val="18"/>
          <w:szCs w:val="18"/>
          <w:u w:val="single" w:color="auto"/>
          <w:color w:val="0000EE"/>
        </w:rPr>
        <w:t xml:space="preserve"> </w:t>
      </w:r>
      <w:hyperlink r:id="rId75">
        <w:r>
          <w:rPr>
            <w:rFonts w:ascii="Times New Roman" w:cs="Times New Roman" w:eastAsia="Times New Roman" w:hAnsi="Times New Roman"/>
            <w:sz w:val="18"/>
            <w:szCs w:val="18"/>
            <w:u w:val="single" w:color="auto"/>
            <w:color w:val="0000EE"/>
          </w:rPr>
          <w:t>successor to National City Bank), as Rights Agent, which includes the amended and restated Form of Rights Certificate as Exhibit 1 and the</w:t>
        </w:r>
      </w:hyperlink>
      <w:r>
        <w:rPr>
          <w:rFonts w:ascii="Times New Roman" w:cs="Times New Roman" w:eastAsia="Times New Roman" w:hAnsi="Times New Roman"/>
          <w:sz w:val="18"/>
          <w:szCs w:val="18"/>
          <w:u w:val="single" w:color="auto"/>
          <w:color w:val="0000EE"/>
        </w:rPr>
        <w:t xml:space="preserve"> </w:t>
      </w:r>
      <w:hyperlink r:id="rId75">
        <w:r>
          <w:rPr>
            <w:rFonts w:ascii="Times New Roman" w:cs="Times New Roman" w:eastAsia="Times New Roman" w:hAnsi="Times New Roman"/>
            <w:sz w:val="18"/>
            <w:szCs w:val="18"/>
            <w:u w:val="single" w:color="auto"/>
            <w:color w:val="0000EE"/>
          </w:rPr>
          <w:t>amended and restated Summary of Rights as Exhibit 2 (Incorporated by reference to Exhibits to Current Report on Form 8-K of the Registrant</w:t>
        </w:r>
      </w:hyperlink>
      <w:r>
        <w:rPr>
          <w:rFonts w:ascii="Times New Roman" w:cs="Times New Roman" w:eastAsia="Times New Roman" w:hAnsi="Times New Roman"/>
          <w:sz w:val="18"/>
          <w:szCs w:val="18"/>
          <w:u w:val="single" w:color="auto"/>
          <w:color w:val="0000EE"/>
        </w:rPr>
        <w:t xml:space="preserve"> </w:t>
      </w:r>
      <w:hyperlink r:id="rId75">
        <w:r>
          <w:rPr>
            <w:rFonts w:ascii="Times New Roman" w:cs="Times New Roman" w:eastAsia="Times New Roman" w:hAnsi="Times New Roman"/>
            <w:sz w:val="18"/>
            <w:szCs w:val="18"/>
            <w:u w:val="single" w:color="auto"/>
            <w:color w:val="0000EE"/>
          </w:rPr>
          <w:t>filed January 11, 2024).</w:t>
        </w:r>
      </w:hyperlink>
    </w:p>
    <w:p>
      <w:pPr>
        <w:spacing w:after="0" w:line="180" w:lineRule="exact"/>
        <w:rPr>
          <w:rFonts w:ascii="Times New Roman" w:cs="Times New Roman" w:eastAsia="Times New Roman" w:hAnsi="Times New Roman"/>
          <w:sz w:val="18"/>
          <w:szCs w:val="18"/>
          <w:u w:val="single" w:color="auto"/>
          <w:color w:val="0000EE"/>
        </w:rPr>
      </w:pPr>
    </w:p>
    <w:p>
      <w:pPr>
        <w:ind w:left="680" w:right="40" w:hanging="679"/>
        <w:spacing w:after="0" w:line="282" w:lineRule="auto"/>
        <w:tabs>
          <w:tab w:leader="none" w:pos="6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10(a)*</w:t>
      </w:r>
      <w:r>
        <w:rPr>
          <w:sz w:val="20"/>
          <w:szCs w:val="20"/>
          <w:color w:val="auto"/>
        </w:rPr>
        <w:tab/>
      </w:r>
      <w:hyperlink r:id="rId76">
        <w:r>
          <w:rPr>
            <w:rFonts w:ascii="Times New Roman" w:cs="Times New Roman" w:eastAsia="Times New Roman" w:hAnsi="Times New Roman"/>
            <w:sz w:val="18"/>
            <w:szCs w:val="18"/>
            <w:u w:val="single" w:color="auto"/>
            <w:color w:val="0000FF"/>
          </w:rPr>
          <w:t>Fourth Amended and Restated 2020 Hovnanian Enterprises, Inc. Stock Incentive Plan (Incorporated by reference to Exhibits to Current Report on</w:t>
        </w:r>
      </w:hyperlink>
      <w:r>
        <w:rPr>
          <w:rFonts w:ascii="Times New Roman" w:cs="Times New Roman" w:eastAsia="Times New Roman" w:hAnsi="Times New Roman"/>
          <w:sz w:val="18"/>
          <w:szCs w:val="18"/>
          <w:u w:val="single" w:color="auto"/>
          <w:color w:val="0000FF"/>
        </w:rPr>
        <w:t xml:space="preserve"> </w:t>
      </w:r>
      <w:hyperlink r:id="rId76">
        <w:r>
          <w:rPr>
            <w:rFonts w:ascii="Times New Roman" w:cs="Times New Roman" w:eastAsia="Times New Roman" w:hAnsi="Times New Roman"/>
            <w:sz w:val="18"/>
            <w:szCs w:val="18"/>
            <w:u w:val="single" w:color="auto"/>
            <w:color w:val="0000FF"/>
          </w:rPr>
          <w:t>Form 8-K of the Registrant filed April 1, 2026).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-185420</wp:posOffset>
            </wp:positionV>
            <wp:extent cx="667893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6678930" cy="825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-48260</wp:posOffset>
            </wp:positionV>
            <wp:extent cx="21894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2189480" cy="8890"/>
                    </a:xfrm>
                    <a:prstGeom prst="rect">
                      <a:avLst/>
                    </a:prstGeom>
                    <a:noFill/>
                  </pic:spPr>
                </pic:pic>
              </a:graphicData>
            </a:graphic>
          </wp:anchor>
        </w:drawing>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39" w:lineRule="exact"/>
        <w:rPr>
          <w:sz w:val="20"/>
          <w:szCs w:val="20"/>
          <w:color w:val="auto"/>
        </w:rPr>
      </w:pPr>
    </w:p>
    <w:p>
      <w:pPr>
        <w:ind w:left="20"/>
        <w:spacing w:after="0"/>
        <w:tabs>
          <w:tab w:leader="none" w:pos="680" w:val="left"/>
        </w:tabs>
        <w:rPr>
          <w:sz w:val="20"/>
          <w:szCs w:val="20"/>
          <w:color w:val="auto"/>
        </w:rPr>
      </w:pPr>
      <w:r>
        <w:rPr>
          <w:rFonts w:ascii="Times New Roman" w:cs="Times New Roman" w:eastAsia="Times New Roman" w:hAnsi="Times New Roman"/>
          <w:sz w:val="18"/>
          <w:szCs w:val="18"/>
          <w:color w:val="auto"/>
        </w:rPr>
        <w:t>31(a)</w:t>
      </w:r>
      <w:r>
        <w:rPr>
          <w:sz w:val="20"/>
          <w:szCs w:val="20"/>
          <w:color w:val="auto"/>
        </w:rPr>
        <w:tab/>
      </w:r>
      <w:r>
        <w:rPr>
          <w:rFonts w:ascii="Times New Roman" w:cs="Times New Roman" w:eastAsia="Times New Roman" w:hAnsi="Times New Roman"/>
          <w:sz w:val="18"/>
          <w:szCs w:val="18"/>
          <w:u w:val="single" w:color="auto"/>
          <w:color w:val="0000FF"/>
        </w:rPr>
        <w:t>Rule 13a-14(a)/15d-14(a) Certification of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445135</wp:posOffset>
            </wp:positionH>
            <wp:positionV relativeFrom="paragraph">
              <wp:posOffset>-7620</wp:posOffset>
            </wp:positionV>
            <wp:extent cx="304673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3046730" cy="8890"/>
                    </a:xfrm>
                    <a:prstGeom prst="rect">
                      <a:avLst/>
                    </a:prstGeom>
                    <a:noFill/>
                  </pic:spPr>
                </pic:pic>
              </a:graphicData>
            </a:graphic>
          </wp:anchor>
        </w:drawing>
      </w:r>
    </w:p>
    <w:p>
      <w:pPr>
        <w:spacing w:after="0" w:line="259" w:lineRule="exact"/>
        <w:rPr>
          <w:sz w:val="20"/>
          <w:szCs w:val="20"/>
          <w:color w:val="auto"/>
        </w:rPr>
      </w:pPr>
    </w:p>
    <w:p>
      <w:pPr>
        <w:ind w:left="20"/>
        <w:spacing w:after="0"/>
        <w:tabs>
          <w:tab w:leader="none" w:pos="680" w:val="left"/>
        </w:tabs>
        <w:rPr>
          <w:sz w:val="20"/>
          <w:szCs w:val="20"/>
          <w:color w:val="auto"/>
        </w:rPr>
      </w:pPr>
      <w:r>
        <w:rPr>
          <w:rFonts w:ascii="Times New Roman" w:cs="Times New Roman" w:eastAsia="Times New Roman" w:hAnsi="Times New Roman"/>
          <w:sz w:val="18"/>
          <w:szCs w:val="18"/>
          <w:color w:val="auto"/>
        </w:rPr>
        <w:t>31(b)</w:t>
      </w:r>
      <w:r>
        <w:rPr>
          <w:sz w:val="20"/>
          <w:szCs w:val="20"/>
          <w:color w:val="auto"/>
        </w:rPr>
        <w:tab/>
      </w:r>
      <w:r>
        <w:rPr>
          <w:rFonts w:ascii="Times New Roman" w:cs="Times New Roman" w:eastAsia="Times New Roman" w:hAnsi="Times New Roman"/>
          <w:sz w:val="18"/>
          <w:szCs w:val="18"/>
          <w:u w:val="single" w:color="auto"/>
          <w:color w:val="0000FF"/>
        </w:rPr>
        <w:t>Rule 13a-14(a)/15d-14(a) Certification of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445135</wp:posOffset>
            </wp:positionH>
            <wp:positionV relativeFrom="paragraph">
              <wp:posOffset>-7620</wp:posOffset>
            </wp:positionV>
            <wp:extent cx="30149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3014980" cy="8890"/>
                    </a:xfrm>
                    <a:prstGeom prst="rect">
                      <a:avLst/>
                    </a:prstGeom>
                    <a:noFill/>
                  </pic:spPr>
                </pic:pic>
              </a:graphicData>
            </a:graphic>
          </wp:anchor>
        </w:drawing>
      </w:r>
    </w:p>
    <w:p>
      <w:pPr>
        <w:spacing w:after="0" w:line="259" w:lineRule="exact"/>
        <w:rPr>
          <w:sz w:val="20"/>
          <w:szCs w:val="20"/>
          <w:color w:val="auto"/>
        </w:rPr>
      </w:pPr>
    </w:p>
    <w:p>
      <w:pPr>
        <w:ind w:left="20"/>
        <w:spacing w:after="0"/>
        <w:tabs>
          <w:tab w:leader="none" w:pos="680" w:val="left"/>
        </w:tabs>
        <w:rPr>
          <w:sz w:val="20"/>
          <w:szCs w:val="20"/>
          <w:color w:val="auto"/>
        </w:rPr>
      </w:pPr>
      <w:r>
        <w:rPr>
          <w:rFonts w:ascii="Times New Roman" w:cs="Times New Roman" w:eastAsia="Times New Roman" w:hAnsi="Times New Roman"/>
          <w:sz w:val="18"/>
          <w:szCs w:val="18"/>
          <w:color w:val="auto"/>
        </w:rPr>
        <w:t>32(a)</w:t>
      </w:r>
      <w:r>
        <w:rPr>
          <w:sz w:val="20"/>
          <w:szCs w:val="20"/>
          <w:color w:val="auto"/>
        </w:rPr>
        <w:tab/>
      </w:r>
      <w:r>
        <w:rPr>
          <w:rFonts w:ascii="Times New Roman" w:cs="Times New Roman" w:eastAsia="Times New Roman" w:hAnsi="Times New Roman"/>
          <w:sz w:val="18"/>
          <w:szCs w:val="18"/>
          <w:u w:val="single" w:color="auto"/>
          <w:color w:val="0000FF"/>
        </w:rPr>
        <w:t>Section 1350 Certification of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445135</wp:posOffset>
            </wp:positionH>
            <wp:positionV relativeFrom="paragraph">
              <wp:posOffset>-7620</wp:posOffset>
            </wp:positionV>
            <wp:extent cx="247586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2475865" cy="8255"/>
                    </a:xfrm>
                    <a:prstGeom prst="rect">
                      <a:avLst/>
                    </a:prstGeom>
                    <a:noFill/>
                  </pic:spPr>
                </pic:pic>
              </a:graphicData>
            </a:graphic>
          </wp:anchor>
        </w:drawing>
      </w:r>
    </w:p>
    <w:p>
      <w:pPr>
        <w:spacing w:after="0" w:line="259" w:lineRule="exact"/>
        <w:rPr>
          <w:sz w:val="20"/>
          <w:szCs w:val="20"/>
          <w:color w:val="auto"/>
        </w:rPr>
      </w:pPr>
    </w:p>
    <w:p>
      <w:pPr>
        <w:ind w:left="20"/>
        <w:spacing w:after="0"/>
        <w:tabs>
          <w:tab w:leader="none" w:pos="680" w:val="left"/>
        </w:tabs>
        <w:rPr>
          <w:sz w:val="20"/>
          <w:szCs w:val="20"/>
          <w:color w:val="auto"/>
        </w:rPr>
      </w:pPr>
      <w:r>
        <w:rPr>
          <w:rFonts w:ascii="Times New Roman" w:cs="Times New Roman" w:eastAsia="Times New Roman" w:hAnsi="Times New Roman"/>
          <w:sz w:val="18"/>
          <w:szCs w:val="18"/>
          <w:color w:val="auto"/>
        </w:rPr>
        <w:t>32(b)</w:t>
      </w:r>
      <w:r>
        <w:rPr>
          <w:sz w:val="20"/>
          <w:szCs w:val="20"/>
          <w:color w:val="auto"/>
        </w:rPr>
        <w:tab/>
      </w:r>
      <w:r>
        <w:rPr>
          <w:rFonts w:ascii="Times New Roman" w:cs="Times New Roman" w:eastAsia="Times New Roman" w:hAnsi="Times New Roman"/>
          <w:sz w:val="18"/>
          <w:szCs w:val="18"/>
          <w:u w:val="single" w:color="auto"/>
          <w:color w:val="0000FF"/>
        </w:rPr>
        <w:t>Section 1350 Certification of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445135</wp:posOffset>
            </wp:positionH>
            <wp:positionV relativeFrom="paragraph">
              <wp:posOffset>-7620</wp:posOffset>
            </wp:positionV>
            <wp:extent cx="244411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2444115" cy="8255"/>
                    </a:xfrm>
                    <a:prstGeom prst="rect">
                      <a:avLst/>
                    </a:prstGeom>
                    <a:noFill/>
                  </pic:spPr>
                </pic:pic>
              </a:graphicData>
            </a:graphic>
          </wp:anchor>
        </w:drawing>
      </w:r>
    </w:p>
    <w:p>
      <w:pPr>
        <w:spacing w:after="0" w:line="246" w:lineRule="exact"/>
        <w:rPr>
          <w:sz w:val="20"/>
          <w:szCs w:val="20"/>
          <w:color w:val="auto"/>
        </w:rPr>
      </w:pPr>
    </w:p>
    <w:p>
      <w:pPr>
        <w:ind w:left="680" w:right="80" w:hanging="654"/>
        <w:spacing w:after="0" w:line="258" w:lineRule="auto"/>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information from our Quarterly Report on Form 10-Q for the quarter ended April 30, 2026, formatted in inline Extensible Business Reporting Language (Inline XBRL): (i) the Condensed Consolidated Balance Sheets at April 30, 2026 and October 31, 2025, (ii) the Condensed Consolidated Statements of Operations for the three and six months ended April 30, 2026 and 2025, (iii) the Condensed Consolidated Statements of Changes in Equity for the three and six months ended April 30, 2026 and 2025, (iv) the Condensed Consolidated Statements of Cash Flows for the six months ended April 30, 2026 and 2025, and (v) the Notes to Condensed Consolidated Financial Statements.</w:t>
      </w:r>
    </w:p>
    <w:p>
      <w:pPr>
        <w:spacing w:after="0" w:line="224" w:lineRule="exact"/>
        <w:rPr>
          <w:sz w:val="20"/>
          <w:szCs w:val="20"/>
          <w:color w:val="auto"/>
        </w:rPr>
      </w:pPr>
    </w:p>
    <w:p>
      <w:pPr>
        <w:ind w:left="700" w:right="380" w:hanging="674"/>
        <w:spacing w:after="0" w:line="282" w:lineRule="auto"/>
        <w:tabs>
          <w:tab w:leader="none" w:pos="7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from our Quarterly Report on Form 10-Q for the three months ended April 30, 2026, formatted in Inline XBRL (and contained in Exhibit 101).</w:t>
      </w:r>
    </w:p>
    <w:p>
      <w:pPr>
        <w:spacing w:after="0" w:line="213" w:lineRule="exact"/>
        <w:rPr>
          <w:rFonts w:ascii="Times New Roman" w:cs="Times New Roman" w:eastAsia="Times New Roman" w:hAnsi="Times New Roman"/>
          <w:sz w:val="18"/>
          <w:szCs w:val="18"/>
          <w:color w:val="auto"/>
        </w:rPr>
      </w:pPr>
    </w:p>
    <w:p>
      <w:pPr>
        <w:ind w:left="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*Management contracts or compensation plans or arrangements.</w:t>
      </w:r>
    </w:p>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HOVNANIAN ENTERPRISES, INC.</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60" w:type="dxa"/>
            <w:vAlign w:val="bottom"/>
          </w:tcPr>
          <w:p>
            <w:pPr>
              <w:ind w:left="5080"/>
              <w:spacing w:after="0"/>
              <w:rPr>
                <w:sz w:val="20"/>
                <w:szCs w:val="20"/>
                <w:color w:val="auto"/>
              </w:rPr>
            </w:pPr>
            <w:r>
              <w:rPr>
                <w:rFonts w:ascii="Times New Roman" w:cs="Times New Roman" w:eastAsia="Times New Roman" w:hAnsi="Times New Roman"/>
                <w:sz w:val="18"/>
                <w:szCs w:val="18"/>
                <w:color w:val="auto"/>
              </w:rPr>
              <w:t>DATE:</w:t>
            </w:r>
          </w:p>
        </w:tc>
        <w:tc>
          <w:tcPr>
            <w:tcW w:w="5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June 2, 2026</w:t>
            </w:r>
          </w:p>
        </w:tc>
      </w:tr>
      <w:tr>
        <w:trPr>
          <w:trHeight w:val="194"/>
        </w:trPr>
        <w:tc>
          <w:tcPr>
            <w:tcW w:w="5960" w:type="dxa"/>
            <w:vAlign w:val="bottom"/>
          </w:tcPr>
          <w:p>
            <w:pPr>
              <w:spacing w:after="0"/>
              <w:rPr>
                <w:sz w:val="16"/>
                <w:szCs w:val="16"/>
                <w:color w:val="auto"/>
              </w:rPr>
            </w:pPr>
          </w:p>
        </w:tc>
        <w:tc>
          <w:tcPr>
            <w:tcW w:w="530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auto"/>
              </w:rPr>
              <w:t>/s/ ARA K. HOVNANIAN</w:t>
            </w:r>
          </w:p>
        </w:tc>
      </w:tr>
      <w:tr>
        <w:trPr>
          <w:trHeight w:val="245"/>
        </w:trPr>
        <w:tc>
          <w:tcPr>
            <w:tcW w:w="5960" w:type="dxa"/>
            <w:vAlign w:val="bottom"/>
          </w:tcPr>
          <w:p>
            <w:pPr>
              <w:spacing w:after="0"/>
              <w:rPr>
                <w:sz w:val="21"/>
                <w:szCs w:val="21"/>
                <w:color w:val="auto"/>
              </w:rPr>
            </w:pPr>
          </w:p>
        </w:tc>
        <w:tc>
          <w:tcPr>
            <w:tcW w:w="19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Ara K. Hovnanian</w:t>
            </w:r>
          </w:p>
        </w:tc>
        <w:tc>
          <w:tcPr>
            <w:tcW w:w="3340" w:type="dxa"/>
            <w:vAlign w:val="bottom"/>
          </w:tcPr>
          <w:p>
            <w:pPr>
              <w:spacing w:after="0"/>
              <w:rPr>
                <w:sz w:val="21"/>
                <w:szCs w:val="21"/>
                <w:color w:val="auto"/>
              </w:rPr>
            </w:pPr>
          </w:p>
        </w:tc>
      </w:tr>
      <w:tr>
        <w:trPr>
          <w:trHeight w:val="230"/>
        </w:trPr>
        <w:tc>
          <w:tcPr>
            <w:tcW w:w="5960" w:type="dxa"/>
            <w:vAlign w:val="bottom"/>
          </w:tcPr>
          <w:p>
            <w:pPr>
              <w:spacing w:after="0"/>
              <w:rPr>
                <w:sz w:val="19"/>
                <w:szCs w:val="19"/>
                <w:color w:val="auto"/>
              </w:rPr>
            </w:pPr>
          </w:p>
        </w:tc>
        <w:tc>
          <w:tcPr>
            <w:tcW w:w="5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Chairman of the Board, Chief Executive Officer and Director</w:t>
            </w:r>
          </w:p>
        </w:tc>
      </w:tr>
      <w:tr>
        <w:trPr>
          <w:trHeight w:val="234"/>
        </w:trPr>
        <w:tc>
          <w:tcPr>
            <w:tcW w:w="5960" w:type="dxa"/>
            <w:vAlign w:val="bottom"/>
          </w:tcPr>
          <w:p>
            <w:pPr>
              <w:spacing w:after="0"/>
              <w:rPr>
                <w:sz w:val="20"/>
                <w:szCs w:val="20"/>
                <w:color w:val="auto"/>
              </w:rPr>
            </w:pPr>
          </w:p>
        </w:tc>
        <w:tc>
          <w:tcPr>
            <w:tcW w:w="5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54"/>
        </w:trPr>
        <w:tc>
          <w:tcPr>
            <w:tcW w:w="5960" w:type="dxa"/>
            <w:vAlign w:val="bottom"/>
          </w:tcPr>
          <w:p>
            <w:pPr>
              <w:ind w:left="5080"/>
              <w:spacing w:after="0"/>
              <w:rPr>
                <w:sz w:val="20"/>
                <w:szCs w:val="20"/>
                <w:color w:val="auto"/>
              </w:rPr>
            </w:pPr>
            <w:r>
              <w:rPr>
                <w:rFonts w:ascii="Times New Roman" w:cs="Times New Roman" w:eastAsia="Times New Roman" w:hAnsi="Times New Roman"/>
                <w:sz w:val="18"/>
                <w:szCs w:val="18"/>
                <w:color w:val="auto"/>
              </w:rPr>
              <w:t>DATE:</w:t>
            </w:r>
          </w:p>
        </w:tc>
        <w:tc>
          <w:tcPr>
            <w:tcW w:w="5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June 2, 2026</w:t>
            </w:r>
          </w:p>
        </w:tc>
      </w:tr>
      <w:tr>
        <w:trPr>
          <w:trHeight w:val="194"/>
        </w:trPr>
        <w:tc>
          <w:tcPr>
            <w:tcW w:w="5960" w:type="dxa"/>
            <w:vAlign w:val="bottom"/>
          </w:tcPr>
          <w:p>
            <w:pPr>
              <w:spacing w:after="0"/>
              <w:rPr>
                <w:sz w:val="16"/>
                <w:szCs w:val="16"/>
                <w:color w:val="auto"/>
              </w:rPr>
            </w:pPr>
          </w:p>
        </w:tc>
        <w:tc>
          <w:tcPr>
            <w:tcW w:w="172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8"/>
                <w:szCs w:val="18"/>
                <w:color w:val="auto"/>
                <w:w w:val="99"/>
              </w:rPr>
              <w:t>/s/ BRAD O’CONNOR</w:t>
            </w:r>
          </w:p>
        </w:tc>
        <w:tc>
          <w:tcPr>
            <w:tcW w:w="3580" w:type="dxa"/>
            <w:vAlign w:val="bottom"/>
            <w:gridSpan w:val="2"/>
          </w:tcPr>
          <w:p>
            <w:pPr>
              <w:spacing w:after="0"/>
              <w:rPr>
                <w:sz w:val="16"/>
                <w:szCs w:val="16"/>
                <w:color w:val="auto"/>
              </w:rPr>
            </w:pPr>
          </w:p>
        </w:tc>
      </w:tr>
      <w:tr>
        <w:trPr>
          <w:trHeight w:val="245"/>
        </w:trPr>
        <w:tc>
          <w:tcPr>
            <w:tcW w:w="5960" w:type="dxa"/>
            <w:vAlign w:val="bottom"/>
          </w:tcPr>
          <w:p>
            <w:pPr>
              <w:spacing w:after="0"/>
              <w:rPr>
                <w:sz w:val="21"/>
                <w:szCs w:val="21"/>
                <w:color w:val="auto"/>
              </w:rPr>
            </w:pPr>
          </w:p>
        </w:tc>
        <w:tc>
          <w:tcPr>
            <w:tcW w:w="5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Brad O’Connor</w:t>
            </w:r>
          </w:p>
        </w:tc>
      </w:tr>
      <w:tr>
        <w:trPr>
          <w:trHeight w:val="230"/>
        </w:trPr>
        <w:tc>
          <w:tcPr>
            <w:tcW w:w="5960" w:type="dxa"/>
            <w:vAlign w:val="bottom"/>
          </w:tcPr>
          <w:p>
            <w:pPr>
              <w:spacing w:after="0"/>
              <w:rPr>
                <w:sz w:val="19"/>
                <w:szCs w:val="19"/>
                <w:color w:val="auto"/>
              </w:rPr>
            </w:pPr>
          </w:p>
        </w:tc>
        <w:tc>
          <w:tcPr>
            <w:tcW w:w="5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5960" w:type="dxa"/>
            <w:vAlign w:val="bottom"/>
          </w:tcPr>
          <w:p>
            <w:pPr>
              <w:spacing w:after="0"/>
              <w:rPr>
                <w:sz w:val="20"/>
                <w:szCs w:val="20"/>
                <w:color w:val="auto"/>
              </w:rPr>
            </w:pPr>
          </w:p>
        </w:tc>
        <w:tc>
          <w:tcPr>
            <w:tcW w:w="5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r>
      <w:tr>
        <w:trPr>
          <w:trHeight w:val="446"/>
        </w:trPr>
        <w:tc>
          <w:tcPr>
            <w:tcW w:w="5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50</w:t>
            </w:r>
          </w:p>
        </w:tc>
        <w:tc>
          <w:tcPr>
            <w:tcW w:w="1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223"/>
        </w:trPr>
        <w:tc>
          <w:tcPr>
            <w:tcW w:w="5960" w:type="dxa"/>
            <w:vAlign w:val="bottom"/>
            <w:tcBorders>
              <w:bottom w:val="single" w:sz="8" w:color="9A9A9A"/>
            </w:tcBorders>
          </w:tcPr>
          <w:p>
            <w:pPr>
              <w:spacing w:after="0"/>
              <w:rPr>
                <w:sz w:val="19"/>
                <w:szCs w:val="19"/>
                <w:color w:val="auto"/>
              </w:rPr>
            </w:pPr>
          </w:p>
        </w:tc>
        <w:tc>
          <w:tcPr>
            <w:tcW w:w="1720" w:type="dxa"/>
            <w:vAlign w:val="bottom"/>
            <w:tcBorders>
              <w:bottom w:val="single" w:sz="8" w:color="9A9A9A"/>
            </w:tcBorders>
          </w:tcPr>
          <w:p>
            <w:pPr>
              <w:spacing w:after="0"/>
              <w:rPr>
                <w:sz w:val="19"/>
                <w:szCs w:val="19"/>
                <w:color w:val="auto"/>
              </w:rPr>
            </w:pPr>
          </w:p>
        </w:tc>
        <w:tc>
          <w:tcPr>
            <w:tcW w:w="240" w:type="dxa"/>
            <w:vAlign w:val="bottom"/>
            <w:tcBorders>
              <w:bottom w:val="single" w:sz="8" w:color="9A9A9A"/>
            </w:tcBorders>
          </w:tcPr>
          <w:p>
            <w:pPr>
              <w:spacing w:after="0"/>
              <w:rPr>
                <w:sz w:val="19"/>
                <w:szCs w:val="19"/>
                <w:color w:val="auto"/>
              </w:rPr>
            </w:pPr>
          </w:p>
        </w:tc>
        <w:tc>
          <w:tcPr>
            <w:tcW w:w="334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41" w:name="page42"/>
    <w:bookmarkEnd w:id="41"/>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31"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Exhibit 31(a)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Ara K. Hovnanian, certify that:</w:t>
      </w:r>
    </w:p>
    <w:p>
      <w:pPr>
        <w:spacing w:after="0" w:line="144" w:lineRule="exact"/>
        <w:rPr>
          <w:sz w:val="20"/>
          <w:szCs w:val="20"/>
          <w:color w:val="auto"/>
        </w:rPr>
      </w:pPr>
    </w:p>
    <w:p>
      <w:pPr>
        <w:ind w:left="280" w:hanging="272"/>
        <w:spacing w:after="0"/>
        <w:tabs>
          <w:tab w:leader="none" w:pos="2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April 30, 2026 of Hovnanian Enterprises, Inc. (the “registrant”);</w:t>
      </w:r>
    </w:p>
    <w:p>
      <w:pPr>
        <w:spacing w:after="0" w:line="144" w:lineRule="exact"/>
        <w:rPr>
          <w:rFonts w:ascii="Times New Roman" w:cs="Times New Roman" w:eastAsia="Times New Roman" w:hAnsi="Times New Roman"/>
          <w:sz w:val="18"/>
          <w:szCs w:val="18"/>
          <w:color w:val="auto"/>
        </w:rPr>
      </w:pPr>
    </w:p>
    <w:p>
      <w:pPr>
        <w:ind w:right="260" w:firstLine="8"/>
        <w:spacing w:after="0" w:line="282" w:lineRule="auto"/>
        <w:tabs>
          <w:tab w:leader="none" w:pos="27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0" w:lineRule="exact"/>
        <w:rPr>
          <w:rFonts w:ascii="Times New Roman" w:cs="Times New Roman" w:eastAsia="Times New Roman" w:hAnsi="Times New Roman"/>
          <w:sz w:val="18"/>
          <w:szCs w:val="18"/>
          <w:color w:val="auto"/>
        </w:rPr>
      </w:pPr>
    </w:p>
    <w:p>
      <w:pPr>
        <w:ind w:right="460" w:firstLine="8"/>
        <w:spacing w:after="0" w:line="282" w:lineRule="auto"/>
        <w:tabs>
          <w:tab w:leader="none" w:pos="27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0" w:lineRule="exact"/>
        <w:rPr>
          <w:rFonts w:ascii="Times New Roman" w:cs="Times New Roman" w:eastAsia="Times New Roman" w:hAnsi="Times New Roman"/>
          <w:sz w:val="18"/>
          <w:szCs w:val="18"/>
          <w:color w:val="auto"/>
        </w:rPr>
      </w:pPr>
    </w:p>
    <w:p>
      <w:pPr>
        <w:ind w:right="80" w:firstLine="8"/>
        <w:spacing w:after="0" w:line="266" w:lineRule="auto"/>
        <w:tabs>
          <w:tab w:leader="none" w:pos="27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4" w:lineRule="exact"/>
        <w:rPr>
          <w:rFonts w:ascii="Times New Roman" w:cs="Times New Roman" w:eastAsia="Times New Roman" w:hAnsi="Times New Roman"/>
          <w:sz w:val="18"/>
          <w:szCs w:val="18"/>
          <w:color w:val="auto"/>
        </w:rPr>
      </w:pPr>
    </w:p>
    <w:p>
      <w:pPr>
        <w:ind w:left="680" w:right="140" w:firstLine="3"/>
        <w:spacing w:after="0" w:line="266" w:lineRule="auto"/>
        <w:tabs>
          <w:tab w:leader="none" w:pos="925"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4" w:lineRule="exact"/>
        <w:rPr>
          <w:rFonts w:ascii="Times New Roman" w:cs="Times New Roman" w:eastAsia="Times New Roman" w:hAnsi="Times New Roman"/>
          <w:sz w:val="18"/>
          <w:szCs w:val="18"/>
          <w:color w:val="auto"/>
        </w:rPr>
      </w:pPr>
    </w:p>
    <w:p>
      <w:pPr>
        <w:ind w:left="680" w:right="40" w:firstLine="3"/>
        <w:spacing w:after="0" w:line="266" w:lineRule="auto"/>
        <w:tabs>
          <w:tab w:leader="none" w:pos="935"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4" w:lineRule="exact"/>
        <w:rPr>
          <w:rFonts w:ascii="Times New Roman" w:cs="Times New Roman" w:eastAsia="Times New Roman" w:hAnsi="Times New Roman"/>
          <w:sz w:val="18"/>
          <w:szCs w:val="18"/>
          <w:color w:val="auto"/>
        </w:rPr>
      </w:pPr>
    </w:p>
    <w:p>
      <w:pPr>
        <w:ind w:left="680" w:right="640" w:firstLine="3"/>
        <w:spacing w:after="0" w:line="312" w:lineRule="auto"/>
        <w:tabs>
          <w:tab w:leader="none" w:pos="925"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8" w:lineRule="exact"/>
        <w:rPr>
          <w:rFonts w:ascii="Times New Roman" w:cs="Times New Roman" w:eastAsia="Times New Roman" w:hAnsi="Times New Roman"/>
          <w:sz w:val="17"/>
          <w:szCs w:val="17"/>
          <w:color w:val="auto"/>
        </w:rPr>
      </w:pPr>
    </w:p>
    <w:p>
      <w:pPr>
        <w:ind w:left="680" w:right="60" w:firstLine="3"/>
        <w:spacing w:after="0" w:line="266" w:lineRule="auto"/>
        <w:tabs>
          <w:tab w:leader="none" w:pos="935"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rFonts w:ascii="Times New Roman" w:cs="Times New Roman" w:eastAsia="Times New Roman" w:hAnsi="Times New Roman"/>
          <w:sz w:val="18"/>
          <w:szCs w:val="18"/>
          <w:color w:val="auto"/>
        </w:rPr>
      </w:pPr>
    </w:p>
    <w:p>
      <w:pPr>
        <w:ind w:right="380" w:firstLine="8"/>
        <w:spacing w:after="0" w:line="282" w:lineRule="auto"/>
        <w:tabs>
          <w:tab w:leader="none" w:pos="27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0" w:lineRule="exact"/>
        <w:rPr>
          <w:rFonts w:ascii="Times New Roman" w:cs="Times New Roman" w:eastAsia="Times New Roman" w:hAnsi="Times New Roman"/>
          <w:sz w:val="18"/>
          <w:szCs w:val="18"/>
          <w:color w:val="auto"/>
        </w:rPr>
      </w:pPr>
    </w:p>
    <w:p>
      <w:pPr>
        <w:ind w:left="680" w:right="60" w:firstLine="3"/>
        <w:spacing w:after="0" w:line="282" w:lineRule="auto"/>
        <w:tabs>
          <w:tab w:leader="none" w:pos="925"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0" w:lineRule="exact"/>
        <w:rPr>
          <w:rFonts w:ascii="Times New Roman" w:cs="Times New Roman" w:eastAsia="Times New Roman" w:hAnsi="Times New Roman"/>
          <w:sz w:val="18"/>
          <w:szCs w:val="18"/>
          <w:color w:val="auto"/>
        </w:rPr>
      </w:pPr>
    </w:p>
    <w:p>
      <w:pPr>
        <w:ind w:left="680" w:firstLine="3"/>
        <w:spacing w:after="0" w:line="282" w:lineRule="auto"/>
        <w:tabs>
          <w:tab w:leader="none" w:pos="935"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June 2, 2026</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/s/ ARA K. HOVNANIAN</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Ara K. Hovnanian</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ectPr>
          <w:pgSz w:w="11900" w:h="16838" w:orient="portrait"/>
          <w:cols w:equalWidth="0" w:num="1">
            <w:col w:w="11240"/>
          </w:cols>
          <w:pgMar w:left="320" w:top="131" w:right="339" w:bottom="1440" w:gutter="0" w:footer="0" w:header="0"/>
        </w:sectPr>
      </w:pPr>
    </w:p>
    <w:bookmarkStart w:id="42" w:name="page43"/>
    <w:bookmarkEnd w:id="42"/>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31"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Exhibit 31(b)</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Brad O’Connor, certify that:</w:t>
      </w:r>
    </w:p>
    <w:p>
      <w:pPr>
        <w:spacing w:after="0" w:line="144" w:lineRule="exact"/>
        <w:rPr>
          <w:sz w:val="20"/>
          <w:szCs w:val="20"/>
          <w:color w:val="auto"/>
        </w:rPr>
      </w:pPr>
    </w:p>
    <w:p>
      <w:pPr>
        <w:ind w:left="280" w:hanging="272"/>
        <w:spacing w:after="0"/>
        <w:tabs>
          <w:tab w:leader="none" w:pos="2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April 30, 2026 of Hovnanian Enterprises, Inc. (the “registrant”);</w:t>
      </w:r>
    </w:p>
    <w:p>
      <w:pPr>
        <w:spacing w:after="0" w:line="144" w:lineRule="exact"/>
        <w:rPr>
          <w:rFonts w:ascii="Times New Roman" w:cs="Times New Roman" w:eastAsia="Times New Roman" w:hAnsi="Times New Roman"/>
          <w:sz w:val="18"/>
          <w:szCs w:val="18"/>
          <w:color w:val="auto"/>
        </w:rPr>
      </w:pPr>
    </w:p>
    <w:p>
      <w:pPr>
        <w:ind w:right="260" w:firstLine="8"/>
        <w:spacing w:after="0" w:line="282" w:lineRule="auto"/>
        <w:tabs>
          <w:tab w:leader="none" w:pos="27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0" w:lineRule="exact"/>
        <w:rPr>
          <w:rFonts w:ascii="Times New Roman" w:cs="Times New Roman" w:eastAsia="Times New Roman" w:hAnsi="Times New Roman"/>
          <w:sz w:val="18"/>
          <w:szCs w:val="18"/>
          <w:color w:val="auto"/>
        </w:rPr>
      </w:pPr>
    </w:p>
    <w:p>
      <w:pPr>
        <w:ind w:right="460" w:firstLine="8"/>
        <w:spacing w:after="0" w:line="282" w:lineRule="auto"/>
        <w:tabs>
          <w:tab w:leader="none" w:pos="27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0" w:lineRule="exact"/>
        <w:rPr>
          <w:rFonts w:ascii="Times New Roman" w:cs="Times New Roman" w:eastAsia="Times New Roman" w:hAnsi="Times New Roman"/>
          <w:sz w:val="18"/>
          <w:szCs w:val="18"/>
          <w:color w:val="auto"/>
        </w:rPr>
      </w:pPr>
    </w:p>
    <w:p>
      <w:pPr>
        <w:ind w:right="80" w:firstLine="8"/>
        <w:spacing w:after="0" w:line="266" w:lineRule="auto"/>
        <w:tabs>
          <w:tab w:leader="none" w:pos="27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4" w:lineRule="exact"/>
        <w:rPr>
          <w:rFonts w:ascii="Times New Roman" w:cs="Times New Roman" w:eastAsia="Times New Roman" w:hAnsi="Times New Roman"/>
          <w:sz w:val="18"/>
          <w:szCs w:val="18"/>
          <w:color w:val="auto"/>
        </w:rPr>
      </w:pPr>
    </w:p>
    <w:p>
      <w:pPr>
        <w:ind w:left="680" w:right="140" w:firstLine="3"/>
        <w:spacing w:after="0" w:line="266" w:lineRule="auto"/>
        <w:tabs>
          <w:tab w:leader="none" w:pos="925"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4" w:lineRule="exact"/>
        <w:rPr>
          <w:rFonts w:ascii="Times New Roman" w:cs="Times New Roman" w:eastAsia="Times New Roman" w:hAnsi="Times New Roman"/>
          <w:sz w:val="18"/>
          <w:szCs w:val="18"/>
          <w:color w:val="auto"/>
        </w:rPr>
      </w:pPr>
    </w:p>
    <w:p>
      <w:pPr>
        <w:ind w:left="680" w:right="40" w:firstLine="3"/>
        <w:spacing w:after="0" w:line="266" w:lineRule="auto"/>
        <w:tabs>
          <w:tab w:leader="none" w:pos="935"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4" w:lineRule="exact"/>
        <w:rPr>
          <w:rFonts w:ascii="Times New Roman" w:cs="Times New Roman" w:eastAsia="Times New Roman" w:hAnsi="Times New Roman"/>
          <w:sz w:val="18"/>
          <w:szCs w:val="18"/>
          <w:color w:val="auto"/>
        </w:rPr>
      </w:pPr>
    </w:p>
    <w:p>
      <w:pPr>
        <w:ind w:left="680" w:right="640" w:firstLine="3"/>
        <w:spacing w:after="0" w:line="312" w:lineRule="auto"/>
        <w:tabs>
          <w:tab w:leader="none" w:pos="925" w:val="left"/>
        </w:tabs>
        <w:numPr>
          <w:ilvl w:val="1"/>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8" w:lineRule="exact"/>
        <w:rPr>
          <w:rFonts w:ascii="Times New Roman" w:cs="Times New Roman" w:eastAsia="Times New Roman" w:hAnsi="Times New Roman"/>
          <w:sz w:val="17"/>
          <w:szCs w:val="17"/>
          <w:color w:val="auto"/>
        </w:rPr>
      </w:pPr>
    </w:p>
    <w:p>
      <w:pPr>
        <w:ind w:left="680" w:right="60" w:firstLine="3"/>
        <w:spacing w:after="0" w:line="266" w:lineRule="auto"/>
        <w:tabs>
          <w:tab w:leader="none" w:pos="935"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rFonts w:ascii="Times New Roman" w:cs="Times New Roman" w:eastAsia="Times New Roman" w:hAnsi="Times New Roman"/>
          <w:sz w:val="18"/>
          <w:szCs w:val="18"/>
          <w:color w:val="auto"/>
        </w:rPr>
      </w:pPr>
    </w:p>
    <w:p>
      <w:pPr>
        <w:ind w:right="380" w:firstLine="8"/>
        <w:spacing w:after="0" w:line="282" w:lineRule="auto"/>
        <w:tabs>
          <w:tab w:leader="none" w:pos="27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0" w:lineRule="exact"/>
        <w:rPr>
          <w:rFonts w:ascii="Times New Roman" w:cs="Times New Roman" w:eastAsia="Times New Roman" w:hAnsi="Times New Roman"/>
          <w:sz w:val="18"/>
          <w:szCs w:val="18"/>
          <w:color w:val="auto"/>
        </w:rPr>
      </w:pPr>
    </w:p>
    <w:p>
      <w:pPr>
        <w:ind w:left="680" w:right="60" w:firstLine="3"/>
        <w:spacing w:after="0" w:line="282" w:lineRule="auto"/>
        <w:tabs>
          <w:tab w:leader="none" w:pos="925"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0" w:lineRule="exact"/>
        <w:rPr>
          <w:rFonts w:ascii="Times New Roman" w:cs="Times New Roman" w:eastAsia="Times New Roman" w:hAnsi="Times New Roman"/>
          <w:sz w:val="18"/>
          <w:szCs w:val="18"/>
          <w:color w:val="auto"/>
        </w:rPr>
      </w:pPr>
    </w:p>
    <w:p>
      <w:pPr>
        <w:ind w:left="680" w:firstLine="3"/>
        <w:spacing w:after="0" w:line="282" w:lineRule="auto"/>
        <w:tabs>
          <w:tab w:leader="none" w:pos="935"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2, 2026</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BRAD O’CONNOR</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Brad O’Connor</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31" w:right="339" w:bottom="1440" w:gutter="0" w:footer="0" w:header="0"/>
        </w:sectPr>
      </w:pPr>
    </w:p>
    <w:bookmarkStart w:id="43" w:name="page44"/>
    <w:bookmarkEnd w:id="43"/>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Exhibit 32(a)</w:t>
      </w:r>
    </w:p>
    <w:p>
      <w:pPr>
        <w:spacing w:after="0" w:line="22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26" w:lineRule="exact"/>
        <w:rPr>
          <w:sz w:val="20"/>
          <w:szCs w:val="20"/>
          <w:color w:val="auto"/>
        </w:rPr>
      </w:pPr>
    </w:p>
    <w:p>
      <w:pPr>
        <w:jc w:val="both"/>
        <w:spacing w:after="0" w:line="236" w:lineRule="exact"/>
        <w:rPr>
          <w:sz w:val="20"/>
          <w:szCs w:val="20"/>
          <w:color w:val="auto"/>
        </w:rPr>
      </w:pPr>
      <w:r>
        <w:rPr>
          <w:rFonts w:ascii="Times New Roman" w:cs="Times New Roman" w:eastAsia="Times New Roman" w:hAnsi="Times New Roman"/>
          <w:sz w:val="18"/>
          <w:szCs w:val="18"/>
          <w:color w:val="auto"/>
        </w:rPr>
        <w:t>In connection with the Quarterly Report of Hovnanian Enterprises, Inc. (the “Company”)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for the period ended April 30, 2026 as filed with the Securities and Exchange Commission on the date hereof (the “Report”), I, Ara K. Hovnanian, President and Chief Executive Officer of the Company, certify, pursuant to 18 U.S.C. Section 1350, as adopted pursuant to Section 906 of the Sarbanes-Oxley Act of 2002, that:</w:t>
      </w:r>
    </w:p>
    <w:p>
      <w:pPr>
        <w:spacing w:after="0" w:line="117" w:lineRule="exact"/>
        <w:rPr>
          <w:sz w:val="20"/>
          <w:szCs w:val="20"/>
          <w:color w:val="auto"/>
        </w:rPr>
      </w:pPr>
    </w:p>
    <w:p>
      <w:pPr>
        <w:ind w:left="280" w:hanging="272"/>
        <w:spacing w:after="0"/>
        <w:tabs>
          <w:tab w:leader="none" w:pos="2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44" w:lineRule="exact"/>
        <w:rPr>
          <w:rFonts w:ascii="Times New Roman" w:cs="Times New Roman" w:eastAsia="Times New Roman" w:hAnsi="Times New Roman"/>
          <w:sz w:val="18"/>
          <w:szCs w:val="18"/>
          <w:color w:val="auto"/>
        </w:rPr>
      </w:pPr>
    </w:p>
    <w:p>
      <w:pPr>
        <w:ind w:left="20" w:right="340" w:hanging="12"/>
        <w:spacing w:after="0" w:line="454" w:lineRule="auto"/>
        <w:tabs>
          <w:tab w:leader="none" w:pos="27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June 2, 2026</w:t>
      </w:r>
    </w:p>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/s/ ARA K. HOVNANIAN</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Ara K. Hovnanian</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ectPr>
          <w:pgSz w:w="11900" w:h="16838" w:orient="portrait"/>
          <w:cols w:equalWidth="0" w:num="1">
            <w:col w:w="11060"/>
          </w:cols>
          <w:pgMar w:left="320" w:top="131" w:right="519" w:bottom="1440" w:gutter="0" w:footer="0" w:header="0"/>
        </w:sectPr>
      </w:pPr>
    </w:p>
    <w:bookmarkStart w:id="44" w:name="page45"/>
    <w:bookmarkEnd w:id="44"/>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Exhibit 32(b)</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26" w:lineRule="exact"/>
        <w:rPr>
          <w:sz w:val="20"/>
          <w:szCs w:val="20"/>
          <w:color w:val="auto"/>
        </w:rPr>
      </w:pPr>
    </w:p>
    <w:p>
      <w:pPr>
        <w:spacing w:after="0" w:line="236" w:lineRule="exact"/>
        <w:rPr>
          <w:sz w:val="20"/>
          <w:szCs w:val="20"/>
          <w:color w:val="auto"/>
        </w:rPr>
      </w:pPr>
      <w:r>
        <w:rPr>
          <w:rFonts w:ascii="Times New Roman" w:cs="Times New Roman" w:eastAsia="Times New Roman" w:hAnsi="Times New Roman"/>
          <w:sz w:val="18"/>
          <w:szCs w:val="18"/>
          <w:color w:val="auto"/>
        </w:rPr>
        <w:t>In connection with the Quarterly Report of Hovnanian Enterprises, Inc. (the “Company”)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for the period ended April 30, 2026 as filed with the Securities and Exchange Commission on the date hereof (the “Report”), I, Brad O’Connor, Chief Financial Officer of the Company, certify, pursuant to 18 U.S.C. Section 1350, as adopted pursuant to Section 906 of the Sarbanes-Oxley Act of 2002, that:</w:t>
      </w:r>
    </w:p>
    <w:p>
      <w:pPr>
        <w:spacing w:after="0" w:line="117" w:lineRule="exact"/>
        <w:rPr>
          <w:sz w:val="20"/>
          <w:szCs w:val="20"/>
          <w:color w:val="auto"/>
        </w:rPr>
      </w:pPr>
    </w:p>
    <w:p>
      <w:pPr>
        <w:ind w:left="280" w:hanging="272"/>
        <w:spacing w:after="0"/>
        <w:tabs>
          <w:tab w:leader="none" w:pos="2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44"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June 2, 2026</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/s/ BRAD O’CONNOR</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Brad O’Connor</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180"/>
      </w:cols>
      <w:pgMar w:left="320" w:top="13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1)"/>
      <w:numFmt w:val="decimal"/>
      <w:start w:val="1"/>
    </w:lvl>
  </w:abstractNum>
  <w:abstractNum w:abstractNumId="3">
    <w:nsid w:val="257130A3"/>
    <w:multiLevelType w:val="hybridMultilevel"/>
    <w:lvl w:ilvl="0">
      <w:lvlJc w:val="left"/>
      <w:lvlText w:val="(%1)"/>
      <w:numFmt w:val="decimal"/>
      <w:start w:val="1"/>
    </w:lvl>
  </w:abstractNum>
  <w:abstractNum w:abstractNumId="4">
    <w:nsid w:val="62BBD95A"/>
    <w:multiLevelType w:val="hybridMultilevel"/>
    <w:lvl w:ilvl="0">
      <w:lvlJc w:val="left"/>
      <w:lvlText w:val="%1."/>
      <w:numFmt w:val="decimal"/>
      <w:start w:val="1"/>
    </w:lvl>
  </w:abstractNum>
  <w:abstractNum w:abstractNumId="5">
    <w:nsid w:val="436C6125"/>
    <w:multiLevelType w:val="hybridMultilevel"/>
    <w:lvl w:ilvl="0">
      <w:lvlJc w:val="left"/>
      <w:lvlText w:val="%1."/>
      <w:numFmt w:val="decimal"/>
      <w:start w:val="2"/>
    </w:lvl>
  </w:abstractNum>
  <w:abstractNum w:abstractNumId="6">
    <w:nsid w:val="628C895D"/>
    <w:multiLevelType w:val="hybridMultilevel"/>
    <w:lvl w:ilvl="0">
      <w:lvlJc w:val="left"/>
      <w:lvlText w:val="(%1)"/>
      <w:numFmt w:val="decimal"/>
      <w:start w:val="1"/>
    </w:lvl>
  </w:abstractNum>
  <w:abstractNum w:abstractNumId="7">
    <w:nsid w:val="333AB105"/>
    <w:multiLevelType w:val="hybridMultilevel"/>
    <w:lvl w:ilvl="0">
      <w:lvlJc w:val="left"/>
      <w:lvlText w:val="%1."/>
      <w:numFmt w:val="decimal"/>
      <w:start w:val="4"/>
    </w:lvl>
  </w:abstractNum>
  <w:abstractNum w:abstractNumId="8">
    <w:nsid w:val="721DA317"/>
    <w:multiLevelType w:val="hybridMultilevel"/>
    <w:lvl w:ilvl="0">
      <w:lvlJc w:val="left"/>
      <w:lvlText w:val="%1."/>
      <w:numFmt w:val="decimal"/>
      <w:start w:val="5"/>
    </w:lvl>
  </w:abstractNum>
  <w:abstractNum w:abstractNumId="9">
    <w:nsid w:val="2443A858"/>
    <w:multiLevelType w:val="hybridMultilevel"/>
    <w:lvl w:ilvl="0">
      <w:lvlJc w:val="left"/>
      <w:lvlText w:val="%1."/>
      <w:numFmt w:val="decimal"/>
      <w:start w:val="6"/>
    </w:lvl>
  </w:abstractNum>
  <w:abstractNum w:abstractNumId="10">
    <w:nsid w:val="2D1D5AE9"/>
    <w:multiLevelType w:val="hybridMultilevel"/>
    <w:lvl w:ilvl="0">
      <w:lvlJc w:val="left"/>
      <w:lvlText w:val="%1."/>
      <w:numFmt w:val="decimal"/>
      <w:start w:val="7"/>
    </w:lvl>
  </w:abstractNum>
  <w:abstractNum w:abstractNumId="11">
    <w:nsid w:val="6763845E"/>
    <w:multiLevelType w:val="hybridMultilevel"/>
    <w:lvl w:ilvl="0">
      <w:lvlJc w:val="left"/>
      <w:lvlText w:val="%1."/>
      <w:numFmt w:val="decimal"/>
      <w:start w:val="8"/>
    </w:lvl>
  </w:abstractNum>
  <w:abstractNum w:abstractNumId="12">
    <w:nsid w:val="75A2A8D4"/>
    <w:multiLevelType w:val="hybridMultilevel"/>
    <w:lvl w:ilvl="0">
      <w:lvlJc w:val="left"/>
      <w:lvlText w:val="%1."/>
      <w:numFmt w:val="decimal"/>
      <w:start w:val="9"/>
    </w:lvl>
  </w:abstractNum>
  <w:abstractNum w:abstractNumId="13">
    <w:nsid w:val="8EDBDAB"/>
    <w:multiLevelType w:val="hybridMultilevel"/>
    <w:lvl w:ilvl="0">
      <w:lvlJc w:val="left"/>
      <w:lvlText w:val="%1."/>
      <w:numFmt w:val="decimal"/>
      <w:start w:val="11"/>
    </w:lvl>
  </w:abstractNum>
  <w:abstractNum w:abstractNumId="14">
    <w:nsid w:val="79838CB2"/>
    <w:multiLevelType w:val="hybridMultilevel"/>
    <w:lvl w:ilvl="0">
      <w:lvlJc w:val="left"/>
      <w:lvlText w:val="(%1)"/>
      <w:numFmt w:val="decimal"/>
      <w:start w:val="1"/>
    </w:lvl>
  </w:abstractNum>
  <w:abstractNum w:abstractNumId="15">
    <w:nsid w:val="4353D0CD"/>
    <w:multiLevelType w:val="hybridMultilevel"/>
    <w:lvl w:ilvl="0">
      <w:lvlJc w:val="left"/>
      <w:lvlText w:val="(%1)"/>
      <w:numFmt w:val="decimal"/>
      <w:start w:val="1"/>
    </w:lvl>
  </w:abstractNum>
  <w:abstractNum w:abstractNumId="16">
    <w:nsid w:val="B03E0C6"/>
    <w:multiLevelType w:val="hybridMultilevel"/>
    <w:lvl w:ilvl="0">
      <w:lvlJc w:val="left"/>
      <w:lvlText w:val="(%1)"/>
      <w:numFmt w:val="decimal"/>
      <w:start w:val="1"/>
    </w:lvl>
  </w:abstractNum>
  <w:abstractNum w:abstractNumId="17">
    <w:nsid w:val="189A769B"/>
    <w:multiLevelType w:val="hybridMultilevel"/>
    <w:lvl w:ilvl="0">
      <w:lvlJc w:val="left"/>
      <w:lvlText w:val="●"/>
      <w:numFmt w:val="bullet"/>
      <w:start w:val="1"/>
    </w:lvl>
  </w:abstractNum>
  <w:abstractNum w:abstractNumId="18">
    <w:nsid w:val="54E49EB4"/>
    <w:multiLevelType w:val="hybridMultilevel"/>
    <w:lvl w:ilvl="0">
      <w:lvlJc w:val="left"/>
      <w:lvlText w:val="●"/>
      <w:numFmt w:val="bullet"/>
      <w:start w:val="1"/>
    </w:lvl>
  </w:abstractNum>
  <w:abstractNum w:abstractNumId="19">
    <w:nsid w:val="71F32454"/>
    <w:multiLevelType w:val="hybridMultilevel"/>
    <w:lvl w:ilvl="0">
      <w:lvlJc w:val="left"/>
      <w:lvlText w:val="●"/>
      <w:numFmt w:val="bullet"/>
      <w:start w:val="1"/>
    </w:lvl>
  </w:abstractNum>
  <w:abstractNum w:abstractNumId="20">
    <w:nsid w:val="2CA88611"/>
    <w:multiLevelType w:val="hybridMultilevel"/>
    <w:lvl w:ilvl="0">
      <w:lvlJc w:val="left"/>
      <w:lvlText w:val="●"/>
      <w:numFmt w:val="bullet"/>
      <w:start w:val="1"/>
    </w:lvl>
  </w:abstractNum>
  <w:abstractNum w:abstractNumId="21">
    <w:nsid w:val="836C40E"/>
    <w:multiLevelType w:val="hybridMultilevel"/>
    <w:lvl w:ilvl="0">
      <w:lvlJc w:val="left"/>
      <w:lvlText w:val="(%1)"/>
      <w:numFmt w:val="decimal"/>
      <w:start w:val="1"/>
    </w:lvl>
  </w:abstractNum>
  <w:abstractNum w:abstractNumId="22">
    <w:nsid w:val="2901D82"/>
    <w:multiLevelType w:val="hybridMultilevel"/>
    <w:lvl w:ilvl="0">
      <w:lvlJc w:val="left"/>
      <w:lvlText w:val="(%1)"/>
      <w:numFmt w:val="decimal"/>
      <w:start w:val="1"/>
    </w:lvl>
  </w:abstractNum>
  <w:abstractNum w:abstractNumId="23">
    <w:nsid w:val="3A95F874"/>
    <w:multiLevelType w:val="hybridMultilevel"/>
    <w:lvl w:ilvl="0">
      <w:lvlJc w:val="left"/>
      <w:lvlText w:val="(%1)"/>
      <w:numFmt w:val="decimal"/>
      <w:start w:val="1"/>
    </w:lvl>
  </w:abstractNum>
  <w:abstractNum w:abstractNumId="24">
    <w:nsid w:val="8138641"/>
    <w:multiLevelType w:val="hybridMultilevel"/>
    <w:lvl w:ilvl="0">
      <w:lvlJc w:val="left"/>
      <w:lvlText w:val="(%1)"/>
      <w:numFmt w:val="decimal"/>
      <w:start w:val="1"/>
    </w:lvl>
  </w:abstractNum>
  <w:abstractNum w:abstractNumId="25">
    <w:nsid w:val="1E7FF521"/>
    <w:multiLevelType w:val="hybridMultilevel"/>
    <w:lvl w:ilvl="0">
      <w:lvlJc w:val="left"/>
      <w:lvlText w:val="(%1)"/>
      <w:numFmt w:val="decimal"/>
      <w:start w:val="1"/>
    </w:lvl>
  </w:abstractNum>
  <w:abstractNum w:abstractNumId="26">
    <w:nsid w:val="7C3DBD3D"/>
    <w:multiLevelType w:val="hybridMultilevel"/>
    <w:lvl w:ilvl="0">
      <w:lvlJc w:val="left"/>
      <w:lvlText w:val="●"/>
      <w:numFmt w:val="bullet"/>
      <w:start w:val="1"/>
    </w:lvl>
  </w:abstractNum>
  <w:abstractNum w:abstractNumId="27">
    <w:nsid w:val="737B8DDC"/>
    <w:multiLevelType w:val="hybridMultilevel"/>
    <w:lvl w:ilvl="0">
      <w:lvlJc w:val="left"/>
      <w:lvlText w:val="●"/>
      <w:numFmt w:val="bullet"/>
      <w:start w:val="1"/>
    </w:lvl>
  </w:abstractNum>
  <w:abstractNum w:abstractNumId="28">
    <w:nsid w:val="6CEAF087"/>
    <w:multiLevelType w:val="hybridMultilevel"/>
    <w:lvl w:ilvl="0">
      <w:lvlJc w:val="left"/>
      <w:lvlText w:val="(%1)"/>
      <w:numFmt w:val="decimal"/>
      <w:start w:val="1"/>
    </w:lvl>
  </w:abstractNum>
  <w:abstractNum w:abstractNumId="29">
    <w:nsid w:val="22221A70"/>
    <w:multiLevelType w:val="hybridMultilevel"/>
    <w:lvl w:ilvl="0">
      <w:lvlJc w:val="left"/>
      <w:lvlText w:val="%1"/>
      <w:numFmt w:val="decimal"/>
      <w:start w:val="101"/>
    </w:lvl>
  </w:abstractNum>
  <w:abstractNum w:abstractNumId="30">
    <w:nsid w:val="4516DDE9"/>
    <w:multiLevelType w:val="hybridMultilevel"/>
    <w:lvl w:ilvl="0">
      <w:lvlJc w:val="left"/>
      <w:lvlText w:val="%1"/>
      <w:numFmt w:val="decimal"/>
      <w:start w:val="104"/>
    </w:lvl>
  </w:abstractNum>
  <w:abstractNum w:abstractNumId="31">
    <w:nsid w:val="3006C83E"/>
    <w:multiLevelType w:val="hybridMultilevel"/>
    <w:lvl w:ilvl="0">
      <w:lvlJc w:val="left"/>
      <w:lvlText w:val="%1."/>
      <w:numFmt w:val="decimal"/>
      <w:start w:val="1"/>
    </w:lvl>
    <w:lvl w:ilvl="1">
      <w:lvlJc w:val="left"/>
      <w:lvlText w:val="(%2)"/>
      <w:numFmt w:val="lowerLetter"/>
      <w:start w:val="1"/>
    </w:lvl>
  </w:abstractNum>
  <w:abstractNum w:abstractNumId="32">
    <w:nsid w:val="614FD4A1"/>
    <w:multiLevelType w:val="hybridMultilevel"/>
    <w:lvl w:ilvl="0">
      <w:lvlJc w:val="left"/>
      <w:lvlText w:val="%1."/>
      <w:numFmt w:val="decimal"/>
      <w:start w:val="1"/>
    </w:lvl>
    <w:lvl w:ilvl="1">
      <w:lvlJc w:val="left"/>
      <w:lvlText w:val="(%2)"/>
      <w:numFmt w:val="lowerLetter"/>
      <w:start w:val="1"/>
    </w:lvl>
  </w:abstractNum>
  <w:abstractNum w:abstractNumId="33">
    <w:nsid w:val="419AC241"/>
    <w:multiLevelType w:val="hybridMultilevel"/>
    <w:lvl w:ilvl="0">
      <w:lvlJc w:val="left"/>
      <w:lvlText w:val="%1."/>
      <w:numFmt w:val="decimal"/>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72"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png"/><Relationship Id="rId86" Type="http://schemas.openxmlformats.org/officeDocument/2006/relationships/image" Target="media/image68.png"/><Relationship Id="rId65" Type="http://schemas.openxmlformats.org/officeDocument/2006/relationships/hyperlink" Target="http://www.sec.gov/Archives/edgar/data/357294/000143774919005975/ex_139015.htm" TargetMode="External"/><Relationship Id="rId66" Type="http://schemas.openxmlformats.org/officeDocument/2006/relationships/hyperlink" Target="http://www.sec.gov/Archives/edgar/data/357294/000143774923008254/ex_493796.htm" TargetMode="External"/><Relationship Id="rId67" Type="http://schemas.openxmlformats.org/officeDocument/2006/relationships/hyperlink" Target="http://www.sec.gov/Archives/edgar/data/357294/000143774919005975/ex_139016.htm" TargetMode="External"/><Relationship Id="rId68" Type="http://schemas.openxmlformats.org/officeDocument/2006/relationships/hyperlink" Target="http://www.sec.gov/Archives/edgar/data/357294/000143774919005975/ex_139017.htm" TargetMode="External"/><Relationship Id="rId69" Type="http://schemas.openxmlformats.org/officeDocument/2006/relationships/hyperlink" Target="http://www.sec.gov/Archives/edgar/data/357294/000110465905032309/a05-11774_2ex4d1.htm" TargetMode="External"/><Relationship Id="rId70" Type="http://schemas.openxmlformats.org/officeDocument/2006/relationships/hyperlink" Target="http://www.sec.gov/Archives/edgar/data/357294/000035729408000034/ex4bcertseriesb.htm" TargetMode="External"/><Relationship Id="rId71" Type="http://schemas.openxmlformats.org/officeDocument/2006/relationships/hyperlink" Target="http://www.sec.gov/Archives/edgar/data/357294/000035729408000032/rightsagreementexhibit.htm" TargetMode="External"/><Relationship Id="rId73" Type="http://schemas.openxmlformats.org/officeDocument/2006/relationships/hyperlink" Target="http://www.sec.gov/Archives/edgar/data/357294/000143774918000530/ex_102887.htm" TargetMode="External"/><Relationship Id="rId74" Type="http://schemas.openxmlformats.org/officeDocument/2006/relationships/hyperlink" Target="http://www.sec.gov/Archives/edgar/data/357294/000143774921000881/ex_220860.htm" TargetMode="External"/><Relationship Id="rId75" Type="http://schemas.openxmlformats.org/officeDocument/2006/relationships/hyperlink" Target="http://www.sec.gov/Archives/edgar/data/357294/000143774924001208/ex_614017.htm" TargetMode="External"/><Relationship Id="rId76" Type="http://schemas.openxmlformats.org/officeDocument/2006/relationships/hyperlink" Target="https://www.sec.gov/Archives/edgar/data/357294/000175392626000607/ex101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2026-06-02T15:16:20Z</dcterms:created>
  <dcterms:modified xsi:type="dcterms:W3CDTF">2026-06-02T15:16:20Z</dcterms:modified>
</cp:coreProperties>
</file>